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47F9F79D" w14:textId="77777777" w:rsidR="006866E2" w:rsidRDefault="006866E2">
            <w:pPr>
              <w:tabs>
                <w:tab w:val="left" w:pos="-142"/>
                <w:tab w:val="left" w:pos="4111"/>
              </w:tabs>
              <w:snapToGrid w:val="0"/>
              <w:jc w:val="both"/>
              <w:rPr>
                <w:rFonts w:ascii="Arial" w:hAnsi="Arial" w:cs="Arial"/>
                <w:b/>
                <w:bCs/>
              </w:rPr>
            </w:pPr>
          </w:p>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624CF3FD"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09D259CA" w:rsidR="00E20461" w:rsidRPr="00E20461" w:rsidRDefault="00352880" w:rsidP="00E20461">
      <w:pPr>
        <w:pStyle w:val="En-tte"/>
        <w:tabs>
          <w:tab w:val="clear" w:pos="4536"/>
          <w:tab w:val="clear" w:pos="9072"/>
        </w:tabs>
        <w:rPr>
          <w:rFonts w:ascii="Arial" w:hAnsi="Arial" w:cs="Arial"/>
        </w:rPr>
      </w:pPr>
      <w:r>
        <w:rPr>
          <w:rFonts w:ascii="Arial" w:hAnsi="Arial" w:cs="Arial"/>
        </w:rPr>
        <w:t>Pôles</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5A1B01">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77777777" w:rsidR="00A67463" w:rsidRDefault="00A67463">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4218A8DE" w:rsidR="00E218D7" w:rsidRPr="00687EB8" w:rsidRDefault="005A1B01"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00E53E68" w:rsidRPr="00E53E68">
            <w:rPr>
              <w:rFonts w:ascii="Arial" w:hAnsi="Arial" w:cs="Arial"/>
              <w:b/>
              <w:bCs/>
              <w:sz w:val="28"/>
              <w:szCs w:val="28"/>
            </w:rPr>
            <w:t>Marché 2025PATXODR001</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14:textOutline w14:w="0" w14:cap="flat" w14:cmpd="sng" w14:algn="ctr">
              <w14:noFill/>
              <w14:prstDash w14:val="solid"/>
              <w14:round/>
            </w14:textOutline>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A580A" w:rsidRPr="003A580A">
            <w:rPr>
              <w:rFonts w:ascii="Arial" w:hAnsi="Arial" w:cs="Arial"/>
              <w:b/>
              <w:bCs/>
              <w:sz w:val="28"/>
              <w:szCs w:val="28"/>
              <w14:textOutline w14:w="0" w14:cap="flat" w14:cmpd="sng" w14:algn="ctr">
                <w14:noFill/>
                <w14:prstDash w14:val="solid"/>
                <w14:round/>
              </w14:textOutline>
            </w:rPr>
            <w:t>Confortements des superstructures et fondations du bâtiment 7 – Université Toulouse Jean Jaurès – site de Foix</w:t>
          </w:r>
        </w:sdtContent>
      </w:sdt>
      <w:bookmarkEnd w:id="1"/>
    </w:p>
    <w:bookmarkEnd w:id="0"/>
    <w:p w14:paraId="2862BEDF" w14:textId="0F953F92" w:rsidR="00E218D7" w:rsidRPr="00A95C56" w:rsidRDefault="00E218D7"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43510B3F" w:rsidR="007411D9" w:rsidRDefault="007411D9" w:rsidP="00A67463">
      <w:pPr>
        <w:tabs>
          <w:tab w:val="left" w:pos="1134"/>
          <w:tab w:val="right" w:pos="3828"/>
        </w:tabs>
        <w:ind w:firstLine="284"/>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r w:rsidR="003A580A">
        <w:rPr>
          <w:rFonts w:ascii="Arial" w:hAnsi="Arial" w:cs="Arial"/>
          <w:b/>
          <w:bCs/>
        </w:rPr>
        <w:t xml:space="preserve">e </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5A1B01">
            <w:rPr>
              <w:rFonts w:ascii="Arial" w:hAnsi="Arial" w:cs="Arial"/>
              <w:b/>
              <w:bCs/>
            </w:rPr>
            <w:t>Marché 2025PATXODR001</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A580A">
            <w:rPr>
              <w:rFonts w:ascii="Arial" w:hAnsi="Arial" w:cs="Arial"/>
              <w:b/>
              <w:bCs/>
            </w:rPr>
            <w:t>Confortements des superstructures et fondations du bâtiment 7 – Université Toulouse Jean Jaurès – site de Foix</w:t>
          </w:r>
        </w:sdtContent>
      </w:sdt>
      <w:r w:rsidR="003A580A">
        <w:rPr>
          <w:rFonts w:ascii="Arial" w:hAnsi="Arial" w:cs="Arial"/>
          <w:b/>
          <w:bCs/>
        </w:rPr>
        <w:t>.</w:t>
      </w:r>
    </w:p>
    <w:p w14:paraId="62655CC6" w14:textId="2DDBECA8"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2"/>
    <w:p w14:paraId="6912C14B" w14:textId="0F8E5967"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703B25" w14:textId="77777777" w:rsidR="006866E2" w:rsidRPr="006866E2" w:rsidRDefault="006866E2" w:rsidP="006866E2">
      <w:pPr>
        <w:rPr>
          <w:rFonts w:ascii="Arial" w:hAnsi="Arial" w:cs="Arial"/>
          <w:b/>
          <w:bCs/>
        </w:rPr>
      </w:pPr>
    </w:p>
    <w:p w14:paraId="4299E6DD" w14:textId="77777777" w:rsidR="006866E2" w:rsidRDefault="006866E2">
      <w:r>
        <w:br w:type="page"/>
      </w:r>
    </w:p>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lastRenderedPageBreak/>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Pr="00E20461">
        <w:rPr>
          <w:rFonts w:ascii="Arial" w:hAnsi="Arial" w:cs="Arial"/>
          <w:i/>
          <w:iCs/>
        </w:rPr>
        <w:t> </w:t>
      </w:r>
      <w:proofErr w:type="gramStart"/>
      <w:r w:rsidR="007411D9" w:rsidRPr="00E20461">
        <w:rPr>
          <w:rFonts w:ascii="Arial" w:hAnsi="Arial" w:cs="Arial"/>
        </w:rPr>
        <w:t>conjoint</w:t>
      </w:r>
      <w:proofErr w:type="gramEnd"/>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E20461" w14:paraId="61A7D45B" w14:textId="77777777" w:rsidTr="00B02DE5">
        <w:tc>
          <w:tcPr>
            <w:tcW w:w="10490" w:type="dxa"/>
            <w:shd w:val="clear" w:color="auto" w:fill="66CCFF"/>
          </w:tcPr>
          <w:p w14:paraId="594FB38B" w14:textId="77777777" w:rsidR="007411D9" w:rsidRPr="00E20461" w:rsidRDefault="007411D9">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7777777" w:rsidR="007411D9" w:rsidRPr="00E20461" w:rsidRDefault="007411D9" w:rsidP="00B02DE5">
      <w:pPr>
        <w:spacing w:before="120"/>
        <w:jc w:val="both"/>
        <w:rPr>
          <w:rFonts w:ascii="Arial" w:hAnsi="Arial" w:cs="Arial"/>
        </w:rPr>
      </w:pPr>
      <w:r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proofErr w:type="gramStart"/>
            <w:r w:rsidRPr="00E20461">
              <w:rPr>
                <w:rFonts w:ascii="Arial" w:hAnsi="Arial" w:cs="Arial"/>
                <w:b/>
              </w:rPr>
              <w:t>du</w:t>
            </w:r>
            <w:proofErr w:type="gramEnd"/>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proofErr w:type="gramStart"/>
            <w:r w:rsidRPr="00E20461">
              <w:rPr>
                <w:rFonts w:ascii="Arial" w:hAnsi="Arial" w:cs="Arial"/>
                <w:b/>
              </w:rPr>
              <w:t>adresse</w:t>
            </w:r>
            <w:proofErr w:type="gramEnd"/>
            <w:r w:rsidRPr="00E20461">
              <w:rPr>
                <w:rFonts w:ascii="Arial" w:hAnsi="Arial" w:cs="Arial"/>
                <w:b/>
              </w:rPr>
              <w:t xml:space="preserve"> électronique, numéros de téléphone et de télécopie, numéro SIRET</w:t>
            </w:r>
          </w:p>
          <w:p w14:paraId="6B017E98" w14:textId="77777777" w:rsidR="00C1386A" w:rsidRPr="00E20461" w:rsidRDefault="00C1386A">
            <w:pPr>
              <w:jc w:val="center"/>
              <w:rPr>
                <w:rFonts w:ascii="Arial" w:hAnsi="Arial" w:cs="Arial"/>
                <w:b/>
              </w:rPr>
            </w:pPr>
            <w:proofErr w:type="gramStart"/>
            <w:r w:rsidRPr="00E20461">
              <w:rPr>
                <w:rFonts w:ascii="Arial" w:hAnsi="Arial" w:cs="Arial"/>
                <w:b/>
              </w:rPr>
              <w:t>des</w:t>
            </w:r>
            <w:proofErr w:type="gramEnd"/>
            <w:r w:rsidRPr="00E20461">
              <w:rPr>
                <w:rFonts w:ascii="Arial" w:hAnsi="Arial" w:cs="Arial"/>
                <w:b/>
              </w:rPr>
              <w:t xml:space="preserve">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w:t>
      </w:r>
      <w:proofErr w:type="gramEnd"/>
      <w:r w:rsidR="007411D9" w:rsidRPr="00E20461">
        <w:rPr>
          <w:rFonts w:ascii="Arial" w:hAnsi="Arial" w:cs="Arial"/>
        </w:rPr>
        <w:t xml:space="preserv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A1B01">
        <w:rPr>
          <w:rFonts w:ascii="Arial" w:hAnsi="Arial" w:cs="Arial"/>
        </w:rPr>
      </w:r>
      <w:r w:rsidR="005A1B01">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les</w:t>
      </w:r>
      <w:proofErr w:type="gramEnd"/>
      <w:r w:rsidR="007411D9" w:rsidRPr="00E20461">
        <w:rPr>
          <w:rFonts w:ascii="Arial" w:hAnsi="Arial" w:cs="Arial"/>
        </w:rPr>
        <w:t xml:space="preserve">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2A4D8371" w:rsidR="007411D9" w:rsidRDefault="005A1B01"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Marché 2025PATXODR001</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A580A"/>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A1B01"/>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47409"/>
    <w:rsid w:val="00E53E68"/>
    <w:rsid w:val="00E55EE5"/>
    <w:rsid w:val="00E766FF"/>
    <w:rsid w:val="00EB014D"/>
    <w:rsid w:val="00EB4DEA"/>
    <w:rsid w:val="00EC3C60"/>
    <w:rsid w:val="00EE6496"/>
    <w:rsid w:val="00EF13E3"/>
    <w:rsid w:val="00EF5497"/>
    <w:rsid w:val="00F01DEB"/>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69</TotalTime>
  <Pages>4</Pages>
  <Words>1465</Words>
  <Characters>8062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9508</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Confortements des superstructures et fondations du bâtiment 7 – Université Toulouse Jean Jaurès – site de Foix</dc:description>
  <cp:lastModifiedBy>sandrine.allaire-grosdoy@i-univ-tlse2.fr</cp:lastModifiedBy>
  <cp:revision>7</cp:revision>
  <cp:lastPrinted>2016-11-02T13:51:00Z</cp:lastPrinted>
  <dcterms:created xsi:type="dcterms:W3CDTF">2024-05-21T06:53:00Z</dcterms:created>
  <dcterms:modified xsi:type="dcterms:W3CDTF">2025-02-20T13:58:00Z</dcterms:modified>
  <cp:category>Marché 2025PATXODR001</cp:category>
</cp:coreProperties>
</file>