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AF2477">
        <w:trPr>
          <w:trHeight w:val="994"/>
        </w:trPr>
        <w:tc>
          <w:tcPr>
            <w:tcW w:w="9215" w:type="dxa"/>
            <w:vAlign w:val="center"/>
          </w:tcPr>
          <w:p w:rsidR="000F2D83" w:rsidRPr="00F958F1" w:rsidRDefault="00007B56" w:rsidP="000F2D83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 w:rsidRPr="00F958F1">
              <w:rPr>
                <w:rFonts w:cstheme="minorHAnsi"/>
                <w:b/>
              </w:rPr>
              <w:t xml:space="preserve"> </w:t>
            </w:r>
          </w:p>
          <w:p w:rsidR="00007B56" w:rsidRPr="00AF2477" w:rsidRDefault="00007B56" w:rsidP="008F0E72">
            <w:pPr>
              <w:spacing w:before="120"/>
              <w:rPr>
                <w:rFonts w:cstheme="minorHAnsi"/>
                <w:i/>
              </w:rPr>
            </w:pP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 w:rsidR="008F0E72"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</w:p>
        </w:tc>
        <w:tc>
          <w:tcPr>
            <w:tcW w:w="709" w:type="dxa"/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443E4B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Pr="00172DD9" w:rsidRDefault="00443E4B" w:rsidP="008F0E7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Attestation </w:t>
            </w:r>
            <w:r w:rsidRPr="00443E4B">
              <w:rPr>
                <w:rFonts w:cstheme="minorHAnsi"/>
                <w:b/>
              </w:rPr>
              <w:t>d’inscription à l’ordre des Architectes en 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Pr="00AF2477" w:rsidRDefault="00443E4B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Pr="00443E4B" w:rsidRDefault="00443E4B" w:rsidP="008F0E72">
            <w:pPr>
              <w:rPr>
                <w:rFonts w:cstheme="minorHAnsi"/>
                <w:b/>
                <w:u w:val="single"/>
              </w:rPr>
            </w:pPr>
            <w:r w:rsidRPr="00443E4B">
              <w:rPr>
                <w:rFonts w:cstheme="minorHAnsi"/>
                <w:b/>
                <w:u w:val="single"/>
              </w:rPr>
              <w:t>Partie CONCEPTION</w:t>
            </w:r>
          </w:p>
          <w:p w:rsidR="00443E4B" w:rsidRDefault="00443E4B" w:rsidP="008F0E72">
            <w:pPr>
              <w:rPr>
                <w:rFonts w:cstheme="minorHAnsi"/>
                <w:b/>
              </w:rPr>
            </w:pPr>
          </w:p>
          <w:p w:rsidR="00443E4B" w:rsidRDefault="00443E4B" w:rsidP="008F0E7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Qualifications </w:t>
            </w:r>
            <w:r w:rsidRPr="00F958F1">
              <w:rPr>
                <w:rFonts w:cstheme="minorHAnsi"/>
              </w:rPr>
              <w:t>(cf. AAPC</w:t>
            </w:r>
            <w:r>
              <w:rPr>
                <w:rFonts w:cstheme="minorHAnsi"/>
              </w:rPr>
              <w:t xml:space="preserve"> §III.2.3</w:t>
            </w:r>
            <w:r w:rsidRPr="00F958F1">
              <w:rPr>
                <w:rFonts w:cstheme="minorHAnsi"/>
              </w:rPr>
              <w:t>)</w:t>
            </w:r>
          </w:p>
          <w:p w:rsidR="00443E4B" w:rsidRDefault="00443E4B" w:rsidP="008F0E72">
            <w:pPr>
              <w:rPr>
                <w:rFonts w:cstheme="minorHAnsi"/>
                <w:b/>
              </w:rPr>
            </w:pPr>
          </w:p>
          <w:p w:rsidR="00443E4B" w:rsidRDefault="00443E4B" w:rsidP="008F0E72">
            <w:pPr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OU</w:t>
            </w:r>
            <w:proofErr w:type="gramEnd"/>
          </w:p>
          <w:p w:rsidR="00443E4B" w:rsidRDefault="00443E4B" w:rsidP="008F0E72">
            <w:pPr>
              <w:rPr>
                <w:rFonts w:cstheme="minorHAnsi"/>
                <w:b/>
              </w:rPr>
            </w:pPr>
          </w:p>
          <w:p w:rsidR="000F2D83" w:rsidRPr="00F958F1" w:rsidRDefault="007060AD" w:rsidP="008F0E72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</w:t>
            </w:r>
            <w:r w:rsidR="008F0E72">
              <w:rPr>
                <w:rFonts w:cstheme="minorHAnsi"/>
              </w:rPr>
              <w:t>III.2.3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Default="00443E4B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Default="00443E4B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  <w:p w:rsidR="00443E4B" w:rsidRDefault="00443E4B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Default="00443E4B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Default="00443E4B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Pr="00AF2477" w:rsidRDefault="00443E4B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443E4B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Pr="00443E4B" w:rsidRDefault="00443E4B" w:rsidP="00443E4B">
            <w:pPr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Partie TRAVAUX</w:t>
            </w:r>
          </w:p>
          <w:p w:rsidR="00443E4B" w:rsidRDefault="00443E4B" w:rsidP="00443E4B">
            <w:pPr>
              <w:rPr>
                <w:rFonts w:cstheme="minorHAnsi"/>
                <w:b/>
              </w:rPr>
            </w:pPr>
          </w:p>
          <w:p w:rsidR="00443E4B" w:rsidRDefault="00443E4B" w:rsidP="00443E4B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Qualifications </w:t>
            </w:r>
            <w:r w:rsidRPr="00F958F1">
              <w:rPr>
                <w:rFonts w:cstheme="minorHAnsi"/>
              </w:rPr>
              <w:t>(cf. AAPC</w:t>
            </w:r>
            <w:r>
              <w:rPr>
                <w:rFonts w:cstheme="minorHAnsi"/>
              </w:rPr>
              <w:t xml:space="preserve"> §III.2.3</w:t>
            </w:r>
            <w:r w:rsidRPr="00F958F1">
              <w:rPr>
                <w:rFonts w:cstheme="minorHAnsi"/>
              </w:rPr>
              <w:t>)</w:t>
            </w:r>
          </w:p>
          <w:p w:rsidR="00443E4B" w:rsidRDefault="00443E4B" w:rsidP="00443E4B">
            <w:pPr>
              <w:rPr>
                <w:rFonts w:cstheme="minorHAnsi"/>
                <w:b/>
              </w:rPr>
            </w:pPr>
          </w:p>
          <w:p w:rsidR="00443E4B" w:rsidRDefault="00443E4B" w:rsidP="00443E4B">
            <w:pPr>
              <w:rPr>
                <w:rFonts w:cstheme="minorHAnsi"/>
                <w:b/>
              </w:rPr>
            </w:pPr>
            <w:proofErr w:type="gramStart"/>
            <w:r>
              <w:rPr>
                <w:rFonts w:cstheme="minorHAnsi"/>
                <w:b/>
              </w:rPr>
              <w:t>OU</w:t>
            </w:r>
            <w:proofErr w:type="gramEnd"/>
          </w:p>
          <w:p w:rsidR="00443E4B" w:rsidRDefault="00443E4B" w:rsidP="00443E4B">
            <w:pPr>
              <w:rPr>
                <w:rFonts w:cstheme="minorHAnsi"/>
                <w:b/>
              </w:rPr>
            </w:pPr>
          </w:p>
          <w:p w:rsidR="00443E4B" w:rsidRPr="00F958F1" w:rsidRDefault="00443E4B" w:rsidP="00443E4B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>
              <w:rPr>
                <w:rFonts w:cstheme="minorHAnsi"/>
              </w:rPr>
              <w:t xml:space="preserve"> §III.2.3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Default="00443E4B" w:rsidP="00443E4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Default="00443E4B" w:rsidP="00443E4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Default="00443E4B" w:rsidP="00443E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  <w:p w:rsidR="00443E4B" w:rsidRDefault="00443E4B" w:rsidP="00443E4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Default="00443E4B" w:rsidP="00443E4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Default="00443E4B" w:rsidP="00443E4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43E4B" w:rsidRPr="00AF2477" w:rsidRDefault="00443E4B" w:rsidP="00443E4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447333">
        <w:trPr>
          <w:trHeight w:val="778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443E4B" w:rsidP="00443E4B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Dernier </w:t>
            </w:r>
            <w:r w:rsidR="007A5DB1" w:rsidRPr="00172DD9">
              <w:rPr>
                <w:rFonts w:cstheme="minorHAnsi"/>
                <w:b/>
              </w:rPr>
              <w:t>Chiffre d’affaire</w:t>
            </w:r>
            <w:r w:rsidR="007A5DB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connu supérieur à 6M€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31692D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  <w:tr w:rsidR="00443E4B" w:rsidRPr="00F958F1" w:rsidTr="00E92380">
        <w:trPr>
          <w:trHeight w:val="82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Default="00443E4B" w:rsidP="008F0E72">
            <w:pPr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7 fiches compétence renseignées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Pr="00F958F1" w:rsidRDefault="00443E4B" w:rsidP="00E92380">
            <w:pPr>
              <w:jc w:val="center"/>
              <w:rPr>
                <w:rFonts w:cstheme="minorHAnsi"/>
                <w:sz w:val="24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  <w:tr w:rsidR="00443E4B" w:rsidRPr="00F958F1" w:rsidTr="00E92380">
        <w:trPr>
          <w:trHeight w:val="82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Pr="008F0E72" w:rsidRDefault="00443E4B" w:rsidP="008F0E72">
            <w:pPr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Mémoire technique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4B" w:rsidRPr="00F958F1" w:rsidRDefault="00443E4B" w:rsidP="00E92380">
            <w:pPr>
              <w:jc w:val="center"/>
              <w:rPr>
                <w:rFonts w:cstheme="minorHAnsi"/>
                <w:sz w:val="24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>
      <w:bookmarkStart w:id="0" w:name="_GoBack"/>
      <w:bookmarkEnd w:id="0"/>
    </w:p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8F0E72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24344 – marché global pour l’extension Pôle Conception AIA CP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457A0"/>
    <w:rsid w:val="00172DD9"/>
    <w:rsid w:val="00213DCB"/>
    <w:rsid w:val="002A3523"/>
    <w:rsid w:val="00403E62"/>
    <w:rsid w:val="00443E4B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8F0E72"/>
    <w:rsid w:val="00AF2477"/>
    <w:rsid w:val="00C32233"/>
    <w:rsid w:val="00CE38DF"/>
    <w:rsid w:val="00D46DC4"/>
    <w:rsid w:val="00D7313E"/>
    <w:rsid w:val="00E01DDB"/>
    <w:rsid w:val="00E70316"/>
    <w:rsid w:val="00F958F1"/>
    <w:rsid w:val="00FB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1BD1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c8fb32b6-fbae-48ba-a9a2-b443c8bd30b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4</cp:revision>
  <dcterms:created xsi:type="dcterms:W3CDTF">2025-02-20T10:09:00Z</dcterms:created>
  <dcterms:modified xsi:type="dcterms:W3CDTF">2025-02-25T14:17:00Z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