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48DDD95A" w:rsidR="009D60D5" w:rsidRPr="001B5605" w:rsidRDefault="006624FC"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4E0BC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4E0BCD">
              <w:rPr>
                <w:rFonts w:asciiTheme="minorHAnsi" w:hAnsiTheme="minorHAnsi"/>
                <w:b/>
                <w:bCs/>
                <w:smallCaps/>
                <w:sz w:val="24"/>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5862C9"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93A090C" w:rsidR="00741D2D" w:rsidRPr="00263FD0" w:rsidRDefault="004E0BCD" w:rsidP="00996FEA">
            <w:pPr>
              <w:rPr>
                <w:rFonts w:asciiTheme="minorHAnsi" w:hAnsiTheme="minorHAnsi" w:cs="Arial"/>
                <w:sz w:val="24"/>
                <w:lang w:val="en-GB"/>
              </w:rPr>
            </w:pPr>
            <w:r w:rsidRPr="004E0BCD">
              <w:rPr>
                <w:rFonts w:asciiTheme="minorHAnsi" w:hAnsiTheme="minorHAnsi" w:cs="Arial"/>
                <w:sz w:val="24"/>
                <w:lang w:val="en-GB"/>
              </w:rPr>
              <w:t>Supply and delivery Magnetic resonance imaging (MRI)</w:t>
            </w:r>
          </w:p>
        </w:tc>
      </w:tr>
      <w:tr w:rsidR="008714BB" w:rsidRPr="005862C9"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862C9"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156C4E3E" w14:textId="77777777" w:rsidR="00741D2D" w:rsidRDefault="00540DA7" w:rsidP="004E0BCD">
            <w:pPr>
              <w:rPr>
                <w:rFonts w:asciiTheme="minorHAnsi" w:hAnsiTheme="minorHAnsi"/>
                <w:b/>
                <w:bCs/>
                <w:smallCaps/>
                <w:sz w:val="24"/>
                <w:lang w:val="en"/>
              </w:rPr>
            </w:pPr>
            <w:bookmarkStart w:id="2" w:name="_Toc392669628"/>
            <w:r>
              <w:rPr>
                <w:rFonts w:asciiTheme="minorHAnsi" w:hAnsiTheme="minorHAnsi"/>
                <w:b/>
                <w:bCs/>
                <w:smallCaps/>
                <w:sz w:val="24"/>
                <w:lang w:val="en"/>
              </w:rPr>
              <w:t>MAXIMUM AMOUNT OF THE CONTRACT:</w:t>
            </w:r>
            <w:bookmarkEnd w:id="2"/>
          </w:p>
          <w:p w14:paraId="3090F4B2" w14:textId="58A67D2B" w:rsidR="004E0BCD" w:rsidRPr="004E0BCD" w:rsidRDefault="004E0BCD" w:rsidP="004E0BCD">
            <w:pPr>
              <w:rPr>
                <w:rFonts w:asciiTheme="minorHAnsi" w:hAnsiTheme="minorHAnsi"/>
                <w:b/>
                <w:caps/>
                <w:smallCaps/>
                <w:sz w:val="24"/>
                <w:lang w:val="en-GB"/>
              </w:rPr>
            </w:pPr>
          </w:p>
        </w:tc>
      </w:tr>
      <w:tr w:rsidR="008714BB" w:rsidRPr="005862C9" w14:paraId="2CFE4928" w14:textId="77777777" w:rsidTr="004E0BCD">
        <w:trPr>
          <w:trHeight w:val="709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862C9"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333C70FD" w:rsidR="00554974" w:rsidRPr="00263FD0" w:rsidRDefault="00801ECC" w:rsidP="00801ECC">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highlight w:val="green"/>
                <w:lang w:val="en"/>
              </w:rPr>
              <w:t>open tender in application of L. 2124-2, R. 2161-2, R. 2161-3, R. 2161-4 and R. 2161-5 of CCP</w:t>
            </w:r>
          </w:p>
          <w:p w14:paraId="012CC13F" w14:textId="71BC4DC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6624FC">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6624FC">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6624FC">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6624FC">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6624FC">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6624FC">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6624FC">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6624FC">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6624FC">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6624FC">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6624FC">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6624FC">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6624FC">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6624FC">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6624FC">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6624FC">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6624FC">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6624FC">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6624FC">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6624FC">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6624FC">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6624FC">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6624FC">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6624FC">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6624FC">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6624FC">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6624FC">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6624FC">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6624FC">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6624FC">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6624FC">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6624FC">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6624FC">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6624FC">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6624FC">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6624FC">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6624FC">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6624FC">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6624FC">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6624FC">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6624FC">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6624FC">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862C9"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commentRangeStart w:id="5"/>
            <w:commentRangeEnd w:id="5"/>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D854C43" w14:textId="77777777" w:rsidR="001121D2" w:rsidRPr="00006EA0" w:rsidRDefault="001121D2" w:rsidP="001121D2">
      <w:pPr>
        <w:spacing w:before="120"/>
        <w:jc w:val="both"/>
        <w:rPr>
          <w:rFonts w:asciiTheme="minorHAnsi" w:hAnsiTheme="minorHAnsi" w:cstheme="minorHAnsi"/>
          <w:sz w:val="22"/>
          <w:lang w:val="en-US"/>
        </w:rPr>
      </w:pPr>
      <w:r w:rsidRPr="003115EA">
        <w:rPr>
          <w:rFonts w:asciiTheme="minorHAnsi" w:hAnsiTheme="minorHAnsi" w:cstheme="minorHAnsi"/>
          <w:sz w:val="22"/>
          <w:lang w:val="en"/>
        </w:rPr>
        <w:t>In the context of the cooperation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Pr>
          <w:rFonts w:asciiTheme="minorHAnsi" w:hAnsiTheme="minorHAnsi" w:cstheme="minorHAnsi"/>
          <w:sz w:val="22"/>
          <w:lang w:val="en-US"/>
        </w:rPr>
        <w:t>CIQI021 01</w:t>
      </w:r>
      <w:r w:rsidRPr="00F80D71">
        <w:rPr>
          <w:rFonts w:asciiTheme="minorHAnsi" w:hAnsiTheme="minorHAnsi" w:cstheme="minorHAnsi"/>
          <w:sz w:val="22"/>
          <w:lang w:val="en"/>
        </w:rPr>
        <w:t xml:space="preserve"> </w:t>
      </w:r>
      <w:r w:rsidRPr="003115EA">
        <w:rPr>
          <w:rFonts w:asciiTheme="minorHAnsi" w:hAnsiTheme="minorHAnsi" w:cstheme="minorHAnsi"/>
          <w:sz w:val="22"/>
          <w:lang w:val="en"/>
        </w:rPr>
        <w:t xml:space="preserve">(donor contract) signed on </w:t>
      </w:r>
      <w:r w:rsidRPr="00815989">
        <w:rPr>
          <w:rFonts w:asciiTheme="minorHAnsi" w:hAnsiTheme="minorHAnsi" w:cstheme="minorHAnsi"/>
          <w:i/>
          <w:iCs/>
          <w:sz w:val="22"/>
          <w:lang w:val="en"/>
        </w:rPr>
        <w:t>November 17</w:t>
      </w:r>
      <w:r w:rsidRPr="00815989">
        <w:rPr>
          <w:rFonts w:asciiTheme="minorHAnsi" w:hAnsiTheme="minorHAnsi" w:cstheme="minorHAnsi"/>
          <w:i/>
          <w:iCs/>
          <w:sz w:val="22"/>
          <w:vertAlign w:val="superscript"/>
          <w:lang w:val="en"/>
        </w:rPr>
        <w:t>th</w:t>
      </w:r>
      <w:r w:rsidRPr="00815989">
        <w:rPr>
          <w:rFonts w:asciiTheme="minorHAnsi" w:hAnsiTheme="minorHAnsi" w:cstheme="minorHAnsi"/>
          <w:i/>
          <w:iCs/>
          <w:sz w:val="22"/>
          <w:lang w:val="en"/>
        </w:rPr>
        <w:t>, 202</w:t>
      </w:r>
      <w:r>
        <w:rPr>
          <w:rFonts w:asciiTheme="minorHAnsi" w:hAnsiTheme="minorHAnsi" w:cstheme="minorHAnsi"/>
          <w:i/>
          <w:iCs/>
          <w:sz w:val="22"/>
          <w:lang w:val="en"/>
        </w:rPr>
        <w:t>2</w:t>
      </w:r>
      <w:r w:rsidRPr="00815989">
        <w:rPr>
          <w:rFonts w:asciiTheme="minorHAnsi" w:hAnsiTheme="minorHAnsi" w:cstheme="minorHAnsi"/>
          <w:i/>
          <w:iCs/>
          <w:sz w:val="22"/>
          <w:lang w:val="en"/>
        </w:rPr>
        <w:t xml:space="preserve"> </w:t>
      </w:r>
      <w:r w:rsidRPr="00815989">
        <w:rPr>
          <w:rFonts w:asciiTheme="minorHAnsi" w:hAnsiTheme="minorHAnsi" w:cstheme="minorHAnsi"/>
          <w:sz w:val="22"/>
          <w:lang w:val="en"/>
        </w:rPr>
        <w:t>between</w:t>
      </w:r>
      <w:r w:rsidRPr="003115EA">
        <w:rPr>
          <w:rFonts w:asciiTheme="minorHAnsi" w:hAnsiTheme="minorHAnsi" w:cstheme="minorHAnsi"/>
          <w:sz w:val="22"/>
          <w:lang w:val="en"/>
        </w:rPr>
        <w:t xml:space="preserve"> </w:t>
      </w:r>
      <w:r>
        <w:rPr>
          <w:rFonts w:asciiTheme="minorHAnsi" w:hAnsiTheme="minorHAnsi" w:cstheme="minorHAnsi"/>
          <w:i/>
          <w:iCs/>
          <w:sz w:val="22"/>
          <w:lang w:val="en"/>
        </w:rPr>
        <w:t>AFD</w:t>
      </w:r>
      <w:r w:rsidRPr="003115EA">
        <w:rPr>
          <w:rFonts w:asciiTheme="minorHAnsi" w:hAnsiTheme="minorHAnsi" w:cstheme="minorHAnsi"/>
          <w:sz w:val="22"/>
          <w:lang w:val="en"/>
        </w:rPr>
        <w:t xml:space="preserve"> and </w:t>
      </w:r>
      <w:r>
        <w:rPr>
          <w:rFonts w:asciiTheme="minorHAnsi" w:hAnsiTheme="minorHAnsi" w:cstheme="minorHAnsi"/>
          <w:i/>
          <w:iCs/>
          <w:sz w:val="22"/>
          <w:lang w:val="en"/>
        </w:rPr>
        <w:t>Expertise France</w:t>
      </w:r>
      <w:r w:rsidRPr="003115EA">
        <w:rPr>
          <w:rFonts w:asciiTheme="minorHAnsi" w:hAnsiTheme="minorHAnsi" w:cstheme="minorHAnsi"/>
          <w:sz w:val="22"/>
          <w:lang w:val="en"/>
        </w:rPr>
        <w:t xml:space="preserve">, covering </w:t>
      </w:r>
      <w:r w:rsidRPr="00815989">
        <w:rPr>
          <w:rFonts w:asciiTheme="minorHAnsi" w:hAnsiTheme="minorHAnsi" w:cstheme="minorHAnsi"/>
          <w:sz w:val="22"/>
          <w:lang w:val="en"/>
        </w:rPr>
        <w:t>“</w:t>
      </w:r>
      <w:r w:rsidRPr="00815989">
        <w:rPr>
          <w:rFonts w:asciiTheme="minorHAnsi" w:hAnsiTheme="minorHAnsi" w:cstheme="minorHAnsi"/>
          <w:i/>
          <w:iCs/>
          <w:sz w:val="22"/>
          <w:lang w:val="en"/>
        </w:rPr>
        <w:t>the support and the start-up and deployment of the Medical Research and Care Centre (MRCC) of the University of Mosul</w:t>
      </w:r>
      <w:r w:rsidRPr="003115EA">
        <w:rPr>
          <w:rFonts w:asciiTheme="minorHAnsi" w:hAnsiTheme="minorHAnsi" w:cstheme="minorHAnsi"/>
          <w:sz w:val="22"/>
          <w:lang w:val="en"/>
        </w:rPr>
        <w:t>“,</w:t>
      </w:r>
      <w:r>
        <w:rPr>
          <w:rFonts w:asciiTheme="minorHAnsi" w:hAnsiTheme="minorHAnsi" w:cstheme="minorHAnsi"/>
          <w:sz w:val="22"/>
          <w:lang w:val="en"/>
        </w:rPr>
        <w:t xml:space="preserve"> </w:t>
      </w:r>
      <w:r w:rsidRPr="003115EA">
        <w:rPr>
          <w:rFonts w:asciiTheme="minorHAnsi" w:hAnsiTheme="minorHAnsi" w:cstheme="minorHAnsi"/>
          <w:smallCaps/>
          <w:szCs w:val="22"/>
          <w:lang w:val="en-GB"/>
        </w:rPr>
        <w:t>E</w:t>
      </w:r>
      <w:r w:rsidRPr="003115EA">
        <w:rPr>
          <w:rFonts w:asciiTheme="minorHAnsi" w:hAnsiTheme="minorHAnsi" w:cstheme="minorHAnsi"/>
          <w:smallCaps/>
          <w:sz w:val="22"/>
          <w:szCs w:val="22"/>
          <w:lang w:val="en-GB"/>
        </w:rPr>
        <w:t xml:space="preserve">xpertise </w:t>
      </w:r>
      <w:r w:rsidRPr="003115EA">
        <w:rPr>
          <w:rFonts w:asciiTheme="minorHAnsi" w:hAnsiTheme="minorHAnsi" w:cstheme="minorHAnsi"/>
          <w:smallCaps/>
          <w:szCs w:val="22"/>
          <w:lang w:val="en-GB"/>
        </w:rPr>
        <w:t>F</w:t>
      </w:r>
      <w:r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 xml:space="preserve">as set out in the attached technical annex </w:t>
      </w:r>
      <w:r>
        <w:rPr>
          <w:rFonts w:asciiTheme="minorHAnsi" w:hAnsiTheme="minorHAnsi" w:cstheme="minorHAnsi"/>
          <w:sz w:val="22"/>
          <w:lang w:val="en"/>
        </w:rPr>
        <w:t xml:space="preserve">1 </w:t>
      </w:r>
      <w:r w:rsidRPr="003115EA">
        <w:rPr>
          <w:rFonts w:asciiTheme="minorHAnsi" w:hAnsiTheme="minorHAnsi" w:cstheme="minorHAnsi"/>
          <w:sz w:val="22"/>
          <w:lang w:val="en"/>
        </w:rPr>
        <w:t>“</w:t>
      </w:r>
      <w:r w:rsidRPr="00A10DBE">
        <w:rPr>
          <w:rFonts w:asciiTheme="minorHAnsi" w:hAnsiTheme="minorHAnsi" w:cstheme="minorHAnsi"/>
          <w:sz w:val="22"/>
          <w:lang w:val="en"/>
        </w:rPr>
        <w:t>Terms of reference and technical specifications</w:t>
      </w:r>
      <w:r w:rsidRPr="003115E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9970FF6" w14:textId="77777777" w:rsidR="001121D2" w:rsidRDefault="00E551F2" w:rsidP="001121D2">
      <w:pPr>
        <w:pStyle w:val="u"/>
        <w:widowControl w:val="0"/>
        <w:spacing w:before="240"/>
        <w:ind w:left="561"/>
        <w:rPr>
          <w:rFonts w:asciiTheme="minorHAnsi" w:hAnsiTheme="minorHAnsi" w:cs="Arial"/>
          <w:lang w:val="en"/>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w:t>
      </w:r>
      <w:r w:rsidR="001121D2" w:rsidRPr="001121D2">
        <w:t xml:space="preserve"> </w:t>
      </w:r>
      <w:r w:rsidR="001121D2" w:rsidRPr="001121D2">
        <w:rPr>
          <w:rFonts w:asciiTheme="minorHAnsi" w:hAnsiTheme="minorHAnsi" w:cs="Arial"/>
          <w:lang w:val="en"/>
        </w:rPr>
        <w:t>Supply and delivery Magnetic resonance imaging (MRI)</w:t>
      </w:r>
    </w:p>
    <w:p w14:paraId="0E52074F" w14:textId="581004DA" w:rsidR="001726C5" w:rsidRPr="00F2235E" w:rsidRDefault="00E551F2" w:rsidP="001121D2">
      <w:pPr>
        <w:pStyle w:val="u"/>
        <w:widowControl w:val="0"/>
        <w:spacing w:before="240"/>
        <w:ind w:left="561"/>
        <w:rPr>
          <w:rFonts w:asciiTheme="minorHAnsi" w:hAnsiTheme="minorHAnsi"/>
          <w:b/>
          <w:caps/>
          <w:sz w:val="24"/>
          <w:u w:val="single"/>
        </w:rPr>
      </w:pPr>
      <w:r w:rsidRPr="00F2235E">
        <w:rPr>
          <w:rFonts w:asciiTheme="minorHAnsi" w:hAnsiTheme="minorHAnsi" w:cs="Arial"/>
          <w:lang w:val="en"/>
        </w:rPr>
        <w:t xml:space="preserve"> </w:t>
      </w:r>
      <w:bookmarkStart w:id="7" w:name="_Toc140836306"/>
      <w:r w:rsidR="001726C5"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1869149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0DB03772" w14:textId="3BB89617"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sidR="001121D2">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w:t>
      </w:r>
      <w:r w:rsidR="001121D2">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prices. </w:t>
      </w:r>
    </w:p>
    <w:p w14:paraId="313A6F2F" w14:textId="311040D7" w:rsidR="001E12A9" w:rsidRPr="00F41A62" w:rsidRDefault="001E12A9" w:rsidP="001E12A9">
      <w:pPr>
        <w:pStyle w:val="Titre2"/>
        <w:spacing w:before="120" w:after="60"/>
        <w:rPr>
          <w:rFonts w:asciiTheme="minorHAnsi" w:hAnsiTheme="minorHAnsi" w:cstheme="minorHAnsi"/>
          <w:sz w:val="22"/>
          <w:szCs w:val="22"/>
          <w:lang w:val="en-GB"/>
        </w:rPr>
      </w:pPr>
      <w:bookmarkStart w:id="12" w:name="_Toc140836310"/>
      <w:bookmarkEnd w:id="11"/>
      <w:r w:rsidRPr="00F41A62">
        <w:rPr>
          <w:rFonts w:asciiTheme="minorHAnsi" w:hAnsiTheme="minorHAnsi" w:cstheme="minorHAnsi"/>
          <w:sz w:val="22"/>
          <w:szCs w:val="22"/>
          <w:lang w:val="en"/>
        </w:rPr>
        <w:t>Commencement and deadline of supply delivery</w:t>
      </w:r>
      <w:bookmarkEnd w:id="12"/>
    </w:p>
    <w:p w14:paraId="29C83A50" w14:textId="31FDD947"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supply delivery deadline under this </w:t>
      </w:r>
      <w:r w:rsidRPr="00F41A62">
        <w:rPr>
          <w:rFonts w:asciiTheme="minorHAnsi" w:hAnsiTheme="minorHAnsi" w:cstheme="minorHAnsi"/>
          <w:smallCaps/>
          <w:szCs w:val="22"/>
          <w:lang w:val="en"/>
        </w:rPr>
        <w:t>Contract</w:t>
      </w:r>
      <w:r w:rsidR="000B287F">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0B287F">
        <w:rPr>
          <w:rFonts w:asciiTheme="minorHAnsi" w:hAnsiTheme="minorHAnsi" w:cstheme="minorHAnsi"/>
          <w:szCs w:val="22"/>
          <w:lang w:val="en"/>
        </w:rPr>
        <w:t xml:space="preserve">300 </w:t>
      </w:r>
      <w:r w:rsidRPr="00F41A62">
        <w:rPr>
          <w:rFonts w:asciiTheme="minorHAnsi" w:hAnsiTheme="minorHAnsi" w:cstheme="minorHAnsi"/>
          <w:szCs w:val="22"/>
          <w:lang w:val="en"/>
        </w:rPr>
        <w:t xml:space="preserve">days from the award date of this </w:t>
      </w:r>
      <w:r w:rsidRPr="00F41A62">
        <w:rPr>
          <w:rFonts w:asciiTheme="minorHAnsi" w:hAnsiTheme="minorHAnsi" w:cstheme="minorHAnsi"/>
          <w:smallCaps/>
          <w:szCs w:val="22"/>
          <w:lang w:val="en"/>
        </w:rPr>
        <w:t>Contract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3" w:name="_Toc140836312"/>
      <w:r w:rsidRPr="00F41A62">
        <w:rPr>
          <w:rFonts w:asciiTheme="minorHAnsi" w:hAnsiTheme="minorHAnsi" w:cstheme="minorHAnsi"/>
          <w:sz w:val="22"/>
          <w:szCs w:val="22"/>
          <w:lang w:val="en"/>
        </w:rPr>
        <w:t>Firming-up of order tranches</w:t>
      </w:r>
      <w:bookmarkEnd w:id="13"/>
    </w:p>
    <w:p w14:paraId="3382932C" w14:textId="57FEC99D"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services/supplies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4A236F1A"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service order issued by Expertise France. </w:t>
      </w:r>
    </w:p>
    <w:p w14:paraId="58D84AC8" w14:textId="4C6A19A0"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4B1047DD"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is</w:t>
      </w:r>
      <w:r w:rsidRPr="00BF11CD">
        <w:rPr>
          <w:rFonts w:asciiTheme="minorHAnsi" w:hAnsiTheme="minorHAnsi" w:cstheme="minorHAnsi"/>
          <w:szCs w:val="22"/>
          <w:lang w:val="en"/>
        </w:rPr>
        <w:t>:</w:t>
      </w:r>
      <w:r w:rsidR="00BF11CD" w:rsidRPr="00BF11CD">
        <w:rPr>
          <w:rFonts w:asciiTheme="minorHAnsi" w:hAnsiTheme="minorHAnsi" w:cstheme="minorHAnsi"/>
          <w:szCs w:val="22"/>
          <w:lang w:val="en"/>
        </w:rPr>
        <w:t xml:space="preserve">           $ </w:t>
      </w:r>
      <w:r w:rsidRPr="00BF11CD">
        <w:rPr>
          <w:rFonts w:asciiTheme="minorHAnsi" w:hAnsiTheme="minorHAnsi" w:cstheme="minorHAnsi"/>
          <w:szCs w:val="22"/>
          <w:lang w:val="en"/>
        </w:rPr>
        <w:t>exc. VAT.</w:t>
      </w:r>
    </w:p>
    <w:p w14:paraId="44F98D11" w14:textId="3CA1BEF5" w:rsidR="00123D1A" w:rsidRPr="00F41A62" w:rsidRDefault="00123D1A" w:rsidP="00BF11CD">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BF11CD" w:rsidRPr="00F41A62">
        <w:rPr>
          <w:rFonts w:asciiTheme="minorHAnsi" w:hAnsiTheme="minorHAnsi" w:cstheme="minorHAnsi"/>
          <w:szCs w:val="22"/>
          <w:lang w:val="en-GB"/>
        </w:rPr>
        <w:t xml:space="preserve"> </w:t>
      </w:r>
    </w:p>
    <w:p w14:paraId="64CF01E8" w14:textId="4AD902E7" w:rsidR="00D23E07" w:rsidRPr="00BF11CD" w:rsidRDefault="005C3E0B" w:rsidP="00BF11CD">
      <w:pPr>
        <w:spacing w:line="240" w:lineRule="auto"/>
        <w:rPr>
          <w:rFonts w:asciiTheme="minorHAnsi" w:eastAsia="Times New Roman" w:hAnsiTheme="minorHAnsi" w:cstheme="minorHAnsi"/>
          <w:sz w:val="22"/>
          <w:szCs w:val="22"/>
          <w:lang w:val="en"/>
        </w:rPr>
      </w:pPr>
      <w:r>
        <w:rPr>
          <w:rFonts w:asciiTheme="minorHAnsi" w:hAnsiTheme="minorHAnsi" w:cstheme="minorHAnsi"/>
          <w:szCs w:val="22"/>
          <w:lang w:val="en"/>
        </w:rPr>
        <w:br w:type="page"/>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commentRangeStart w:id="20"/>
      <w:commentRangeEnd w:id="20"/>
      <w:r w:rsidRPr="00722AD6">
        <w:rPr>
          <w:rFonts w:asciiTheme="minorHAnsi" w:hAnsiTheme="minorHAnsi" w:cstheme="minorHAnsi"/>
          <w:sz w:val="22"/>
          <w:szCs w:val="22"/>
          <w:lang w:val="en"/>
        </w:rPr>
        <w:lastRenderedPageBreak/>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659C2F5C" w14:textId="4B55861D"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3271BA">
        <w:rPr>
          <w:rFonts w:asciiTheme="minorHAnsi" w:hAnsiTheme="minorHAnsi" w:cstheme="minorHAnsi"/>
          <w:szCs w:val="22"/>
          <w:lang w:val="en"/>
        </w:rPr>
        <w:t xml:space="preserve"> $ </w:t>
      </w:r>
      <w:r w:rsidRPr="008E7A24">
        <w:rPr>
          <w:rFonts w:asciiTheme="minorHAnsi" w:hAnsiTheme="minorHAnsi" w:cstheme="minorHAnsi"/>
          <w:szCs w:val="22"/>
          <w:lang w:val="en"/>
        </w:rPr>
        <w:t xml:space="preserve">XXXXXX 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79634EAC" w14:textId="2EC09398" w:rsidR="003231C9" w:rsidRPr="00314455" w:rsidRDefault="003231C9" w:rsidP="009D7F6C">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w:t>
      </w:r>
      <w:r w:rsidR="00D847D6">
        <w:rPr>
          <w:rFonts w:asciiTheme="minorHAnsi" w:hAnsiTheme="minorHAnsi" w:cstheme="minorHAnsi"/>
          <w:szCs w:val="22"/>
          <w:lang w:val="en"/>
        </w:rPr>
        <w:t>ate amount of payments reaches 6</w:t>
      </w:r>
      <w:r w:rsidRPr="008E7A24">
        <w:rPr>
          <w:rFonts w:asciiTheme="minorHAnsi" w:hAnsiTheme="minorHAnsi" w:cstheme="minorHAnsi"/>
          <w:szCs w:val="22"/>
          <w:lang w:val="en"/>
        </w:rPr>
        <w:t>0% of the price of the item.</w:t>
      </w:r>
    </w:p>
    <w:p w14:paraId="33ACE826" w14:textId="528E98F9" w:rsidR="00031F69" w:rsidRPr="003271BA" w:rsidRDefault="002712EA" w:rsidP="003271B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18E1EF8E" w14:textId="3CABCB9F" w:rsidR="00E637E0" w:rsidRPr="00031F69" w:rsidRDefault="003271BA" w:rsidP="002F342B">
      <w:pPr>
        <w:pStyle w:val="u"/>
        <w:widowControl w:val="0"/>
        <w:numPr>
          <w:ilvl w:val="0"/>
          <w:numId w:val="54"/>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B</w:t>
      </w:r>
      <w:r w:rsidR="00E637E0" w:rsidRPr="00031F69">
        <w:rPr>
          <w:rFonts w:asciiTheme="minorHAnsi" w:hAnsiTheme="minorHAnsi" w:cstheme="minorHAnsi"/>
          <w:b/>
          <w:bCs/>
          <w:szCs w:val="22"/>
          <w:lang w:val="en"/>
        </w:rPr>
        <w:t>alance</w:t>
      </w:r>
    </w:p>
    <w:p w14:paraId="2EAFE61D" w14:textId="170C2C97" w:rsidR="007B473C" w:rsidRPr="00DA34BC" w:rsidRDefault="003271BA" w:rsidP="00A1761D">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T</w:t>
      </w:r>
      <w:r w:rsidR="00E637E0" w:rsidRPr="00DA34BC">
        <w:rPr>
          <w:rFonts w:asciiTheme="minorHAnsi" w:hAnsiTheme="minorHAnsi" w:cs="Arial"/>
          <w:szCs w:val="22"/>
          <w:lang w:val="en"/>
        </w:rPr>
        <w: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19"/>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7CBE4696" w14:textId="77777777" w:rsidR="00730A8E" w:rsidRPr="00CB5E4E" w:rsidRDefault="00730A8E" w:rsidP="00730A8E">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 xml:space="preserve">The technical partner of the project, La Chaine de l’Espoir </w:t>
      </w:r>
    </w:p>
    <w:p w14:paraId="20BF74D8" w14:textId="77777777" w:rsidR="00730A8E" w:rsidRPr="00730A8E" w:rsidRDefault="00730A8E" w:rsidP="00730A8E">
      <w:pPr>
        <w:pStyle w:val="u"/>
        <w:widowControl w:val="0"/>
        <w:rPr>
          <w:rFonts w:asciiTheme="minorHAnsi" w:hAnsiTheme="minorHAnsi" w:cs="Arial"/>
          <w:szCs w:val="22"/>
          <w:lang w:val="en-GB"/>
        </w:rPr>
      </w:pPr>
    </w:p>
    <w:p w14:paraId="46657294" w14:textId="77777777" w:rsidR="00730A8E" w:rsidRPr="00CB5E4E" w:rsidRDefault="00730A8E" w:rsidP="00730A8E">
      <w:pPr>
        <w:pStyle w:val="u"/>
        <w:widowControl w:val="0"/>
        <w:rPr>
          <w:rFonts w:asciiTheme="minorHAnsi" w:hAnsiTheme="minorHAnsi" w:cs="Arial"/>
          <w:szCs w:val="22"/>
          <w:lang w:val="en-GB"/>
        </w:rPr>
      </w:pP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641D51DA" w:rsidR="00C27993" w:rsidRPr="00CB5E4E" w:rsidRDefault="00D00B3A" w:rsidP="00730A8E">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730A8E">
        <w:rPr>
          <w:rFonts w:asciiTheme="minorHAnsi" w:hAnsiTheme="minorHAnsi" w:cs="Arial"/>
          <w:szCs w:val="22"/>
          <w:lang w:val="en"/>
        </w:rPr>
        <w:t xml:space="preserve">project </w:t>
      </w:r>
      <w:r w:rsidR="00730A8E" w:rsidRPr="00730A8E">
        <w:rPr>
          <w:rFonts w:asciiTheme="minorHAnsi" w:hAnsiTheme="minorHAnsi" w:cs="Arial"/>
          <w:szCs w:val="22"/>
          <w:lang w:val="en"/>
        </w:rPr>
        <w:t>manager</w:t>
      </w:r>
      <w:r w:rsidRPr="00730A8E">
        <w:rPr>
          <w:rFonts w:asciiTheme="minorHAnsi" w:hAnsiTheme="minorHAnsi" w:cs="Arial"/>
          <w:szCs w:val="22"/>
          <w:lang w:val="en"/>
        </w:rPr>
        <w:t xml:space="preserve">, </w:t>
      </w:r>
      <w:r w:rsidR="00730A8E" w:rsidRPr="00730A8E">
        <w:rPr>
          <w:rFonts w:asciiTheme="minorHAnsi" w:hAnsiTheme="minorHAnsi" w:cs="Arial"/>
          <w:szCs w:val="22"/>
        </w:rPr>
        <w:t>Homam SHAHHOUD</w:t>
      </w:r>
    </w:p>
    <w:p w14:paraId="21E3EC15" w14:textId="77777777" w:rsidR="00730A8E" w:rsidRPr="00841E64" w:rsidRDefault="00730A8E" w:rsidP="00730A8E">
      <w:pPr>
        <w:pStyle w:val="u"/>
        <w:numPr>
          <w:ilvl w:val="0"/>
          <w:numId w:val="11"/>
        </w:numPr>
        <w:rPr>
          <w:rFonts w:asciiTheme="minorHAnsi" w:hAnsiTheme="minorHAnsi" w:cs="Arial"/>
          <w:szCs w:val="22"/>
          <w:lang w:val="en-GB"/>
        </w:rPr>
      </w:pPr>
      <w:r w:rsidRPr="00841E64">
        <w:rPr>
          <w:rFonts w:asciiTheme="minorHAnsi" w:hAnsiTheme="minorHAnsi" w:cs="Arial"/>
          <w:szCs w:val="22"/>
          <w:lang w:val="en"/>
        </w:rPr>
        <w:t xml:space="preserve">the Technical Committee of the MRCC </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Style w:val="Grilledutableau"/>
        <w:tblW w:w="0" w:type="auto"/>
        <w:tblInd w:w="562" w:type="dxa"/>
        <w:tblLook w:val="04A0" w:firstRow="1" w:lastRow="0" w:firstColumn="1" w:lastColumn="0" w:noHBand="0" w:noVBand="1"/>
      </w:tblPr>
      <w:tblGrid>
        <w:gridCol w:w="1476"/>
        <w:gridCol w:w="5160"/>
        <w:gridCol w:w="2538"/>
      </w:tblGrid>
      <w:tr w:rsidR="005C1231" w:rsidRPr="00D95D87" w14:paraId="381109C1" w14:textId="77777777" w:rsidTr="00B942A2">
        <w:tc>
          <w:tcPr>
            <w:tcW w:w="9174" w:type="dxa"/>
            <w:gridSpan w:val="3"/>
          </w:tcPr>
          <w:p w14:paraId="5B7F273C"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Periodic deliverables</w:t>
            </w:r>
          </w:p>
        </w:tc>
      </w:tr>
      <w:tr w:rsidR="005C1231" w:rsidRPr="00D95D87" w14:paraId="21D70271" w14:textId="77777777" w:rsidTr="0009201E">
        <w:tc>
          <w:tcPr>
            <w:tcW w:w="1476"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160"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38"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09201E" w:rsidRPr="00D95D87" w14:paraId="3D4B3477" w14:textId="77777777" w:rsidTr="0009201E">
        <w:tc>
          <w:tcPr>
            <w:tcW w:w="1476" w:type="dxa"/>
            <w:vMerge w:val="restart"/>
          </w:tcPr>
          <w:p w14:paraId="1EA659BC" w14:textId="77777777" w:rsidR="0009201E" w:rsidRDefault="0009201E" w:rsidP="0009201E">
            <w:pPr>
              <w:pStyle w:val="u"/>
              <w:widowControl w:val="0"/>
              <w:numPr>
                <w:ilvl w:val="12"/>
                <w:numId w:val="0"/>
              </w:numPr>
              <w:rPr>
                <w:rFonts w:asciiTheme="minorHAnsi" w:hAnsiTheme="minorHAnsi" w:cstheme="minorHAnsi"/>
                <w:szCs w:val="22"/>
              </w:rPr>
            </w:pPr>
          </w:p>
          <w:p w14:paraId="5595F1C0" w14:textId="77777777" w:rsidR="0009201E" w:rsidRDefault="0009201E" w:rsidP="0009201E">
            <w:pPr>
              <w:pStyle w:val="u"/>
              <w:widowControl w:val="0"/>
              <w:numPr>
                <w:ilvl w:val="12"/>
                <w:numId w:val="0"/>
              </w:numPr>
              <w:rPr>
                <w:rFonts w:asciiTheme="minorHAnsi" w:hAnsiTheme="minorHAnsi" w:cstheme="minorHAnsi"/>
                <w:szCs w:val="22"/>
              </w:rPr>
            </w:pPr>
          </w:p>
          <w:p w14:paraId="5CE7DE7D" w14:textId="77777777" w:rsidR="0009201E" w:rsidRDefault="0009201E" w:rsidP="0009201E">
            <w:pPr>
              <w:pStyle w:val="u"/>
              <w:widowControl w:val="0"/>
              <w:numPr>
                <w:ilvl w:val="12"/>
                <w:numId w:val="0"/>
              </w:numPr>
              <w:rPr>
                <w:rFonts w:asciiTheme="minorHAnsi" w:hAnsiTheme="minorHAnsi" w:cstheme="minorHAnsi"/>
                <w:szCs w:val="22"/>
              </w:rPr>
            </w:pPr>
          </w:p>
          <w:p w14:paraId="2EB9CA01" w14:textId="746835E1" w:rsidR="0009201E" w:rsidRPr="00D95D87" w:rsidRDefault="0009201E" w:rsidP="0009201E">
            <w:pPr>
              <w:pStyle w:val="u"/>
              <w:widowControl w:val="0"/>
              <w:numPr>
                <w:ilvl w:val="12"/>
                <w:numId w:val="0"/>
              </w:numPr>
              <w:rPr>
                <w:rFonts w:asciiTheme="minorHAnsi" w:hAnsiTheme="minorHAnsi" w:cstheme="minorHAnsi"/>
                <w:szCs w:val="22"/>
              </w:rPr>
            </w:pPr>
            <w:r w:rsidRPr="00B942A2">
              <w:rPr>
                <w:rFonts w:asciiTheme="minorHAnsi" w:hAnsiTheme="minorHAnsi" w:cstheme="minorHAnsi"/>
                <w:szCs w:val="22"/>
              </w:rPr>
              <w:t>Site visit report or assessments</w:t>
            </w:r>
            <w:r>
              <w:rPr>
                <w:rFonts w:asciiTheme="minorHAnsi" w:hAnsiTheme="minorHAnsi" w:cstheme="minorHAnsi"/>
                <w:szCs w:val="22"/>
              </w:rPr>
              <w:t>.</w:t>
            </w:r>
          </w:p>
        </w:tc>
        <w:tc>
          <w:tcPr>
            <w:tcW w:w="5160" w:type="dxa"/>
          </w:tcPr>
          <w:p w14:paraId="28875817" w14:textId="5A442AE1" w:rsidR="0009201E" w:rsidRPr="00D95D87" w:rsidRDefault="0009201E" w:rsidP="0009201E">
            <w:pPr>
              <w:pStyle w:val="u"/>
              <w:widowControl w:val="0"/>
              <w:numPr>
                <w:ilvl w:val="12"/>
                <w:numId w:val="0"/>
              </w:numPr>
              <w:rPr>
                <w:rFonts w:asciiTheme="minorHAnsi" w:hAnsiTheme="minorHAnsi" w:cstheme="minorHAnsi"/>
                <w:szCs w:val="22"/>
              </w:rPr>
            </w:pPr>
            <w:r w:rsidRPr="00B942A2">
              <w:rPr>
                <w:rFonts w:asciiTheme="minorHAnsi" w:hAnsiTheme="minorHAnsi" w:cstheme="minorHAnsi"/>
                <w:szCs w:val="22"/>
              </w:rPr>
              <w:t>Technical documentation &amp; plan for selecting the best equipmen</w:t>
            </w:r>
          </w:p>
        </w:tc>
        <w:tc>
          <w:tcPr>
            <w:tcW w:w="2538" w:type="dxa"/>
          </w:tcPr>
          <w:p w14:paraId="6B4B2805"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6CF64B68" w14:textId="77777777" w:rsidTr="0009201E">
        <w:tc>
          <w:tcPr>
            <w:tcW w:w="1476" w:type="dxa"/>
            <w:vMerge/>
          </w:tcPr>
          <w:p w14:paraId="59F5E35F"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49208CE7" w14:textId="738A2C0A" w:rsidR="0009201E" w:rsidRPr="00B942A2" w:rsidRDefault="0009201E" w:rsidP="0009201E">
            <w:pPr>
              <w:pStyle w:val="Default"/>
              <w:jc w:val="both"/>
              <w:rPr>
                <w:rFonts w:asciiTheme="minorHAnsi" w:hAnsiTheme="minorHAnsi" w:cstheme="minorHAnsi"/>
                <w:color w:val="auto"/>
                <w:sz w:val="22"/>
                <w:szCs w:val="22"/>
              </w:rPr>
            </w:pPr>
            <w:r w:rsidRPr="00B942A2">
              <w:rPr>
                <w:rFonts w:asciiTheme="minorHAnsi" w:hAnsiTheme="minorHAnsi" w:cstheme="minorHAnsi"/>
                <w:color w:val="auto"/>
                <w:sz w:val="22"/>
                <w:szCs w:val="22"/>
              </w:rPr>
              <w:t xml:space="preserve">Methodology, layout, for new MRI installation </w:t>
            </w:r>
          </w:p>
        </w:tc>
        <w:tc>
          <w:tcPr>
            <w:tcW w:w="2538" w:type="dxa"/>
          </w:tcPr>
          <w:p w14:paraId="00CA539C"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11DF8ED9" w14:textId="77777777" w:rsidTr="0009201E">
        <w:tc>
          <w:tcPr>
            <w:tcW w:w="1476" w:type="dxa"/>
            <w:vMerge/>
          </w:tcPr>
          <w:p w14:paraId="3FB7B66A"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05DDD99A" w14:textId="2318D1C9" w:rsidR="0009201E" w:rsidRPr="00B942A2" w:rsidRDefault="0009201E" w:rsidP="0009201E">
            <w:pPr>
              <w:pStyle w:val="Default"/>
              <w:jc w:val="both"/>
              <w:rPr>
                <w:rFonts w:asciiTheme="minorHAnsi" w:hAnsiTheme="minorHAnsi" w:cstheme="minorHAnsi"/>
                <w:color w:val="auto"/>
                <w:sz w:val="22"/>
                <w:szCs w:val="22"/>
              </w:rPr>
            </w:pPr>
            <w:r w:rsidRPr="00B942A2">
              <w:rPr>
                <w:rFonts w:asciiTheme="minorHAnsi" w:hAnsiTheme="minorHAnsi" w:cstheme="minorHAnsi"/>
                <w:color w:val="auto"/>
                <w:sz w:val="22"/>
                <w:szCs w:val="22"/>
              </w:rPr>
              <w:t xml:space="preserve">Methodology for dismantling old equipment </w:t>
            </w:r>
          </w:p>
        </w:tc>
        <w:tc>
          <w:tcPr>
            <w:tcW w:w="2538" w:type="dxa"/>
          </w:tcPr>
          <w:p w14:paraId="2AF19B4C"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5413CD61" w14:textId="77777777" w:rsidTr="0009201E">
        <w:tc>
          <w:tcPr>
            <w:tcW w:w="1476" w:type="dxa"/>
            <w:vMerge/>
          </w:tcPr>
          <w:p w14:paraId="0D532965"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4A67CC7A" w14:textId="647B27FB" w:rsidR="0009201E" w:rsidRPr="00D95D87" w:rsidRDefault="0009201E" w:rsidP="0009201E">
            <w:pPr>
              <w:pStyle w:val="u"/>
              <w:widowControl w:val="0"/>
              <w:numPr>
                <w:ilvl w:val="12"/>
                <w:numId w:val="0"/>
              </w:numPr>
              <w:rPr>
                <w:rFonts w:asciiTheme="minorHAnsi" w:hAnsiTheme="minorHAnsi" w:cstheme="minorHAnsi"/>
                <w:szCs w:val="22"/>
              </w:rPr>
            </w:pPr>
            <w:r w:rsidRPr="00B942A2">
              <w:rPr>
                <w:rFonts w:asciiTheme="minorHAnsi" w:hAnsiTheme="minorHAnsi" w:cstheme="minorHAnsi"/>
                <w:szCs w:val="22"/>
              </w:rPr>
              <w:t>Technical details, layout and methodology for infra and MEP works of the specific room</w:t>
            </w:r>
          </w:p>
        </w:tc>
        <w:tc>
          <w:tcPr>
            <w:tcW w:w="2538" w:type="dxa"/>
          </w:tcPr>
          <w:p w14:paraId="0B1C346C"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4917A320" w14:textId="77777777" w:rsidTr="0009201E">
        <w:tc>
          <w:tcPr>
            <w:tcW w:w="1476" w:type="dxa"/>
            <w:vMerge/>
          </w:tcPr>
          <w:p w14:paraId="16BADA48"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1954C00B" w14:textId="351FFE0B" w:rsidR="0009201E" w:rsidRPr="00B942A2" w:rsidRDefault="0009201E" w:rsidP="0009201E">
            <w:pPr>
              <w:pStyle w:val="Default"/>
              <w:jc w:val="both"/>
              <w:rPr>
                <w:sz w:val="22"/>
                <w:szCs w:val="22"/>
              </w:rPr>
            </w:pPr>
            <w:r>
              <w:rPr>
                <w:sz w:val="22"/>
                <w:szCs w:val="22"/>
              </w:rPr>
              <w:t xml:space="preserve">Submit the delivery plan for or MRI system including the (Shipping, delivery to the site, installation, commissioning, warranty and training). </w:t>
            </w:r>
          </w:p>
        </w:tc>
        <w:tc>
          <w:tcPr>
            <w:tcW w:w="2538" w:type="dxa"/>
          </w:tcPr>
          <w:p w14:paraId="63582F33"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15B630E6" w14:textId="77777777" w:rsidTr="0009201E">
        <w:tc>
          <w:tcPr>
            <w:tcW w:w="1476" w:type="dxa"/>
          </w:tcPr>
          <w:p w14:paraId="2AD9D62C"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01FA1DC5" w14:textId="2B46AB79" w:rsidR="0009201E" w:rsidRPr="00B942A2" w:rsidRDefault="0009201E" w:rsidP="0009201E">
            <w:pPr>
              <w:pStyle w:val="Default"/>
              <w:jc w:val="both"/>
              <w:rPr>
                <w:sz w:val="22"/>
                <w:szCs w:val="22"/>
              </w:rPr>
            </w:pPr>
          </w:p>
        </w:tc>
        <w:tc>
          <w:tcPr>
            <w:tcW w:w="2538" w:type="dxa"/>
          </w:tcPr>
          <w:p w14:paraId="7354C27D"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3A03BD14" w14:textId="77777777" w:rsidTr="0009201E">
        <w:tc>
          <w:tcPr>
            <w:tcW w:w="1476" w:type="dxa"/>
          </w:tcPr>
          <w:p w14:paraId="097E98F0" w14:textId="00B6CC45" w:rsidR="0009201E" w:rsidRPr="00D95D87" w:rsidRDefault="0009201E" w:rsidP="0009201E">
            <w:pPr>
              <w:pStyle w:val="u"/>
              <w:widowControl w:val="0"/>
              <w:numPr>
                <w:ilvl w:val="12"/>
                <w:numId w:val="0"/>
              </w:numPr>
              <w:rPr>
                <w:rFonts w:asciiTheme="minorHAnsi" w:hAnsiTheme="minorHAnsi" w:cstheme="minorHAnsi"/>
                <w:szCs w:val="22"/>
              </w:rPr>
            </w:pPr>
            <w:r>
              <w:rPr>
                <w:szCs w:val="22"/>
              </w:rPr>
              <w:t>Service job report</w:t>
            </w:r>
          </w:p>
        </w:tc>
        <w:tc>
          <w:tcPr>
            <w:tcW w:w="5160" w:type="dxa"/>
          </w:tcPr>
          <w:p w14:paraId="58BDD733" w14:textId="57CD956A" w:rsidR="0009201E" w:rsidRPr="00B942A2" w:rsidRDefault="0009201E" w:rsidP="0009201E">
            <w:pPr>
              <w:pStyle w:val="Default"/>
              <w:jc w:val="both"/>
              <w:rPr>
                <w:sz w:val="22"/>
                <w:szCs w:val="22"/>
              </w:rPr>
            </w:pPr>
            <w:r>
              <w:rPr>
                <w:sz w:val="22"/>
                <w:szCs w:val="22"/>
              </w:rPr>
              <w:t xml:space="preserve">Methodology for the taking-over of the equipment and the list of required tests to be done </w:t>
            </w:r>
          </w:p>
        </w:tc>
        <w:tc>
          <w:tcPr>
            <w:tcW w:w="2538" w:type="dxa"/>
          </w:tcPr>
          <w:p w14:paraId="05F59938"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44315652" w14:textId="77777777" w:rsidTr="0009201E">
        <w:tc>
          <w:tcPr>
            <w:tcW w:w="1476" w:type="dxa"/>
          </w:tcPr>
          <w:p w14:paraId="794CE207"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0B7E9BF0" w14:textId="77777777" w:rsidR="0009201E" w:rsidRDefault="0009201E" w:rsidP="0009201E">
            <w:pPr>
              <w:pStyle w:val="Default"/>
              <w:jc w:val="both"/>
              <w:rPr>
                <w:sz w:val="22"/>
                <w:szCs w:val="22"/>
              </w:rPr>
            </w:pPr>
            <w:r>
              <w:rPr>
                <w:sz w:val="22"/>
                <w:szCs w:val="22"/>
              </w:rPr>
              <w:t xml:space="preserve">Installation report </w:t>
            </w:r>
          </w:p>
          <w:p w14:paraId="15882E77"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2538" w:type="dxa"/>
          </w:tcPr>
          <w:p w14:paraId="246B51E4"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6F0405E9" w14:textId="77777777" w:rsidTr="0009201E">
        <w:tc>
          <w:tcPr>
            <w:tcW w:w="1476" w:type="dxa"/>
          </w:tcPr>
          <w:p w14:paraId="2C269C83" w14:textId="77777777" w:rsidR="0009201E" w:rsidRDefault="0009201E" w:rsidP="0009201E">
            <w:pPr>
              <w:pStyle w:val="Default"/>
              <w:jc w:val="both"/>
              <w:rPr>
                <w:sz w:val="22"/>
                <w:szCs w:val="22"/>
              </w:rPr>
            </w:pPr>
            <w:r>
              <w:rPr>
                <w:sz w:val="22"/>
                <w:szCs w:val="22"/>
              </w:rPr>
              <w:t xml:space="preserve">Installation report </w:t>
            </w:r>
          </w:p>
          <w:p w14:paraId="1E46A735"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682E0CE6" w14:textId="77777777" w:rsidR="0009201E" w:rsidRDefault="0009201E" w:rsidP="0009201E">
            <w:pPr>
              <w:pStyle w:val="Default"/>
              <w:jc w:val="both"/>
              <w:rPr>
                <w:sz w:val="22"/>
                <w:szCs w:val="22"/>
              </w:rPr>
            </w:pPr>
            <w:r>
              <w:rPr>
                <w:sz w:val="22"/>
                <w:szCs w:val="22"/>
              </w:rPr>
              <w:t xml:space="preserve">Taking-over documents for all biomed, infra and MEP subjects </w:t>
            </w:r>
          </w:p>
          <w:p w14:paraId="178966E3"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2538" w:type="dxa"/>
          </w:tcPr>
          <w:p w14:paraId="0D3CC2A6" w14:textId="77777777" w:rsidR="0009201E" w:rsidRPr="00D95D87" w:rsidRDefault="0009201E" w:rsidP="0009201E">
            <w:pPr>
              <w:pStyle w:val="u"/>
              <w:widowControl w:val="0"/>
              <w:numPr>
                <w:ilvl w:val="12"/>
                <w:numId w:val="0"/>
              </w:numPr>
              <w:rPr>
                <w:rFonts w:asciiTheme="minorHAnsi" w:hAnsiTheme="minorHAnsi" w:cstheme="minorHAnsi"/>
                <w:szCs w:val="22"/>
              </w:rPr>
            </w:pPr>
          </w:p>
        </w:tc>
      </w:tr>
      <w:tr w:rsidR="0009201E" w:rsidRPr="00D95D87" w14:paraId="777D1B1F" w14:textId="77777777" w:rsidTr="0009201E">
        <w:tc>
          <w:tcPr>
            <w:tcW w:w="1476" w:type="dxa"/>
          </w:tcPr>
          <w:p w14:paraId="4B5A5626" w14:textId="77777777" w:rsidR="0009201E" w:rsidRDefault="0009201E" w:rsidP="0009201E">
            <w:pPr>
              <w:pStyle w:val="Default"/>
              <w:jc w:val="both"/>
              <w:rPr>
                <w:sz w:val="22"/>
                <w:szCs w:val="22"/>
              </w:rPr>
            </w:pPr>
            <w:r>
              <w:rPr>
                <w:sz w:val="22"/>
                <w:szCs w:val="22"/>
              </w:rPr>
              <w:lastRenderedPageBreak/>
              <w:t xml:space="preserve">Maintenance plan </w:t>
            </w:r>
          </w:p>
          <w:p w14:paraId="0863B0E9"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5160" w:type="dxa"/>
          </w:tcPr>
          <w:p w14:paraId="0D94EB65" w14:textId="77777777" w:rsidR="0009201E" w:rsidRDefault="0009201E" w:rsidP="0009201E">
            <w:pPr>
              <w:pStyle w:val="Default"/>
              <w:jc w:val="both"/>
              <w:rPr>
                <w:sz w:val="22"/>
                <w:szCs w:val="22"/>
              </w:rPr>
            </w:pPr>
            <w:r>
              <w:rPr>
                <w:sz w:val="22"/>
                <w:szCs w:val="22"/>
              </w:rPr>
              <w:t xml:space="preserve">Maintenance and warranty report at the end of the project </w:t>
            </w:r>
          </w:p>
          <w:p w14:paraId="73869875" w14:textId="77777777" w:rsidR="0009201E" w:rsidRPr="00D95D87" w:rsidRDefault="0009201E" w:rsidP="0009201E">
            <w:pPr>
              <w:pStyle w:val="u"/>
              <w:widowControl w:val="0"/>
              <w:numPr>
                <w:ilvl w:val="12"/>
                <w:numId w:val="0"/>
              </w:numPr>
              <w:rPr>
                <w:rFonts w:asciiTheme="minorHAnsi" w:hAnsiTheme="minorHAnsi" w:cstheme="minorHAnsi"/>
                <w:szCs w:val="22"/>
              </w:rPr>
            </w:pPr>
          </w:p>
        </w:tc>
        <w:tc>
          <w:tcPr>
            <w:tcW w:w="2538" w:type="dxa"/>
          </w:tcPr>
          <w:p w14:paraId="0D93BB17" w14:textId="77777777" w:rsidR="0009201E" w:rsidRPr="00D95D87" w:rsidRDefault="0009201E" w:rsidP="0009201E">
            <w:pPr>
              <w:pStyle w:val="u"/>
              <w:widowControl w:val="0"/>
              <w:numPr>
                <w:ilvl w:val="12"/>
                <w:numId w:val="0"/>
              </w:numPr>
              <w:rPr>
                <w:rFonts w:asciiTheme="minorHAnsi" w:hAnsiTheme="minorHAnsi" w:cstheme="minorHAnsi"/>
                <w:szCs w:val="22"/>
              </w:rPr>
            </w:pP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140836328"/>
      <w:bookmarkStart w:id="42" w:name="_Toc392669644"/>
      <w:bookmarkEnd w:id="39"/>
      <w:r w:rsidRPr="00D95D87">
        <w:rPr>
          <w:rFonts w:asciiTheme="minorHAnsi" w:hAnsiTheme="minorHAnsi" w:cstheme="minorHAnsi"/>
          <w:sz w:val="22"/>
          <w:szCs w:val="22"/>
          <w:lang w:val="en"/>
        </w:rPr>
        <w:t>Expert in charge of the assignment</w:t>
      </w:r>
      <w:bookmarkEnd w:id="40"/>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Place of execution</w:t>
      </w:r>
      <w:bookmarkEnd w:id="42"/>
      <w:bookmarkEnd w:id="43"/>
    </w:p>
    <w:p w14:paraId="0E159920" w14:textId="2BBF9D5E" w:rsidR="00E4145C" w:rsidRDefault="005563C9" w:rsidP="0009201E">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 xml:space="preserve">The services will be performed in </w:t>
      </w:r>
      <w:bookmarkStart w:id="44" w:name="_Toc140836330"/>
      <w:r w:rsidR="0009201E">
        <w:rPr>
          <w:rFonts w:asciiTheme="minorHAnsi" w:hAnsiTheme="minorHAnsi" w:cstheme="minorHAnsi"/>
          <w:szCs w:val="22"/>
          <w:lang w:val="en"/>
        </w:rPr>
        <w:t>Iraq, Mosul in the MRCC</w:t>
      </w:r>
      <w:r w:rsidR="0009201E" w:rsidRPr="00D95D87">
        <w:rPr>
          <w:rFonts w:asciiTheme="minorHAnsi" w:hAnsiTheme="minorHAnsi" w:cstheme="minorHAnsi"/>
          <w:szCs w:val="22"/>
          <w:lang w:val="en"/>
        </w:rPr>
        <w:t xml:space="preserve"> </w:t>
      </w:r>
      <w:r w:rsidR="00E4145C" w:rsidRPr="00D95D87">
        <w:rPr>
          <w:rFonts w:asciiTheme="minorHAnsi" w:hAnsiTheme="minorHAnsi" w:cstheme="minorHAnsi"/>
          <w:szCs w:val="22"/>
          <w:lang w:val="en"/>
        </w:rPr>
        <w:t>Delivery</w:t>
      </w:r>
      <w:bookmarkEnd w:id="44"/>
    </w:p>
    <w:p w14:paraId="54F930C5" w14:textId="77777777" w:rsidR="0009201E" w:rsidRPr="00D95D87" w:rsidRDefault="0009201E" w:rsidP="0009201E">
      <w:pPr>
        <w:pStyle w:val="u"/>
        <w:widowControl w:val="0"/>
        <w:numPr>
          <w:ilvl w:val="12"/>
          <w:numId w:val="0"/>
        </w:numPr>
        <w:spacing w:before="120"/>
        <w:ind w:left="561"/>
        <w:rPr>
          <w:rFonts w:asciiTheme="minorHAnsi" w:hAnsiTheme="minorHAnsi" w:cstheme="minorHAnsi"/>
          <w:szCs w:val="22"/>
          <w:lang w:val="en-GB"/>
        </w:rPr>
      </w:pPr>
    </w:p>
    <w:p w14:paraId="6DA00796" w14:textId="208FEECA" w:rsidR="00E4145C" w:rsidRPr="00D95D87" w:rsidRDefault="00E4145C" w:rsidP="0009201E">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Supplies shall be delivered at</w:t>
      </w:r>
      <w:r w:rsidR="0009201E" w:rsidRPr="0009201E">
        <w:rPr>
          <w:rFonts w:asciiTheme="minorHAnsi" w:hAnsiTheme="minorHAnsi" w:cstheme="minorHAnsi"/>
          <w:sz w:val="22"/>
          <w:szCs w:val="22"/>
          <w:lang w:val="en"/>
        </w:rPr>
        <w:t xml:space="preserve"> </w:t>
      </w:r>
      <w:r w:rsidR="0009201E">
        <w:rPr>
          <w:rFonts w:asciiTheme="minorHAnsi" w:hAnsiTheme="minorHAnsi" w:cstheme="minorHAnsi"/>
          <w:sz w:val="22"/>
          <w:szCs w:val="22"/>
          <w:lang w:val="en"/>
        </w:rPr>
        <w:t>MRCC (Mosul, Iraq)</w:t>
      </w:r>
      <w:r w:rsidR="0009201E" w:rsidRPr="00D95D87">
        <w:rPr>
          <w:rFonts w:asciiTheme="minorHAnsi" w:hAnsiTheme="minorHAnsi" w:cstheme="minorHAnsi"/>
          <w:sz w:val="22"/>
          <w:szCs w:val="22"/>
          <w:lang w:val="en"/>
        </w:rPr>
        <w:t>.</w:t>
      </w:r>
      <w:r w:rsidR="0009201E">
        <w:rPr>
          <w:rFonts w:asciiTheme="minorHAnsi" w:hAnsiTheme="minorHAnsi" w:cstheme="minorHAnsi"/>
          <w:sz w:val="22"/>
          <w:szCs w:val="22"/>
          <w:lang w:val="en-GB"/>
        </w:rPr>
        <w:t xml:space="preserve"> </w:t>
      </w:r>
      <w:r w:rsidR="0018286A">
        <w:rPr>
          <w:rFonts w:asciiTheme="minorHAnsi" w:hAnsiTheme="minorHAnsi" w:cstheme="minorHAnsi"/>
          <w:sz w:val="22"/>
          <w:szCs w:val="22"/>
          <w:lang w:val="en"/>
        </w:rPr>
        <w:t xml:space="preserve">DDP </w:t>
      </w:r>
      <w:r w:rsidRPr="00D95D87">
        <w:rPr>
          <w:rFonts w:asciiTheme="minorHAnsi" w:hAnsiTheme="minorHAnsi" w:cstheme="minorHAnsi"/>
          <w:sz w:val="22"/>
          <w:szCs w:val="22"/>
          <w:highlight w:val="yellow"/>
          <w:lang w:val="en"/>
        </w:rPr>
        <w:t xml:space="preserve"> Incoterms</w:t>
      </w:r>
      <w:r w:rsidRPr="00D95D87">
        <w:rPr>
          <w:rFonts w:asciiTheme="minorHAnsi" w:hAnsiTheme="minorHAnsi" w:cstheme="minorHAnsi"/>
          <w:sz w:val="22"/>
          <w:szCs w:val="22"/>
          <w:vertAlign w:val="superscript"/>
          <w:lang w:val="en"/>
        </w:rPr>
        <w:footnoteReference w:id="1"/>
      </w:r>
      <w:r w:rsidRPr="00D95D87">
        <w:rPr>
          <w:rFonts w:asciiTheme="minorHAnsi" w:hAnsiTheme="minorHAnsi" w:cstheme="minorHAnsi"/>
          <w:sz w:val="22"/>
          <w:szCs w:val="22"/>
          <w:lang w:val="en"/>
        </w:rPr>
        <w:t>.</w:t>
      </w:r>
    </w:p>
    <w:p w14:paraId="2F4FF0B7" w14:textId="65297588"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w:t>
      </w:r>
      <w:r w:rsidR="0009201E" w:rsidRPr="00D95D87">
        <w:rPr>
          <w:rFonts w:asciiTheme="minorHAnsi" w:hAnsiTheme="minorHAnsi" w:cstheme="minorHAnsi"/>
          <w:szCs w:val="22"/>
          <w:lang w:val="en"/>
        </w:rPr>
        <w:t xml:space="preserve"> </w:t>
      </w:r>
      <w:r w:rsidRPr="00D95D87">
        <w:rPr>
          <w:rFonts w:asciiTheme="minorHAnsi" w:hAnsiTheme="minorHAnsi" w:cstheme="minorHAnsi"/>
          <w:szCs w:val="22"/>
          <w:lang w:val="en"/>
        </w:rPr>
        <w:t>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lastRenderedPageBreak/>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5" w:name="_Toc140836331"/>
      <w:r>
        <w:rPr>
          <w:rFonts w:asciiTheme="minorHAnsi" w:hAnsiTheme="minorHAnsi"/>
          <w:sz w:val="22"/>
          <w:szCs w:val="22"/>
          <w:lang w:val="en"/>
        </w:rPr>
        <w:t>Export control</w:t>
      </w:r>
      <w:bookmarkEnd w:id="45"/>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6"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6"/>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7" w:name="_Toc392669645"/>
      <w:bookmarkStart w:id="48" w:name="_Toc140836333"/>
      <w:r w:rsidRPr="0041061D">
        <w:rPr>
          <w:rFonts w:asciiTheme="minorHAnsi" w:hAnsiTheme="minorHAnsi"/>
          <w:sz w:val="22"/>
          <w:szCs w:val="22"/>
          <w:lang w:val="en"/>
        </w:rPr>
        <w:t xml:space="preserve">Commitments of the </w:t>
      </w:r>
      <w:bookmarkEnd w:id="47"/>
      <w:r w:rsidR="00567093">
        <w:rPr>
          <w:rFonts w:asciiTheme="minorHAnsi" w:hAnsiTheme="minorHAnsi" w:cstheme="minorHAnsi"/>
          <w:smallCaps/>
          <w:sz w:val="22"/>
          <w:lang w:val="en"/>
        </w:rPr>
        <w:t>Contractor</w:t>
      </w:r>
      <w:bookmarkEnd w:id="48"/>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9" w:name="_Toc392669646"/>
      <w:bookmarkStart w:id="50" w:name="_Toc140836334"/>
      <w:r w:rsidRPr="00567093">
        <w:rPr>
          <w:rFonts w:asciiTheme="minorHAnsi" w:hAnsiTheme="minorHAnsi"/>
          <w:sz w:val="22"/>
          <w:szCs w:val="22"/>
          <w:lang w:val="en"/>
        </w:rPr>
        <w:t>Confidentiality</w:t>
      </w:r>
      <w:bookmarkEnd w:id="49"/>
      <w:bookmarkEnd w:id="50"/>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1" w:name="_Toc392669648"/>
      <w:bookmarkStart w:id="52" w:name="_Toc140836335"/>
      <w:r w:rsidRPr="00567093">
        <w:rPr>
          <w:rFonts w:asciiTheme="minorHAnsi" w:hAnsiTheme="minorHAnsi"/>
          <w:sz w:val="22"/>
          <w:szCs w:val="22"/>
          <w:lang w:val="en"/>
        </w:rPr>
        <w:t>Provision of documents</w:t>
      </w:r>
      <w:bookmarkEnd w:id="51"/>
      <w:bookmarkEnd w:id="52"/>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51917A81" w14:textId="77777777" w:rsidR="0009201E" w:rsidRPr="00E17AA5" w:rsidRDefault="0009201E" w:rsidP="0009201E">
      <w:pPr>
        <w:pStyle w:val="u"/>
        <w:widowControl w:val="0"/>
        <w:numPr>
          <w:ilvl w:val="0"/>
          <w:numId w:val="13"/>
        </w:numPr>
        <w:rPr>
          <w:rFonts w:asciiTheme="minorHAnsi" w:hAnsiTheme="minorHAnsi" w:cs="Arial"/>
          <w:szCs w:val="22"/>
          <w:lang w:val="en-US"/>
        </w:rPr>
      </w:pPr>
      <w:bookmarkStart w:id="53" w:name="_Toc392669649"/>
      <w:bookmarkStart w:id="54" w:name="_Toc140836336"/>
      <w:r>
        <w:rPr>
          <w:rFonts w:asciiTheme="minorHAnsi" w:hAnsiTheme="minorHAnsi" w:cs="Arial"/>
          <w:szCs w:val="22"/>
          <w:lang w:val="en"/>
        </w:rPr>
        <w:t xml:space="preserve">terms of reference and technical specification of the Main Contract  </w:t>
      </w:r>
    </w:p>
    <w:p w14:paraId="6298E30D" w14:textId="77777777" w:rsidR="00122959" w:rsidRPr="00567093" w:rsidRDefault="00122959" w:rsidP="00A1761D">
      <w:pPr>
        <w:pStyle w:val="Titre2"/>
        <w:spacing w:before="120" w:after="60"/>
        <w:jc w:val="both"/>
        <w:rPr>
          <w:rFonts w:asciiTheme="minorHAnsi" w:hAnsiTheme="minorHAnsi"/>
          <w:sz w:val="22"/>
          <w:szCs w:val="22"/>
        </w:rPr>
      </w:pPr>
      <w:r w:rsidRPr="00567093">
        <w:rPr>
          <w:rFonts w:asciiTheme="minorHAnsi" w:hAnsiTheme="minorHAnsi"/>
          <w:sz w:val="22"/>
          <w:szCs w:val="22"/>
          <w:lang w:val="en"/>
        </w:rPr>
        <w:t>Insurance</w:t>
      </w:r>
      <w:bookmarkEnd w:id="53"/>
      <w:bookmarkEnd w:id="54"/>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5" w:name="_Toc525912441"/>
      <w:bookmarkStart w:id="56" w:name="_Ref464060009"/>
      <w:bookmarkStart w:id="57" w:name="_Toc140836337"/>
      <w:r w:rsidRPr="000D43C1">
        <w:rPr>
          <w:rFonts w:asciiTheme="minorHAnsi" w:hAnsiTheme="minorHAnsi"/>
          <w:sz w:val="22"/>
          <w:lang w:val="en"/>
        </w:rPr>
        <w:lastRenderedPageBreak/>
        <w:t>Contact person and communication</w:t>
      </w:r>
      <w:bookmarkEnd w:id="55"/>
      <w:bookmarkEnd w:id="56"/>
      <w:bookmarkEnd w:id="57"/>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18286A" w:rsidRDefault="00D07897" w:rsidP="00B2733D">
            <w:pPr>
              <w:widowControl w:val="0"/>
              <w:numPr>
                <w:ilvl w:val="12"/>
                <w:numId w:val="0"/>
              </w:numPr>
              <w:spacing w:line="240" w:lineRule="auto"/>
              <w:jc w:val="both"/>
              <w:rPr>
                <w:rFonts w:asciiTheme="minorHAnsi" w:hAnsiTheme="minorHAnsi" w:cs="Arial"/>
                <w:smallCaps/>
                <w:sz w:val="22"/>
                <w:lang w:val="en-GB"/>
              </w:rPr>
            </w:pPr>
            <w:r w:rsidRPr="0018286A">
              <w:rPr>
                <w:rFonts w:asciiTheme="minorHAnsi" w:hAnsiTheme="minorHAnsi" w:cs="Arial"/>
                <w:smallCaps/>
                <w:sz w:val="22"/>
                <w:lang w:val="en"/>
              </w:rPr>
              <w:t xml:space="preserve">Expertise France </w:t>
            </w:r>
          </w:p>
          <w:p w14:paraId="2523C03C" w14:textId="77777777" w:rsidR="0018286A" w:rsidRPr="0018286A" w:rsidRDefault="0018286A" w:rsidP="00B2733D">
            <w:pPr>
              <w:widowControl w:val="0"/>
              <w:numPr>
                <w:ilvl w:val="12"/>
                <w:numId w:val="0"/>
              </w:numPr>
              <w:spacing w:line="240" w:lineRule="auto"/>
              <w:jc w:val="both"/>
              <w:rPr>
                <w:rFonts w:asciiTheme="minorHAnsi" w:hAnsiTheme="minorHAnsi" w:cs="Arial"/>
                <w:sz w:val="22"/>
                <w:lang w:val="en"/>
              </w:rPr>
            </w:pPr>
            <w:r w:rsidRPr="0018286A">
              <w:rPr>
                <w:rFonts w:asciiTheme="minorHAnsi" w:hAnsiTheme="minorHAnsi" w:cs="Arial"/>
                <w:szCs w:val="22"/>
              </w:rPr>
              <w:t>Homam SHAHHOUD</w:t>
            </w:r>
            <w:r w:rsidRPr="0018286A">
              <w:rPr>
                <w:rFonts w:asciiTheme="minorHAnsi" w:hAnsiTheme="minorHAnsi" w:cs="Arial"/>
                <w:sz w:val="22"/>
                <w:lang w:val="en"/>
              </w:rPr>
              <w:t xml:space="preserve"> </w:t>
            </w:r>
          </w:p>
          <w:p w14:paraId="5C273242" w14:textId="7D7CBDA2" w:rsidR="00D07897" w:rsidRPr="0018286A" w:rsidRDefault="00D07897" w:rsidP="00B2733D">
            <w:pPr>
              <w:widowControl w:val="0"/>
              <w:numPr>
                <w:ilvl w:val="12"/>
                <w:numId w:val="0"/>
              </w:numPr>
              <w:spacing w:line="240" w:lineRule="auto"/>
              <w:jc w:val="both"/>
              <w:rPr>
                <w:rFonts w:asciiTheme="minorHAnsi" w:hAnsiTheme="minorHAnsi" w:cs="Arial"/>
                <w:sz w:val="22"/>
                <w:lang w:val="en-GB"/>
              </w:rPr>
            </w:pPr>
            <w:r w:rsidRPr="0018286A">
              <w:rPr>
                <w:rFonts w:asciiTheme="minorHAnsi" w:hAnsiTheme="minorHAnsi" w:cs="Arial"/>
                <w:sz w:val="22"/>
                <w:lang w:val="en"/>
              </w:rPr>
              <w:t xml:space="preserve"> Project Manager</w:t>
            </w:r>
          </w:p>
          <w:p w14:paraId="66C00316" w14:textId="057876FC" w:rsidR="00D07897" w:rsidRPr="0018286A" w:rsidRDefault="0018286A" w:rsidP="00B2733D">
            <w:pPr>
              <w:widowControl w:val="0"/>
              <w:numPr>
                <w:ilvl w:val="12"/>
                <w:numId w:val="0"/>
              </w:numPr>
              <w:spacing w:line="240" w:lineRule="auto"/>
              <w:jc w:val="both"/>
              <w:rPr>
                <w:rFonts w:asciiTheme="minorHAnsi" w:hAnsiTheme="minorHAnsi" w:cs="Arial"/>
                <w:sz w:val="22"/>
              </w:rPr>
            </w:pPr>
            <w:r w:rsidRPr="0018286A">
              <w:rPr>
                <w:rFonts w:asciiTheme="minorHAnsi" w:hAnsiTheme="minorHAnsi" w:cs="Arial"/>
                <w:sz w:val="22"/>
              </w:rPr>
              <w:t xml:space="preserve">Health </w:t>
            </w:r>
            <w:r w:rsidR="00D07897" w:rsidRPr="0018286A">
              <w:rPr>
                <w:rFonts w:asciiTheme="minorHAnsi" w:hAnsiTheme="minorHAnsi" w:cs="Arial"/>
                <w:sz w:val="22"/>
              </w:rPr>
              <w:t>Department</w:t>
            </w:r>
          </w:p>
          <w:p w14:paraId="6F435F85" w14:textId="6B8038EA" w:rsidR="00D07897" w:rsidRPr="0018286A" w:rsidRDefault="008A2A15" w:rsidP="00B2733D">
            <w:pPr>
              <w:widowControl w:val="0"/>
              <w:numPr>
                <w:ilvl w:val="12"/>
                <w:numId w:val="0"/>
              </w:numPr>
              <w:spacing w:line="240" w:lineRule="auto"/>
              <w:jc w:val="both"/>
              <w:rPr>
                <w:rFonts w:asciiTheme="minorHAnsi" w:hAnsiTheme="minorHAnsi" w:cs="Arial"/>
                <w:sz w:val="22"/>
              </w:rPr>
            </w:pPr>
            <w:r w:rsidRPr="0018286A">
              <w:rPr>
                <w:rFonts w:asciiTheme="minorHAnsi" w:hAnsiTheme="minorHAnsi" w:cs="Arial"/>
                <w:sz w:val="22"/>
              </w:rPr>
              <w:t>40, boulevard de Port Royal</w:t>
            </w:r>
          </w:p>
          <w:p w14:paraId="06B46D2D" w14:textId="7648F778" w:rsidR="00D07897" w:rsidRPr="0018286A" w:rsidRDefault="008A2A15" w:rsidP="00B2733D">
            <w:pPr>
              <w:widowControl w:val="0"/>
              <w:numPr>
                <w:ilvl w:val="12"/>
                <w:numId w:val="0"/>
              </w:numPr>
              <w:spacing w:line="240" w:lineRule="auto"/>
              <w:jc w:val="both"/>
              <w:rPr>
                <w:rFonts w:asciiTheme="minorHAnsi" w:hAnsiTheme="minorHAnsi" w:cs="Arial"/>
                <w:sz w:val="22"/>
              </w:rPr>
            </w:pPr>
            <w:r w:rsidRPr="0018286A">
              <w:rPr>
                <w:rFonts w:asciiTheme="minorHAnsi" w:hAnsiTheme="minorHAnsi" w:cs="Arial"/>
                <w:sz w:val="22"/>
                <w:lang w:val="en"/>
              </w:rPr>
              <w:t>F-75005 PARIS</w:t>
            </w:r>
          </w:p>
        </w:tc>
      </w:tr>
      <w:tr w:rsidR="00D07897" w:rsidRPr="005862C9"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8" w:name="_Toc140836338"/>
      <w:r>
        <w:rPr>
          <w:rFonts w:asciiTheme="minorHAnsi" w:hAnsiTheme="minorHAnsi"/>
          <w:sz w:val="22"/>
          <w:lang w:val="en"/>
        </w:rPr>
        <w:t>Understaking against deforestation</w:t>
      </w:r>
      <w:bookmarkEnd w:id="58"/>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39"/>
      <w:r w:rsidRPr="000D43C1">
        <w:rPr>
          <w:rFonts w:asciiTheme="minorHAnsi" w:hAnsiTheme="minorHAnsi"/>
          <w:b/>
          <w:bCs/>
          <w:caps/>
          <w:sz w:val="24"/>
          <w:u w:val="single"/>
          <w:lang w:val="en"/>
        </w:rPr>
        <w:t>Re-examination clause</w:t>
      </w:r>
      <w:bookmarkEnd w:id="59"/>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lastRenderedPageBreak/>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5CCEB3EF" w14:textId="77777777" w:rsidR="0018286A" w:rsidRDefault="009766DB" w:rsidP="00637A6C">
      <w:pPr>
        <w:pStyle w:val="u"/>
        <w:widowControl w:val="0"/>
        <w:numPr>
          <w:ilvl w:val="12"/>
          <w:numId w:val="0"/>
        </w:numPr>
        <w:spacing w:before="120"/>
        <w:ind w:left="561"/>
        <w:rPr>
          <w:rFonts w:asciiTheme="minorHAnsi" w:hAnsiTheme="minorHAnsi" w:cstheme="minorHAnsi"/>
          <w:szCs w:val="22"/>
          <w:lang w:val="en"/>
        </w:rPr>
      </w:pPr>
      <w:r w:rsidRPr="0018286A">
        <w:rPr>
          <w:rFonts w:asciiTheme="minorHAnsi" w:hAnsiTheme="minorHAnsi" w:cstheme="minorHAnsi"/>
          <w:szCs w:val="22"/>
          <w:highlight w:val="yellow"/>
          <w:lang w:val="en"/>
        </w:rPr>
        <w:t xml:space="preserve"> Revision of technical elements (clarification of deliverables, producer technical definitions, equipment technical documents, updated instructions,</w:t>
      </w:r>
    </w:p>
    <w:p w14:paraId="5B988840" w14:textId="6B2AE302" w:rsidR="00C64382" w:rsidRPr="0018286A" w:rsidRDefault="009766DB" w:rsidP="00637A6C">
      <w:pPr>
        <w:pStyle w:val="u"/>
        <w:widowControl w:val="0"/>
        <w:numPr>
          <w:ilvl w:val="12"/>
          <w:numId w:val="0"/>
        </w:numPr>
        <w:spacing w:before="120"/>
        <w:ind w:left="561"/>
        <w:rPr>
          <w:rFonts w:asciiTheme="minorHAnsi" w:hAnsiTheme="minorHAnsi" w:cstheme="minorHAnsi"/>
          <w:szCs w:val="22"/>
          <w:lang w:val="en-GB"/>
        </w:rPr>
      </w:pPr>
      <w:r w:rsidRPr="0018286A">
        <w:rPr>
          <w:rFonts w:asciiTheme="minorHAnsi" w:hAnsiTheme="minorHAnsi" w:cstheme="minorHAnsi"/>
          <w:szCs w:val="22"/>
          <w:lang w:val="en"/>
        </w:rPr>
        <w:t>Such modifications shall be notified to the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40836340"/>
      <w:r w:rsidRPr="000D43C1">
        <w:rPr>
          <w:rFonts w:asciiTheme="minorHAnsi" w:hAnsiTheme="minorHAnsi"/>
          <w:b/>
          <w:bCs/>
          <w:caps/>
          <w:sz w:val="24"/>
          <w:u w:val="single"/>
          <w:lang w:val="en"/>
        </w:rPr>
        <w:t>Similar services</w:t>
      </w:r>
      <w:bookmarkEnd w:id="60"/>
      <w:bookmarkEnd w:id="6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1"/>
      <w:r w:rsidRPr="000F76A5">
        <w:rPr>
          <w:rFonts w:asciiTheme="minorHAnsi" w:hAnsiTheme="minorHAnsi"/>
          <w:b/>
          <w:bCs/>
          <w:caps/>
          <w:sz w:val="24"/>
          <w:u w:val="single"/>
          <w:lang w:val="en"/>
        </w:rPr>
        <w:t>penalties</w:t>
      </w:r>
      <w:bookmarkEnd w:id="6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40836342"/>
      <w:r w:rsidRPr="000F76A5">
        <w:rPr>
          <w:rFonts w:asciiTheme="minorHAnsi" w:hAnsiTheme="minorHAnsi"/>
          <w:sz w:val="22"/>
          <w:szCs w:val="22"/>
          <w:lang w:val="en"/>
        </w:rPr>
        <w:t>Penalties for periodic documentary deliverables</w:t>
      </w:r>
      <w:bookmarkEnd w:id="6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4" w:name="_Toc140836343"/>
      <w:r w:rsidRPr="000F76A5">
        <w:rPr>
          <w:rFonts w:asciiTheme="minorHAnsi" w:hAnsiTheme="minorHAnsi"/>
          <w:sz w:val="22"/>
          <w:szCs w:val="22"/>
          <w:lang w:val="en"/>
        </w:rPr>
        <w:t>Penalties applicable to submission of final deliverables</w:t>
      </w:r>
      <w:bookmarkEnd w:id="64"/>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140836344"/>
      <w:r w:rsidRPr="000F76A5">
        <w:rPr>
          <w:rFonts w:asciiTheme="minorHAnsi" w:hAnsiTheme="minorHAnsi"/>
          <w:b/>
          <w:bCs/>
          <w:caps/>
          <w:sz w:val="24"/>
          <w:u w:val="single"/>
          <w:lang w:val="en"/>
        </w:rPr>
        <w:t>intellectual property</w:t>
      </w:r>
      <w:bookmarkEnd w:id="65"/>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6" w:name="_Toc140836345"/>
      <w:bookmarkStart w:id="67" w:name="_Toc392669651"/>
      <w:r w:rsidRPr="000F76A5">
        <w:rPr>
          <w:rFonts w:asciiTheme="minorHAnsi" w:hAnsiTheme="minorHAnsi"/>
          <w:sz w:val="22"/>
          <w:szCs w:val="22"/>
          <w:lang w:val="en"/>
        </w:rPr>
        <w:t>Definitions</w:t>
      </w:r>
      <w:bookmarkEnd w:id="6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8" w:name="_Toc140836346"/>
      <w:r w:rsidRPr="000F76A5">
        <w:rPr>
          <w:rFonts w:asciiTheme="minorHAnsi" w:hAnsiTheme="minorHAnsi"/>
          <w:sz w:val="22"/>
          <w:szCs w:val="22"/>
          <w:lang w:val="en"/>
        </w:rPr>
        <w:t>Ownership of results</w:t>
      </w:r>
      <w:bookmarkEnd w:id="68"/>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The moral rights of creators are excluded. Such </w:t>
      </w:r>
      <w:r w:rsidRPr="000F76A5">
        <w:rPr>
          <w:rFonts w:asciiTheme="minorHAnsi" w:eastAsia="Times New Roman" w:hAnsiTheme="minorHAnsi" w:cs="Arial"/>
          <w:sz w:val="22"/>
          <w:szCs w:val="22"/>
          <w:lang w:val="en"/>
        </w:rPr>
        <w:lastRenderedPageBreak/>
        <w:t>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9" w:name="_Toc140836347"/>
      <w:r w:rsidRPr="000F76A5">
        <w:rPr>
          <w:rFonts w:asciiTheme="minorHAnsi" w:hAnsiTheme="minorHAnsi"/>
          <w:sz w:val="22"/>
          <w:szCs w:val="22"/>
          <w:lang w:val="en"/>
        </w:rPr>
        <w:t>Exploitation of results</w:t>
      </w:r>
      <w:bookmarkEnd w:id="69"/>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0" w:name="_Toc140836348"/>
      <w:r w:rsidRPr="000F76A5">
        <w:rPr>
          <w:rFonts w:asciiTheme="minorHAnsi" w:hAnsiTheme="minorHAnsi"/>
          <w:sz w:val="22"/>
          <w:szCs w:val="22"/>
          <w:lang w:val="en"/>
        </w:rPr>
        <w:t>Licensing of pre-existing rights</w:t>
      </w:r>
      <w:bookmarkEnd w:id="70"/>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1" w:name="_Toc140836349"/>
      <w:r w:rsidRPr="000F76A5">
        <w:rPr>
          <w:rFonts w:asciiTheme="minorHAnsi" w:hAnsiTheme="minorHAnsi"/>
          <w:sz w:val="22"/>
          <w:szCs w:val="22"/>
          <w:lang w:val="en"/>
        </w:rPr>
        <w:t>Guarantees</w:t>
      </w:r>
      <w:bookmarkEnd w:id="71"/>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2" w:name="_Toc140836350"/>
      <w:r w:rsidRPr="000F76A5">
        <w:rPr>
          <w:rFonts w:asciiTheme="minorHAnsi" w:hAnsiTheme="minorHAnsi"/>
          <w:sz w:val="22"/>
          <w:szCs w:val="22"/>
          <w:lang w:val="en"/>
        </w:rPr>
        <w:t>Image rights</w:t>
      </w:r>
      <w:bookmarkEnd w:id="72"/>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40836351"/>
      <w:bookmarkEnd w:id="67"/>
      <w:r w:rsidRPr="0026644D">
        <w:rPr>
          <w:rFonts w:asciiTheme="minorHAnsi" w:hAnsiTheme="minorHAnsi"/>
          <w:b/>
          <w:bCs/>
          <w:caps/>
          <w:sz w:val="24"/>
          <w:u w:val="single"/>
          <w:lang w:val="en"/>
        </w:rPr>
        <w:t>Termination of the contract</w:t>
      </w:r>
      <w:bookmarkEnd w:id="73"/>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4" w:name="_Toc140836352"/>
      <w:r w:rsidRPr="0026644D">
        <w:rPr>
          <w:rFonts w:asciiTheme="minorHAnsi" w:hAnsiTheme="minorHAnsi" w:cstheme="minorHAnsi"/>
          <w:sz w:val="22"/>
          <w:szCs w:val="22"/>
          <w:lang w:val="en"/>
        </w:rPr>
        <w:t>General terms of performance</w:t>
      </w:r>
      <w:bookmarkEnd w:id="74"/>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5" w:name="_Toc140836353"/>
      <w:r w:rsidRPr="0026644D">
        <w:rPr>
          <w:rFonts w:asciiTheme="minorHAnsi" w:hAnsiTheme="minorHAnsi" w:cstheme="minorHAnsi"/>
          <w:sz w:val="22"/>
          <w:szCs w:val="22"/>
          <w:lang w:val="en"/>
        </w:rPr>
        <w:t>Termination of the Contract due to the non-availability of a designated expert</w:t>
      </w:r>
      <w:bookmarkStart w:id="76" w:name="_GoBack"/>
      <w:bookmarkEnd w:id="75"/>
      <w:bookmarkEnd w:id="76"/>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4C794573"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09201E">
        <w:rPr>
          <w:rFonts w:asciiTheme="minorHAnsi" w:hAnsiTheme="minorHAnsi" w:cstheme="minorHAnsi"/>
          <w:sz w:val="22"/>
          <w:szCs w:val="22"/>
          <w:lang w:val="en"/>
        </w:rPr>
        <w:t xml:space="preserve">2 </w:t>
      </w:r>
      <w:r w:rsidRPr="0026644D">
        <w:rPr>
          <w:rFonts w:asciiTheme="minorHAnsi" w:hAnsiTheme="minorHAnsi" w:cstheme="minorHAnsi"/>
          <w:sz w:val="22"/>
          <w:szCs w:val="22"/>
          <w:lang w:val="en"/>
        </w:rPr>
        <w:t xml:space="preserve">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7" w:name="_Toc140836354"/>
      <w:r w:rsidRPr="0026644D">
        <w:rPr>
          <w:rFonts w:asciiTheme="minorHAnsi" w:hAnsiTheme="minorHAnsi" w:cstheme="minorHAnsi"/>
          <w:sz w:val="22"/>
          <w:szCs w:val="22"/>
          <w:lang w:val="en"/>
        </w:rPr>
        <w:t>Procedure</w:t>
      </w:r>
      <w:bookmarkEnd w:id="77"/>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8"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8"/>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9"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0" w:name="_Toc126923320"/>
      <w:bookmarkStart w:id="81" w:name="_Toc127876026"/>
      <w:bookmarkStart w:id="82" w:name="_Toc140836356"/>
      <w:bookmarkStart w:id="83" w:name="_Toc140836357"/>
      <w:bookmarkEnd w:id="79"/>
      <w:bookmarkEnd w:id="80"/>
      <w:bookmarkEnd w:id="81"/>
      <w:bookmarkEnd w:id="82"/>
      <w:r w:rsidRPr="0026644D">
        <w:rPr>
          <w:rFonts w:asciiTheme="minorHAnsi" w:hAnsiTheme="minorHAnsi"/>
          <w:b/>
          <w:bCs/>
          <w:caps/>
          <w:sz w:val="24"/>
          <w:u w:val="single"/>
          <w:lang w:val="en"/>
        </w:rPr>
        <w:lastRenderedPageBreak/>
        <w:t>ethics</w:t>
      </w:r>
      <w:bookmarkEnd w:id="83"/>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4" w:name="_Toc70411566"/>
      <w:bookmarkStart w:id="85" w:name="_Toc70411012"/>
      <w:bookmarkStart w:id="86" w:name="_Toc70410878"/>
      <w:bookmarkStart w:id="87" w:name="_Toc70411565"/>
      <w:bookmarkStart w:id="88" w:name="_Toc70411011"/>
      <w:bookmarkStart w:id="89" w:name="_Toc70410877"/>
      <w:bookmarkStart w:id="90" w:name="_Toc70411564"/>
      <w:bookmarkStart w:id="91" w:name="_Toc70411010"/>
      <w:bookmarkStart w:id="92" w:name="_Toc70410876"/>
      <w:bookmarkStart w:id="93" w:name="_Toc70411560"/>
      <w:bookmarkStart w:id="94" w:name="_Toc70411006"/>
      <w:bookmarkStart w:id="95" w:name="_Toc70410872"/>
      <w:bookmarkStart w:id="96" w:name="_Toc70411559"/>
      <w:bookmarkStart w:id="97" w:name="_Toc70411005"/>
      <w:bookmarkStart w:id="98" w:name="_Toc70410871"/>
      <w:bookmarkStart w:id="99" w:name="_Toc70411556"/>
      <w:bookmarkStart w:id="100" w:name="_Toc70411002"/>
      <w:bookmarkStart w:id="101" w:name="_Toc70410868"/>
      <w:bookmarkStart w:id="102" w:name="_Toc70411555"/>
      <w:bookmarkStart w:id="103" w:name="_Toc70411001"/>
      <w:bookmarkStart w:id="104" w:name="_Toc70410867"/>
      <w:bookmarkStart w:id="105" w:name="_Toc70411554"/>
      <w:bookmarkStart w:id="106" w:name="_Toc70411000"/>
      <w:bookmarkStart w:id="107" w:name="_Toc70410866"/>
      <w:bookmarkStart w:id="108" w:name="_Toc70411551"/>
      <w:bookmarkStart w:id="109" w:name="_Toc70410997"/>
      <w:bookmarkStart w:id="110" w:name="_Toc70410863"/>
      <w:bookmarkStart w:id="111" w:name="_Toc70411550"/>
      <w:bookmarkStart w:id="112" w:name="_Toc70410996"/>
      <w:bookmarkStart w:id="113" w:name="_Toc70410862"/>
      <w:bookmarkStart w:id="114" w:name="_Toc70411549"/>
      <w:bookmarkStart w:id="115" w:name="_Toc70410995"/>
      <w:bookmarkStart w:id="116" w:name="_Toc70410861"/>
      <w:bookmarkStart w:id="117" w:name="_Toc70411548"/>
      <w:bookmarkStart w:id="118" w:name="_Toc70410994"/>
      <w:bookmarkStart w:id="119" w:name="_Toc70410860"/>
      <w:bookmarkStart w:id="120" w:name="_Toc70411547"/>
      <w:bookmarkStart w:id="121" w:name="_Toc70410993"/>
      <w:bookmarkStart w:id="122" w:name="_Toc70410859"/>
      <w:bookmarkStart w:id="123" w:name="_Toc70411546"/>
      <w:bookmarkStart w:id="124" w:name="_Toc70410992"/>
      <w:bookmarkStart w:id="125" w:name="_Toc70410858"/>
      <w:bookmarkStart w:id="126" w:name="_Toc70411545"/>
      <w:bookmarkStart w:id="127" w:name="_Toc70410991"/>
      <w:bookmarkStart w:id="128" w:name="_Toc70410857"/>
      <w:bookmarkStart w:id="129" w:name="_Toc140836359"/>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025DBE">
        <w:rPr>
          <w:rFonts w:asciiTheme="minorHAnsi" w:hAnsiTheme="minorHAnsi"/>
          <w:b/>
          <w:bCs/>
          <w:caps/>
          <w:sz w:val="24"/>
          <w:u w:val="single"/>
          <w:lang w:val="en"/>
        </w:rPr>
        <w:t>Dispute resolution - applicable law</w:t>
      </w:r>
      <w:bookmarkEnd w:id="129"/>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26923324"/>
      <w:bookmarkStart w:id="131" w:name="_Toc127876030"/>
      <w:bookmarkStart w:id="132" w:name="_Toc140836360"/>
      <w:bookmarkStart w:id="133" w:name="_Toc140836361"/>
      <w:bookmarkEnd w:id="130"/>
      <w:bookmarkEnd w:id="131"/>
      <w:bookmarkEnd w:id="132"/>
      <w:r w:rsidRPr="00D31A4D">
        <w:rPr>
          <w:rFonts w:asciiTheme="minorHAnsi" w:hAnsiTheme="minorHAnsi"/>
          <w:b/>
          <w:bCs/>
          <w:caps/>
          <w:sz w:val="24"/>
          <w:u w:val="single"/>
          <w:lang w:val="en"/>
        </w:rPr>
        <w:t>Derogation from the CCAG</w:t>
      </w:r>
      <w:bookmarkEnd w:id="133"/>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4" w:name="_Toc140836362"/>
      <w:r w:rsidRPr="00F13E6E">
        <w:rPr>
          <w:rFonts w:asciiTheme="minorHAnsi" w:hAnsiTheme="minorHAnsi"/>
          <w:b/>
          <w:bCs/>
          <w:caps/>
          <w:sz w:val="24"/>
          <w:u w:val="single"/>
          <w:lang w:val="en"/>
        </w:rPr>
        <w:t>AUDIT</w:t>
      </w:r>
      <w:bookmarkEnd w:id="134"/>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Pr="005862C9" w:rsidRDefault="005862C9"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lastRenderedPageBreak/>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182773F3" w:rsidR="00936414" w:rsidRPr="00FE38D0" w:rsidRDefault="005862C9" w:rsidP="005862C9">
      <w:pPr>
        <w:ind w:left="567"/>
        <w:jc w:val="both"/>
        <w:rPr>
          <w:rFonts w:cstheme="minorHAnsi"/>
          <w:szCs w:val="22"/>
          <w:lang w:val="en-GB"/>
        </w:rPr>
      </w:pPr>
      <w:r w:rsidRPr="005862C9">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Pr>
          <w:color w:val="FF0000"/>
          <w:lang w:val="en-GB"/>
        </w:rPr>
        <w:t>.</w:t>
      </w:r>
      <w:r w:rsidR="001572C1">
        <w:rPr>
          <w:rFonts w:ascii="Calibri" w:hAnsi="Calibri"/>
          <w:sz w:val="22"/>
          <w:lang w:val="en"/>
        </w:rPr>
        <w:t>.</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5" w:name="_Toc140836363"/>
      <w:r w:rsidRPr="00D31A4D">
        <w:rPr>
          <w:rFonts w:asciiTheme="minorHAnsi" w:hAnsiTheme="minorHAnsi"/>
          <w:b/>
          <w:bCs/>
          <w:caps/>
          <w:sz w:val="24"/>
          <w:u w:val="single"/>
          <w:lang w:val="en"/>
        </w:rPr>
        <w:t>Final provisions</w:t>
      </w:r>
      <w:bookmarkEnd w:id="135"/>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6" w:name="_Toc392669654"/>
      <w:bookmarkStart w:id="137" w:name="_Toc140836364"/>
      <w:r w:rsidRPr="00D31A4D">
        <w:rPr>
          <w:rFonts w:asciiTheme="minorHAnsi" w:hAnsiTheme="minorHAnsi"/>
          <w:sz w:val="22"/>
          <w:szCs w:val="22"/>
          <w:lang w:val="en"/>
        </w:rPr>
        <w:t>Declaration</w:t>
      </w:r>
      <w:bookmarkEnd w:id="136"/>
      <w:bookmarkEnd w:id="137"/>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6624FC"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8" w:name="_Toc140836365"/>
      <w:r>
        <w:rPr>
          <w:rFonts w:asciiTheme="minorHAnsi" w:hAnsiTheme="minorHAnsi"/>
          <w:b/>
          <w:bCs/>
          <w:caps/>
          <w:sz w:val="24"/>
          <w:lang w:val="en"/>
        </w:rPr>
        <w:t>Annex 1: Specifications</w:t>
      </w:r>
      <w:bookmarkEnd w:id="138"/>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127483" w16cid:durableId="50127483"/>
  <w16cid:commentId w16cid:paraId="36260D5F" w16cid:durableId="36260D5F"/>
  <w16cid:commentId w16cid:paraId="151B289F" w16cid:durableId="151B289F"/>
  <w16cid:commentId w16cid:paraId="4F66721E" w16cid:durableId="4F66721E"/>
  <w16cid:commentId w16cid:paraId="09F848B2" w16cid:durableId="09F848B2"/>
  <w16cid:commentId w16cid:paraId="3F1F9776" w16cid:durableId="3F1F9776"/>
  <w16cid:commentId w16cid:paraId="556DFC3A" w16cid:durableId="556DFC3A"/>
  <w16cid:commentId w16cid:paraId="208CCACD" w16cid:durableId="208CCACD"/>
  <w16cid:commentId w16cid:paraId="1426A6E6" w16cid:durableId="1426A6E6"/>
  <w16cid:commentId w16cid:paraId="05D7847C" w16cid:durableId="05D7847C"/>
  <w16cid:commentId w16cid:paraId="61D74A94" w16cid:durableId="61D74A94"/>
  <w16cid:commentId w16cid:paraId="5E9B4E0A" w16cid:durableId="5E9B4E0A"/>
  <w16cid:commentId w16cid:paraId="35EBA5C8" w16cid:durableId="35EBA5C8"/>
  <w16cid:commentId w16cid:paraId="4498A643" w16cid:durableId="4498A64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1ACED" w14:textId="77777777" w:rsidR="006624FC" w:rsidRDefault="006624FC">
      <w:r>
        <w:separator/>
      </w:r>
    </w:p>
  </w:endnote>
  <w:endnote w:type="continuationSeparator" w:id="0">
    <w:p w14:paraId="6AD53311" w14:textId="77777777" w:rsidR="006624FC" w:rsidRDefault="0066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D0008FC"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556AB">
              <w:rPr>
                <w:rFonts w:asciiTheme="minorHAnsi" w:hAnsiTheme="minorHAnsi"/>
                <w:noProof/>
                <w:sz w:val="22"/>
                <w:szCs w:val="22"/>
                <w:lang w:val="en"/>
              </w:rPr>
              <w:t>16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556AB">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1572C1" w:rsidRPr="00FF1F8E" w:rsidRDefault="006624FC"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1FE1A216"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F13E6E">
                  <w:rPr>
                    <w:rFonts w:asciiTheme="minorHAnsi" w:hAnsiTheme="minorHAnsi"/>
                    <w:sz w:val="22"/>
                    <w:szCs w:val="22"/>
                    <w:lang w:val="en"/>
                  </w:rPr>
                  <w:t>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556A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556AB">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727D6203" w:rsidR="001572C1" w:rsidRPr="0036169C" w:rsidRDefault="00F13E6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47879" w14:textId="77777777" w:rsidR="006624FC" w:rsidRDefault="006624FC">
      <w:r>
        <w:separator/>
      </w:r>
    </w:p>
  </w:footnote>
  <w:footnote w:type="continuationSeparator" w:id="0">
    <w:p w14:paraId="628228FC" w14:textId="77777777" w:rsidR="006624FC" w:rsidRDefault="006624FC">
      <w:r>
        <w:continuationSeparator/>
      </w:r>
    </w:p>
  </w:footnote>
  <w:footnote w:id="1">
    <w:p w14:paraId="7DBCF515" w14:textId="77777777" w:rsidR="001572C1" w:rsidRPr="0041061D" w:rsidRDefault="001572C1"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1E"/>
    <w:rsid w:val="00092030"/>
    <w:rsid w:val="00093B0E"/>
    <w:rsid w:val="000964DE"/>
    <w:rsid w:val="000A4C31"/>
    <w:rsid w:val="000A6914"/>
    <w:rsid w:val="000A6D39"/>
    <w:rsid w:val="000A6E96"/>
    <w:rsid w:val="000B287F"/>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21D2"/>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286A"/>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C7ED3"/>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271BA"/>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0BCD"/>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24FC"/>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0A8E"/>
    <w:rsid w:val="0073128E"/>
    <w:rsid w:val="00737DB4"/>
    <w:rsid w:val="007407AA"/>
    <w:rsid w:val="00741613"/>
    <w:rsid w:val="007418B3"/>
    <w:rsid w:val="00741D2D"/>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23BF"/>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4AC3"/>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D7F6C"/>
    <w:rsid w:val="009E4891"/>
    <w:rsid w:val="009E79B2"/>
    <w:rsid w:val="009F3B5B"/>
    <w:rsid w:val="009F3ED9"/>
    <w:rsid w:val="009F49E3"/>
    <w:rsid w:val="00A0090D"/>
    <w:rsid w:val="00A0436E"/>
    <w:rsid w:val="00A04B43"/>
    <w:rsid w:val="00A0594E"/>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2A2"/>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11CD"/>
    <w:rsid w:val="00BF6EF2"/>
    <w:rsid w:val="00C047CA"/>
    <w:rsid w:val="00C04DC9"/>
    <w:rsid w:val="00C05CC0"/>
    <w:rsid w:val="00C136A7"/>
    <w:rsid w:val="00C13716"/>
    <w:rsid w:val="00C162E1"/>
    <w:rsid w:val="00C20435"/>
    <w:rsid w:val="00C21011"/>
    <w:rsid w:val="00C2145A"/>
    <w:rsid w:val="00C249E5"/>
    <w:rsid w:val="00C27993"/>
    <w:rsid w:val="00C32092"/>
    <w:rsid w:val="00C32D0A"/>
    <w:rsid w:val="00C3308A"/>
    <w:rsid w:val="00C3644B"/>
    <w:rsid w:val="00C41AA8"/>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56AB"/>
    <w:rsid w:val="00D569AF"/>
    <w:rsid w:val="00D57337"/>
    <w:rsid w:val="00D639EA"/>
    <w:rsid w:val="00D67295"/>
    <w:rsid w:val="00D70930"/>
    <w:rsid w:val="00D742B7"/>
    <w:rsid w:val="00D80144"/>
    <w:rsid w:val="00D81264"/>
    <w:rsid w:val="00D82F0A"/>
    <w:rsid w:val="00D830F2"/>
    <w:rsid w:val="00D847D6"/>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327C-339D-46D8-B4CD-BCE64CE61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273</TotalTime>
  <Pages>21</Pages>
  <Words>6260</Words>
  <Characters>34430</Characters>
  <Application>Microsoft Office Word</Application>
  <DocSecurity>0</DocSecurity>
  <Lines>286</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40609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Rahmouna BELLOUATI</cp:lastModifiedBy>
  <cp:revision>10</cp:revision>
  <cp:lastPrinted>2014-11-19T14:39:00Z</cp:lastPrinted>
  <dcterms:created xsi:type="dcterms:W3CDTF">2023-07-21T10:52:00Z</dcterms:created>
  <dcterms:modified xsi:type="dcterms:W3CDTF">2025-02-19T14:07:00Z</dcterms:modified>
</cp:coreProperties>
</file>