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59" w:lineRule="auto"/>
        <w:ind w:left="180"/>
      </w:pPr>
    </w:p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3593"/>
        <w:gridCol w:w="10847"/>
      </w:tblGrid>
      <w:tr>
        <w:trPr>
          <w:trHeight w:val="6070"/>
        </w:trPr>
        <w:tc>
          <w:tcPr>
            <w:tcW w:w="40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6510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ETUDES GEOTECHNIQUES POUR L'EXTENSION - RESTRUCTURATION DE LA MEDECINE INTENSIVE REANIMATION DU CHU DE BESANCON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  <w:tr>
        <w:trPr>
          <w:trHeight w:val="260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 w:right="10846"/>
            </w:pPr>
          </w:p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gridAfter w:val="11"/>
          <w:wAfter w:w="4223" w:type="dxa"/>
          <w:trHeight w:val="276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19085532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3.1 –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2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_Toc190855329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3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_Toc190855330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3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RÉPARTITIONS DES HONORAIRES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_Toc190855331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085533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2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_Toc190855332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2"/>
      <w:bookmarkStart w:id="1" w:name="_Toc190855320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Identification de l'acheteur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3"/>
      <w:bookmarkStart w:id="3" w:name="_Toc190855321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du co-contractant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8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4"/>
      <w:bookmarkStart w:id="5" w:name="_Toc190855322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Dispositions générales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6" w:name="ArtL2_AE-3-A4.1"/>
      <w:bookmarkStart w:id="7" w:name="_Toc190855323"/>
      <w:bookmarkEnd w:id="6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3.1 – Objet</w:t>
      </w:r>
      <w:bookmarkEnd w:id="7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L’études de sondages des reconnaissances géotechniques à réaliser dans le cadre de l’opération de restructuration de et d’extension de l’unité de Médecine Intensive et Réanimation (MIR) sur le site de l’hôpital J. Minjoz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2"/>
      <w:bookmarkStart w:id="9" w:name="_Toc190855324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3.2 - Mode de passation</w:t>
      </w:r>
      <w:bookmarkEnd w:id="9"/>
    </w:p>
    <w:p>
      <w:pPr>
        <w:rPr>
          <w:rFonts w:eastAsia="Trebuchet MS"/>
          <w:lang w:val="fr-FR"/>
        </w:rPr>
      </w:pP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3"/>
      <w:bookmarkStart w:id="11" w:name="_Toc190855325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lastRenderedPageBreak/>
        <w:t>3.3 - Forme de contrat</w:t>
      </w:r>
      <w:bookmarkEnd w:id="11"/>
    </w:p>
    <w:p>
      <w:pPr>
        <w:rPr>
          <w:rFonts w:eastAsia="Trebuchet MS"/>
          <w:lang w:val="fr-FR"/>
        </w:rPr>
      </w:pP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2" w:name="ArtL1_AE-3-A5"/>
      <w:bookmarkStart w:id="13" w:name="_Toc190855326"/>
      <w:bookmarkEnd w:id="1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Prix</w:t>
      </w:r>
      <w:bookmarkEnd w:id="1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seront rémunérées par application aux quantités réellement exécutées des prix unitaires fixés dans le bordereau des prix. L'évaluation de l'ensemble des prestations à exécuter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Pour la solution de base </w:t>
      </w:r>
      <w:r>
        <w:rPr>
          <w:rFonts w:asciiTheme="minorHAnsi" w:hAnsiTheme="minorHAnsi" w:cstheme="minorHAnsi"/>
          <w:b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b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619"/>
        <w:gridCol w:w="425"/>
        <w:gridCol w:w="284"/>
        <w:gridCol w:w="3952"/>
        <w:gridCol w:w="1320"/>
      </w:tblGrid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total du BPU HT         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6"/>
      <w:bookmarkStart w:id="15" w:name="_Toc190855327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Durée et Délais d'exécution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du contrat est définie au CCAP et ne peut en aucun cas être modifié(e).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du contrat débutera à compter de la date fixée dans le CCAP.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8"/>
      <w:bookmarkStart w:id="17" w:name="_Toc190855328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Paiement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11"/>
      <w:bookmarkStart w:id="19" w:name="_Toc190855329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Nomenclature(s)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6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71332000-4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Services d'ingénierie géotechnique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14"/>
      <w:bookmarkStart w:id="21" w:name="_Toc190855330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Signature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2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montant global de l'offre acceptée par le pouvoir adjudicateur est porté à :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619"/>
        <w:gridCol w:w="283"/>
        <w:gridCol w:w="284"/>
        <w:gridCol w:w="4094"/>
        <w:gridCol w:w="1320"/>
      </w:tblGrid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total du BPU HT                   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9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</w:tr>
      <w:tr>
        <w:trPr>
          <w:trHeight w:val="292"/>
        </w:trPr>
        <w:tc>
          <w:tcPr>
            <w:tcW w:w="26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1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fr-FR" w:eastAsia="fr-FR"/>
              </w:rPr>
              <w:drawing>
                <wp:inline distT="0" distB="0" distL="0" distR="0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1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_MHR"/>
      <w:bookmarkStart w:id="23" w:name="ArtL1_A-CT"/>
      <w:bookmarkStart w:id="24" w:name="_Toc190855332"/>
      <w:bookmarkEnd w:id="22"/>
      <w:bookmarkEnd w:id="23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4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/>
    <w:sectPr>
      <w:footerReference w:type="default" r:id="rId12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ETUDES GEOTECHNIQUE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ETUDES GEOTECHNIQUE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ETUDES GEOTECHNIQUE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ETUDES GEOTECHNIQUE MIR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ETUDES GEOTECHNIQUE MIR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78F2EC-A193-4B47-A320-3469A651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1588</Words>
  <Characters>8595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2025-02-20T08:31:00Z</dcterms:created>
  <dcterms:modified xsi:type="dcterms:W3CDTF">2025-02-20T08:31:00Z</dcterms:modified>
</cp:coreProperties>
</file>