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0CD32071"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Pr="00F37D2C">
              <w:rPr>
                <w:rFonts w:ascii="Arial" w:hAnsi="Arial" w:cs="Arial"/>
                <w:b/>
                <w:sz w:val="24"/>
              </w:rPr>
              <w:t>S</w:t>
            </w:r>
            <w:r w:rsidR="008A263B">
              <w:rPr>
                <w:rFonts w:ascii="Arial" w:hAnsi="Arial" w:cs="Arial"/>
                <w:b/>
                <w:sz w:val="24"/>
              </w:rPr>
              <w:t>25B00124</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5C36E013" w:rsidR="004F713F" w:rsidRPr="00DE7BF0" w:rsidRDefault="004F713F">
            <w:pPr>
              <w:spacing w:before="60" w:after="60"/>
              <w:rPr>
                <w:rFonts w:ascii="Arial" w:hAnsi="Arial" w:cs="Arial"/>
                <w:b/>
              </w:rPr>
            </w:pPr>
            <w:r w:rsidRPr="00DE7BF0">
              <w:rPr>
                <w:rFonts w:ascii="Arial" w:hAnsi="Arial" w:cs="Arial"/>
                <w:b/>
              </w:rPr>
              <w:t xml:space="preserve">Objet : </w:t>
            </w:r>
            <w:r w:rsidR="00AA7682" w:rsidRPr="00AA7682">
              <w:rPr>
                <w:rFonts w:ascii="Arial" w:hAnsi="Arial" w:cs="Arial"/>
                <w:b/>
              </w:rPr>
              <w:t>Approvisi</w:t>
            </w:r>
            <w:r w:rsidR="00EC2636">
              <w:rPr>
                <w:rFonts w:ascii="Arial" w:hAnsi="Arial" w:cs="Arial"/>
                <w:b/>
              </w:rPr>
              <w:t>onnement</w:t>
            </w:r>
            <w:r w:rsidR="00E315DD">
              <w:rPr>
                <w:rFonts w:ascii="Arial" w:hAnsi="Arial" w:cs="Arial"/>
                <w:b/>
              </w:rPr>
              <w:t xml:space="preserve"> de clé de serrage PR C26E</w:t>
            </w:r>
            <w:r w:rsidR="00CE56D6">
              <w:rPr>
                <w:rFonts w:ascii="Arial" w:hAnsi="Arial" w:cs="Arial"/>
                <w:b/>
              </w:rPr>
              <w:t xml:space="preserve"> </w:t>
            </w:r>
            <w:r w:rsidR="00AA7682" w:rsidRPr="00AA7682">
              <w:rPr>
                <w:rFonts w:ascii="Arial" w:hAnsi="Arial" w:cs="Arial"/>
                <w:b/>
              </w:rPr>
              <w:t>au profit de la Marine Nationale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5604CDC0" w:rsidR="0037092B" w:rsidRDefault="009E04F9" w:rsidP="009E04F9">
            <w:pPr>
              <w:tabs>
                <w:tab w:val="left" w:pos="7325"/>
              </w:tabs>
            </w:pPr>
            <w:r>
              <w:tab/>
            </w:r>
          </w:p>
          <w:p w14:paraId="11561B71" w14:textId="2BC9F05D" w:rsidR="00594686" w:rsidRDefault="0037092B" w:rsidP="0037092B">
            <w:pPr>
              <w:tabs>
                <w:tab w:val="left" w:pos="1600"/>
              </w:tabs>
            </w:pPr>
            <w:r>
              <w:tab/>
            </w:r>
          </w:p>
          <w:p w14:paraId="7D16E145" w14:textId="38870E5F" w:rsidR="00D57C8E" w:rsidRPr="00594686" w:rsidRDefault="00594686" w:rsidP="00594686">
            <w:pPr>
              <w:tabs>
                <w:tab w:val="left" w:pos="1600"/>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24E70C0B" w:rsidR="00D57C8E" w:rsidRPr="00DE7BF0" w:rsidRDefault="008A263B">
            <w:pPr>
              <w:spacing w:before="40"/>
              <w:jc w:val="center"/>
              <w:rPr>
                <w:rFonts w:ascii="Arial" w:hAnsi="Arial" w:cs="Arial"/>
                <w:b/>
                <w:bCs/>
              </w:rPr>
            </w:pPr>
            <w:r>
              <w:rPr>
                <w:rFonts w:ascii="Arial" w:hAnsi="Arial" w:cs="Arial"/>
                <w:b/>
                <w:bCs/>
              </w:rPr>
              <w:t>2905</w:t>
            </w:r>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722BC3B4" w:rsidR="00D57C8E" w:rsidRPr="00DE7BF0" w:rsidRDefault="00D57C8E">
            <w:pPr>
              <w:spacing w:before="40"/>
              <w:jc w:val="center"/>
              <w:rPr>
                <w:rFonts w:ascii="Arial" w:hAnsi="Arial" w:cs="Arial"/>
                <w:b/>
                <w:bCs/>
              </w:rPr>
            </w:pP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701AE5BC" w:rsidR="00D57C8E" w:rsidRPr="00DE7BF0" w:rsidRDefault="009D4747">
            <w:pPr>
              <w:spacing w:before="40"/>
              <w:jc w:val="center"/>
              <w:rPr>
                <w:rStyle w:val="Marquedecommentaire"/>
                <w:rFonts w:ascii="Arial" w:hAnsi="Arial" w:cs="Arial"/>
                <w:vanish/>
              </w:rPr>
            </w:pPr>
            <w:r>
              <w:rPr>
                <w:rFonts w:ascii="Arial" w:hAnsi="Arial" w:cs="Arial"/>
                <w:b/>
                <w:bCs/>
              </w:rPr>
              <w:t>2</w:t>
            </w:r>
            <w:r w:rsidR="00462D94">
              <w:rPr>
                <w:rFonts w:ascii="Arial" w:hAnsi="Arial" w:cs="Arial"/>
                <w:b/>
                <w:bCs/>
              </w:rPr>
              <w:t>2</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BA6882E" w:rsidR="00D57C8E" w:rsidRPr="000A05A9" w:rsidRDefault="00420D1F" w:rsidP="00FC3D0B">
      <w:pPr>
        <w:pStyle w:val="Euro"/>
        <w:numPr>
          <w:ilvl w:val="0"/>
          <w:numId w:val="13"/>
        </w:numPr>
        <w:tabs>
          <w:tab w:val="clear" w:pos="360"/>
          <w:tab w:val="num" w:pos="1134"/>
        </w:tabs>
        <w:spacing w:before="0" w:after="0"/>
        <w:ind w:left="1134" w:right="-28" w:hanging="283"/>
        <w:rPr>
          <w:rFonts w:ascii="Arial" w:hAnsi="Arial" w:cs="Arial"/>
          <w:caps w:val="0"/>
          <w:dstrike w:val="0"/>
          <w:color w:val="000000" w:themeColor="text1"/>
          <w:szCs w:val="22"/>
        </w:rPr>
      </w:pPr>
      <w:proofErr w:type="gramStart"/>
      <w:r>
        <w:rPr>
          <w:rFonts w:ascii="Arial" w:hAnsi="Arial" w:cs="Arial"/>
          <w:caps w:val="0"/>
          <w:dstrike w:val="0"/>
          <w:color w:val="000000" w:themeColor="text1"/>
          <w:szCs w:val="22"/>
        </w:rPr>
        <w:t>la</w:t>
      </w:r>
      <w:proofErr w:type="gramEnd"/>
      <w:r>
        <w:rPr>
          <w:rFonts w:ascii="Arial" w:hAnsi="Arial" w:cs="Arial"/>
          <w:caps w:val="0"/>
          <w:dstrike w:val="0"/>
          <w:color w:val="000000" w:themeColor="text1"/>
          <w:szCs w:val="22"/>
        </w:rPr>
        <w:t xml:space="preserve"> SGA valant CCTP ;</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0A05A9">
        <w:rPr>
          <w:rFonts w:ascii="Arial" w:hAnsi="Arial" w:cs="Arial"/>
          <w:color w:val="000000" w:themeColor="text1"/>
          <w:sz w:val="22"/>
          <w:szCs w:val="22"/>
        </w:rPr>
        <w:t xml:space="preserve">le cahier des clauses administratives générales applicables (CCAG) aux marchés de </w:t>
      </w:r>
      <w:r w:rsidRPr="00DE7BF0">
        <w:rPr>
          <w:rFonts w:ascii="Arial" w:hAnsi="Arial" w:cs="Arial"/>
          <w:sz w:val="22"/>
          <w:szCs w:val="22"/>
        </w:rPr>
        <w:t xml:space="preserve">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 xml:space="preserve">.2.2 du CCAG-FCS devient propriété de l’Etat, à l’étiquetage et à la manutention, à l’assurance, au chargement, aux garanties définies, à la </w:t>
      </w:r>
      <w:bookmarkStart w:id="0" w:name="_GoBack"/>
      <w:bookmarkEnd w:id="0"/>
      <w:r w:rsidR="00D57C8E" w:rsidRPr="00DE7BF0">
        <w:rPr>
          <w:rFonts w:ascii="Arial" w:hAnsi="Arial" w:cs="Arial"/>
        </w:rPr>
        <w:t>documentation ou notices (en Français), au déchargement à destination et aux opérations de vérifications.</w:t>
      </w:r>
    </w:p>
    <w:p w14:paraId="27E301C0" w14:textId="3A08E439" w:rsidR="00FC20C3" w:rsidRPr="00FC20C3" w:rsidRDefault="00C75087" w:rsidP="00FC20C3">
      <w:pPr>
        <w:ind w:left="567"/>
        <w:jc w:val="both"/>
        <w:rPr>
          <w:rFonts w:ascii="Arial" w:hAnsi="Arial" w:cs="Arial"/>
          <w:b/>
          <w:bCs/>
          <w:sz w:val="22"/>
          <w:szCs w:val="24"/>
        </w:rPr>
      </w:pPr>
      <w:r w:rsidRPr="00FC20C3">
        <w:rPr>
          <w:rFonts w:ascii="Arial" w:hAnsi="Arial" w:cs="Arial"/>
          <w:sz w:val="22"/>
          <w:szCs w:val="22"/>
        </w:rPr>
        <w:t>Il</w:t>
      </w:r>
      <w:r w:rsidR="00D57C8E" w:rsidRPr="00FC20C3">
        <w:rPr>
          <w:rFonts w:ascii="Arial" w:hAnsi="Arial" w:cs="Arial"/>
          <w:sz w:val="22"/>
          <w:szCs w:val="22"/>
        </w:rPr>
        <w:t xml:space="preserve"> </w:t>
      </w:r>
      <w:r w:rsidRPr="00FC20C3">
        <w:rPr>
          <w:rFonts w:ascii="Arial" w:hAnsi="Arial" w:cs="Arial"/>
          <w:sz w:val="22"/>
          <w:szCs w:val="22"/>
        </w:rPr>
        <w:t>est ferme</w:t>
      </w:r>
      <w:r w:rsidR="00D57C8E" w:rsidRPr="00FC20C3">
        <w:rPr>
          <w:rFonts w:ascii="Arial" w:hAnsi="Arial" w:cs="Arial"/>
          <w:sz w:val="22"/>
          <w:szCs w:val="22"/>
        </w:rPr>
        <w:t>, unitaire</w:t>
      </w:r>
      <w:r w:rsidRPr="00FC20C3">
        <w:rPr>
          <w:rFonts w:ascii="Arial" w:hAnsi="Arial" w:cs="Arial"/>
          <w:sz w:val="22"/>
          <w:szCs w:val="22"/>
        </w:rPr>
        <w:t xml:space="preserve"> et définitif</w:t>
      </w:r>
      <w:r w:rsidR="00D57C8E" w:rsidRPr="00FC20C3">
        <w:rPr>
          <w:rFonts w:ascii="Arial" w:hAnsi="Arial" w:cs="Arial"/>
          <w:sz w:val="22"/>
          <w:szCs w:val="22"/>
        </w:rPr>
        <w:t xml:space="preserve">. Il </w:t>
      </w:r>
      <w:r w:rsidRPr="00FC20C3">
        <w:rPr>
          <w:rFonts w:ascii="Arial" w:hAnsi="Arial" w:cs="Arial"/>
          <w:sz w:val="22"/>
          <w:szCs w:val="22"/>
        </w:rPr>
        <w:t>est établi</w:t>
      </w:r>
      <w:r w:rsidR="00D57C8E" w:rsidRPr="00FC20C3">
        <w:rPr>
          <w:rFonts w:ascii="Arial" w:hAnsi="Arial" w:cs="Arial"/>
          <w:sz w:val="22"/>
          <w:szCs w:val="22"/>
        </w:rPr>
        <w:t xml:space="preserve"> à la date dite </w:t>
      </w:r>
      <w:r w:rsidR="002751B4" w:rsidRPr="00FC20C3">
        <w:rPr>
          <w:rFonts w:ascii="Arial" w:hAnsi="Arial" w:cs="Arial"/>
          <w:sz w:val="22"/>
          <w:szCs w:val="22"/>
        </w:rPr>
        <w:t>« date d’établissement des prix », soit mois d</w:t>
      </w:r>
      <w:r w:rsidR="00192261">
        <w:rPr>
          <w:rFonts w:ascii="Arial" w:hAnsi="Arial" w:cs="Arial"/>
          <w:sz w:val="22"/>
          <w:szCs w:val="22"/>
        </w:rPr>
        <w:t>e mars</w:t>
      </w:r>
      <w:r w:rsidR="006763C7">
        <w:rPr>
          <w:rFonts w:ascii="Arial" w:hAnsi="Arial" w:cs="Arial"/>
          <w:sz w:val="22"/>
          <w:szCs w:val="22"/>
        </w:rPr>
        <w:t xml:space="preserve"> 2025</w:t>
      </w:r>
      <w:r w:rsidR="002751B4" w:rsidRPr="00FC20C3">
        <w:rPr>
          <w:rFonts w:ascii="Arial" w:hAnsi="Arial" w:cs="Arial"/>
          <w:sz w:val="22"/>
          <w:szCs w:val="22"/>
        </w:rPr>
        <w:t xml:space="preserve"> (mois de remise des offres).</w:t>
      </w:r>
      <w:r w:rsidR="00FC20C3" w:rsidRPr="00FC20C3">
        <w:rPr>
          <w:rFonts w:ascii="Arial" w:hAnsi="Arial" w:cs="Arial"/>
          <w:b/>
          <w:bCs/>
          <w:sz w:val="22"/>
          <w:szCs w:val="24"/>
        </w:rPr>
        <w:t xml:space="preserve"> Le prix fixé à l’annexe financière de l’acte d’engagement est ferme actualisable</w:t>
      </w:r>
      <w:r w:rsidR="00FC20C3" w:rsidRPr="00FC20C3">
        <w:rPr>
          <w:rFonts w:ascii="Arial" w:hAnsi="Arial" w:cs="Arial"/>
          <w:sz w:val="22"/>
          <w:szCs w:val="24"/>
        </w:rPr>
        <w:t xml:space="preserve"> </w:t>
      </w:r>
      <w:r w:rsidR="00FC20C3" w:rsidRPr="00FC20C3">
        <w:rPr>
          <w:rFonts w:ascii="Arial" w:hAnsi="Arial" w:cs="Arial"/>
          <w:b/>
          <w:bCs/>
          <w:sz w:val="22"/>
          <w:szCs w:val="24"/>
        </w:rPr>
        <w:t xml:space="preserve">dans les conditions prévues ci-dessous : </w:t>
      </w:r>
    </w:p>
    <w:p w14:paraId="4AC6E80F" w14:textId="77777777" w:rsidR="00FC20C3" w:rsidRPr="00FC20C3" w:rsidRDefault="00FC20C3" w:rsidP="00FC20C3">
      <w:pPr>
        <w:spacing w:before="120" w:after="120"/>
        <w:ind w:left="567"/>
        <w:jc w:val="both"/>
        <w:rPr>
          <w:rFonts w:ascii="Arial" w:hAnsi="Arial" w:cs="Arial"/>
          <w:sz w:val="22"/>
          <w:szCs w:val="24"/>
        </w:rPr>
      </w:pPr>
      <w:r w:rsidRPr="00FC20C3">
        <w:rPr>
          <w:rFonts w:ascii="Arial" w:hAnsi="Arial" w:cs="Arial"/>
          <w:sz w:val="22"/>
          <w:szCs w:val="22"/>
        </w:rPr>
        <w:t>un délai supérieur à trois mois s’écoule entre la date d’établissement des prix fixée ci-dessus et la date de début de réalisation des prestations, les prix sont actualisés à une date antérieure de trois mois à la date de début d’exécution à l’aide de la formule suivante </w:t>
      </w:r>
      <w:r w:rsidRPr="00FC20C3">
        <w:rPr>
          <w:rFonts w:ascii="Arial" w:hAnsi="Arial" w:cs="Arial"/>
          <w:sz w:val="22"/>
          <w:szCs w:val="24"/>
        </w:rPr>
        <w:t>:</w:t>
      </w:r>
    </w:p>
    <w:p w14:paraId="4BC161F6" w14:textId="4DF8E259" w:rsidR="00FC20C3" w:rsidRPr="00FC20C3" w:rsidRDefault="00FC20C3" w:rsidP="00FC20C3">
      <w:pPr>
        <w:ind w:left="900"/>
        <w:jc w:val="both"/>
        <w:rPr>
          <w:rFonts w:ascii="Arial" w:hAnsi="Arial" w:cs="Arial"/>
          <w:sz w:val="22"/>
          <w:szCs w:val="24"/>
        </w:rPr>
      </w:pPr>
      <w:r w:rsidRPr="00FC20C3">
        <w:rPr>
          <w:rFonts w:ascii="Arial" w:hAnsi="Arial" w:cs="Arial"/>
          <w:noProof/>
          <w:position w:val="-28"/>
          <w:sz w:val="22"/>
          <w:szCs w:val="24"/>
        </w:rPr>
        <w:drawing>
          <wp:inline distT="0" distB="0" distL="0" distR="0" wp14:anchorId="1E290CF6" wp14:editId="0EAE40CE">
            <wp:extent cx="2979420" cy="419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9420" cy="419100"/>
                    </a:xfrm>
                    <a:prstGeom prst="rect">
                      <a:avLst/>
                    </a:prstGeom>
                    <a:noFill/>
                    <a:ln>
                      <a:noFill/>
                    </a:ln>
                  </pic:spPr>
                </pic:pic>
              </a:graphicData>
            </a:graphic>
          </wp:inline>
        </w:drawing>
      </w:r>
    </w:p>
    <w:p w14:paraId="54D80464" w14:textId="77777777" w:rsidR="00FC20C3" w:rsidRPr="00FC20C3" w:rsidRDefault="00FC20C3" w:rsidP="00FC20C3">
      <w:pPr>
        <w:spacing w:before="120" w:after="120"/>
        <w:ind w:left="902"/>
        <w:jc w:val="both"/>
        <w:rPr>
          <w:rFonts w:ascii="Arial" w:hAnsi="Arial" w:cs="Arial"/>
          <w:bCs/>
          <w:sz w:val="22"/>
          <w:szCs w:val="24"/>
        </w:rPr>
      </w:pPr>
      <w:r w:rsidRPr="00FC20C3">
        <w:rPr>
          <w:rFonts w:ascii="Arial" w:hAnsi="Arial" w:cs="Arial"/>
          <w:bCs/>
          <w:sz w:val="22"/>
          <w:szCs w:val="24"/>
        </w:rPr>
        <w:t>dans laquelle :</w:t>
      </w:r>
    </w:p>
    <w:p w14:paraId="7E2D4AFD"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1</w:t>
      </w:r>
      <w:r w:rsidRPr="00FC20C3">
        <w:rPr>
          <w:rFonts w:ascii="Arial" w:hAnsi="Arial" w:cs="Arial"/>
          <w:bCs/>
          <w:sz w:val="22"/>
          <w:szCs w:val="24"/>
          <w:vertAlign w:val="subscript"/>
        </w:rPr>
        <w:t xml:space="preserve"> </w:t>
      </w:r>
      <w:r w:rsidRPr="00FC20C3">
        <w:rPr>
          <w:rFonts w:ascii="Arial" w:hAnsi="Arial" w:cs="Arial"/>
          <w:bCs/>
          <w:sz w:val="22"/>
          <w:szCs w:val="24"/>
        </w:rPr>
        <w:t xml:space="preserve">= </w:t>
      </w:r>
      <w:r w:rsidRPr="00FC20C3">
        <w:rPr>
          <w:rFonts w:ascii="Arial" w:hAnsi="Arial" w:cs="Arial"/>
          <w:bCs/>
          <w:szCs w:val="24"/>
        </w:rPr>
        <w:t>prix actualisé</w:t>
      </w:r>
    </w:p>
    <w:p w14:paraId="2AA2C3DF"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 xml:space="preserve">0 </w:t>
      </w:r>
      <w:r w:rsidRPr="00FC20C3">
        <w:rPr>
          <w:rFonts w:ascii="Arial" w:hAnsi="Arial" w:cs="Arial"/>
          <w:bCs/>
          <w:sz w:val="22"/>
          <w:szCs w:val="24"/>
        </w:rPr>
        <w:t xml:space="preserve">= </w:t>
      </w:r>
      <w:r w:rsidRPr="00FC20C3">
        <w:rPr>
          <w:rFonts w:ascii="Arial" w:hAnsi="Arial" w:cs="Arial"/>
          <w:bCs/>
          <w:szCs w:val="24"/>
        </w:rPr>
        <w:t>prix à la date d’établissement des prix</w:t>
      </w:r>
    </w:p>
    <w:p w14:paraId="41411482"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 xml:space="preserve">EBIQ </w:t>
      </w:r>
      <w:r w:rsidRPr="00FC20C3">
        <w:rPr>
          <w:rFonts w:ascii="Arial" w:hAnsi="Arial" w:cs="Arial"/>
        </w:rPr>
        <w:t xml:space="preserve">= </w:t>
      </w:r>
      <w:r w:rsidRPr="00FC20C3">
        <w:rPr>
          <w:rFonts w:ascii="Arial" w:hAnsi="Arial" w:cs="Arial"/>
        </w:rPr>
        <w:tab/>
        <w:t>indice énergie, biens intermédiaires, biens d’investissements (MIGS) - identifiant « </w:t>
      </w:r>
      <w:proofErr w:type="spellStart"/>
      <w:r w:rsidRPr="00FC20C3">
        <w:rPr>
          <w:rFonts w:ascii="Arial" w:hAnsi="Arial" w:cs="Arial"/>
        </w:rPr>
        <w:t>insee</w:t>
      </w:r>
      <w:proofErr w:type="spellEnd"/>
      <w:r w:rsidRPr="00FC20C3">
        <w:rPr>
          <w:rFonts w:ascii="Arial" w:hAnsi="Arial" w:cs="Arial"/>
        </w:rPr>
        <w:t xml:space="preserve"> Fr» : 010764358.</w:t>
      </w:r>
    </w:p>
    <w:p w14:paraId="78BC988A"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FC20C3">
        <w:rPr>
          <w:rFonts w:ascii="Arial" w:hAnsi="Arial" w:cs="Arial"/>
          <w:b/>
          <w:bCs/>
        </w:rPr>
        <w:t>ICHT</w:t>
      </w:r>
      <w:r w:rsidRPr="00FC20C3">
        <w:rPr>
          <w:rFonts w:ascii="Arial" w:hAnsi="Arial" w:cs="Arial"/>
          <w:b/>
          <w:bCs/>
          <w:sz w:val="18"/>
          <w:szCs w:val="18"/>
        </w:rPr>
        <w:t>rev</w:t>
      </w:r>
      <w:r w:rsidRPr="00FC20C3">
        <w:rPr>
          <w:rFonts w:ascii="Arial" w:hAnsi="Arial" w:cs="Arial"/>
          <w:b/>
          <w:bCs/>
        </w:rPr>
        <w:t>TS</w:t>
      </w:r>
      <w:proofErr w:type="spellEnd"/>
    </w:p>
    <w:p w14:paraId="63AC630F" w14:textId="78156B84"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-IME</w:t>
      </w:r>
      <w:r w:rsidRPr="00FC20C3">
        <w:rPr>
          <w:rFonts w:ascii="Arial" w:hAnsi="Arial" w:cs="Arial"/>
        </w:rPr>
        <w:t xml:space="preserve">  = </w:t>
      </w:r>
      <w:r w:rsidRPr="00FC20C3">
        <w:rPr>
          <w:rFonts w:ascii="Arial" w:hAnsi="Arial" w:cs="Arial"/>
        </w:rPr>
        <w:tab/>
        <w:t>valeur de l’indice du coût horaire du travail tous salariés des industries mécaniques et électriques (IME) - identifiant « insee.fr » : 1565183.</w:t>
      </w:r>
    </w:p>
    <w:p w14:paraId="67612F75"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o ”</w:t>
      </w:r>
    </w:p>
    <w:p w14:paraId="166682C2"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22"/>
          <w:szCs w:val="24"/>
          <w:vertAlign w:val="subscript"/>
        </w:rPr>
        <w:t>0</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22"/>
          <w:szCs w:val="24"/>
          <w:vertAlign w:val="subscript"/>
        </w:rPr>
        <w:t>0</w:t>
      </w:r>
      <w:r w:rsidRPr="00FC20C3">
        <w:rPr>
          <w:rFonts w:ascii="Arial" w:hAnsi="Arial" w:cs="Arial"/>
          <w:bCs/>
          <w:sz w:val="22"/>
          <w:szCs w:val="24"/>
        </w:rPr>
        <w:t xml:space="preserve"> : valeur des indices lue à la date d'établissement des prix </w:t>
      </w:r>
    </w:p>
    <w:p w14:paraId="75B30B7D"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1</w:t>
      </w:r>
      <w:r w:rsidRPr="00FC20C3">
        <w:rPr>
          <w:rFonts w:ascii="Arial" w:hAnsi="Arial" w:cs="Arial"/>
          <w:sz w:val="22"/>
          <w:szCs w:val="24"/>
          <w:u w:val="single"/>
          <w:vertAlign w:val="subscript"/>
        </w:rPr>
        <w:t> ”</w:t>
      </w:r>
    </w:p>
    <w:p w14:paraId="70CCB165"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16"/>
          <w:szCs w:val="24"/>
        </w:rPr>
        <w:t>1</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16"/>
          <w:szCs w:val="24"/>
        </w:rPr>
        <w:t>1</w:t>
      </w:r>
      <w:r w:rsidRPr="00FC20C3">
        <w:rPr>
          <w:rFonts w:ascii="Arial" w:hAnsi="Arial" w:cs="Arial"/>
          <w:bCs/>
          <w:sz w:val="22"/>
          <w:szCs w:val="24"/>
        </w:rPr>
        <w:t> : valeur des indices trois mois avant la date de début d’exécution du marché</w:t>
      </w:r>
    </w:p>
    <w:p w14:paraId="77BE5A9C" w14:textId="77777777" w:rsidR="00FC20C3" w:rsidRPr="00FC20C3" w:rsidRDefault="00FC20C3" w:rsidP="00FC20C3">
      <w:pPr>
        <w:ind w:left="851"/>
        <w:jc w:val="both"/>
        <w:rPr>
          <w:rFonts w:ascii="Arial" w:hAnsi="Arial" w:cs="Arial"/>
          <w:sz w:val="22"/>
          <w:szCs w:val="24"/>
        </w:rPr>
      </w:pPr>
    </w:p>
    <w:p w14:paraId="026BC780" w14:textId="1CD0BD29" w:rsidR="00D57C8E" w:rsidRPr="00FC20C3" w:rsidRDefault="00FC20C3" w:rsidP="00FC20C3">
      <w:pPr>
        <w:ind w:left="567"/>
        <w:jc w:val="both"/>
        <w:rPr>
          <w:rFonts w:ascii="Arial" w:hAnsi="Arial" w:cs="Arial"/>
          <w:bCs/>
          <w:sz w:val="22"/>
          <w:szCs w:val="24"/>
        </w:rPr>
      </w:pPr>
      <w:r w:rsidRPr="00FC20C3">
        <w:rPr>
          <w:rFonts w:ascii="Arial" w:hAnsi="Arial" w:cs="Arial"/>
          <w:bCs/>
          <w:sz w:val="22"/>
          <w:szCs w:val="24"/>
        </w:rPr>
        <w:t>Ces indices sont lus dans les bases de données de l’INSEE ( voir le site de l’INSEE) accessibles à l’adresse</w:t>
      </w:r>
      <w:r w:rsidRPr="00FC20C3">
        <w:rPr>
          <w:rFonts w:cs="Arial"/>
          <w:sz w:val="22"/>
          <w:szCs w:val="24"/>
        </w:rPr>
        <w:t xml:space="preserve"> </w:t>
      </w:r>
      <w:hyperlink r:id="rId11" w:history="1">
        <w:r w:rsidRPr="00FC20C3">
          <w:rPr>
            <w:rFonts w:cs="Arial"/>
            <w:color w:val="0000FF"/>
            <w:sz w:val="22"/>
            <w:szCs w:val="24"/>
            <w:u w:val="single"/>
          </w:rPr>
          <w:t>https://www.insee.fr/fr/accueil</w:t>
        </w:r>
      </w:hyperlink>
      <w:r w:rsidRPr="00FC20C3">
        <w:rPr>
          <w:rFonts w:cs="Arial"/>
          <w:sz w:val="22"/>
          <w:szCs w:val="24"/>
        </w:rPr>
        <w:t xml:space="preserve"> (</w:t>
      </w:r>
      <w:r w:rsidRPr="00FC20C3">
        <w:rPr>
          <w:rFonts w:ascii="Arial" w:hAnsi="Arial" w:cs="Arial"/>
          <w:bCs/>
          <w:sz w:val="22"/>
          <w:szCs w:val="24"/>
        </w:rPr>
        <w:t>rubrique : Services &gt; Consulter les indices et séries chronologiques &gt; Recherche d'indices et de séries chronologiques</w:t>
      </w:r>
    </w:p>
    <w:p w14:paraId="24217FB3" w14:textId="48CBD9E7" w:rsidR="001B0E40" w:rsidRPr="00DE7BF0" w:rsidRDefault="00D57C8E" w:rsidP="001B0E40">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lastRenderedPageBreak/>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27433BDF" w:rsidR="00190BCD" w:rsidRPr="00DE7BF0" w:rsidRDefault="00190BCD" w:rsidP="00AE3691">
      <w:pPr>
        <w:pStyle w:val="Listepuces"/>
        <w:ind w:left="709" w:hanging="142"/>
        <w:rPr>
          <w:rFonts w:ascii="Arial" w:hAnsi="Arial" w:cs="Arial"/>
        </w:rPr>
      </w:pPr>
      <w:r w:rsidRPr="00DE7BF0">
        <w:rPr>
          <w:rFonts w:ascii="Arial" w:hAnsi="Arial" w:cs="Arial"/>
        </w:rPr>
        <w:t xml:space="preserve">- 5 % d’une somme égale à douze fois le montant initial </w:t>
      </w:r>
      <w:r w:rsidR="00D93760">
        <w:rPr>
          <w:rFonts w:ascii="Arial" w:hAnsi="Arial" w:cs="Arial"/>
        </w:rPr>
        <w:t xml:space="preserve">TTC </w:t>
      </w:r>
      <w:r w:rsidRPr="00DE7BF0">
        <w:rPr>
          <w:rFonts w:ascii="Arial" w:hAnsi="Arial" w:cs="Arial"/>
        </w:rPr>
        <w:t>divisé par cette durée exprimée en mois, si cette</w:t>
      </w:r>
      <w:r w:rsidR="00AE3691" w:rsidRPr="00DE7BF0">
        <w:rPr>
          <w:rFonts w:ascii="Arial" w:hAnsi="Arial" w:cs="Arial"/>
        </w:rPr>
        <w:t xml:space="preserve"> durée est supérieure à 12 mois.</w:t>
      </w:r>
    </w:p>
    <w:p w14:paraId="3536FEB3" w14:textId="00A184D1" w:rsidR="00190BCD" w:rsidRPr="00D93760" w:rsidRDefault="00190BCD" w:rsidP="00D93760">
      <w:pPr>
        <w:pStyle w:val="Corpsdetexte"/>
        <w:spacing w:before="120" w:after="120" w:line="240" w:lineRule="auto"/>
        <w:ind w:left="567"/>
        <w:jc w:val="both"/>
        <w:rPr>
          <w:rFonts w:cs="Arial"/>
          <w:sz w:val="22"/>
          <w:szCs w:val="22"/>
          <w:lang w:val="fr-FR"/>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w:t>
      </w:r>
      <w:r w:rsidR="00D93760">
        <w:rPr>
          <w:rFonts w:cs="Arial"/>
          <w:sz w:val="22"/>
          <w:szCs w:val="22"/>
        </w:rPr>
        <w:t>ne petite ou moyenne entreprise et ce par dérogation à l’</w:t>
      </w:r>
      <w:r w:rsidR="00D93760">
        <w:rPr>
          <w:rFonts w:cs="Arial"/>
          <w:sz w:val="22"/>
          <w:szCs w:val="22"/>
          <w:lang w:val="fr-FR"/>
        </w:rPr>
        <w:t>article 11.1 ( option A) du CCAG FCS.</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0B25AA2E" w14:textId="584D722A"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713F1B2B" w14:textId="7B43F376" w:rsidR="0037092B" w:rsidRPr="00DE7BF0" w:rsidRDefault="00362B19" w:rsidP="004C483F">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3E661A6"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2.3 TVA</w:t>
      </w:r>
      <w:r w:rsidRPr="00DE7BF0">
        <w:rPr>
          <w:rFonts w:ascii="Arial" w:hAnsi="Arial" w:cs="Arial"/>
          <w:b/>
          <w:sz w:val="22"/>
        </w:rPr>
        <w:t> </w:t>
      </w:r>
    </w:p>
    <w:p w14:paraId="353E3F7C" w14:textId="7CB91A28" w:rsidR="00C46451" w:rsidRPr="00F37D2C" w:rsidRDefault="00D57C8E" w:rsidP="00F37D2C">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14AD0898" w14:textId="7A9BAABF" w:rsidR="001B0E40" w:rsidRPr="00DB16BA" w:rsidRDefault="00D57C8E" w:rsidP="00DB16BA">
      <w:pPr>
        <w:pStyle w:val="Paragraphe1"/>
        <w:ind w:right="-28"/>
        <w:rPr>
          <w:rFonts w:ascii="Arial" w:hAnsi="Arial" w:cs="Arial"/>
          <w:b/>
          <w:bCs/>
          <w:sz w:val="22"/>
        </w:rPr>
      </w:pPr>
      <w:r w:rsidRPr="00DE7BF0">
        <w:rPr>
          <w:rFonts w:ascii="Arial" w:hAnsi="Arial" w:cs="Arial"/>
          <w:b/>
          <w:bCs/>
          <w:sz w:val="22"/>
        </w:rPr>
        <w:t>2.4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77777777" w:rsidR="00C46451" w:rsidRPr="00DE7BF0" w:rsidRDefault="00C46451" w:rsidP="00A328DB">
      <w:pPr>
        <w:pStyle w:val="Corpsdetexte"/>
        <w:spacing w:line="240" w:lineRule="auto"/>
        <w:ind w:left="567"/>
        <w:jc w:val="both"/>
        <w:rPr>
          <w:rFonts w:cs="Arial"/>
          <w:sz w:val="22"/>
          <w:szCs w:val="22"/>
          <w:lang w:val="fr-FR"/>
        </w:rPr>
      </w:pPr>
    </w:p>
    <w:p w14:paraId="3B90021B"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02BED86A" w14:textId="54B34B83" w:rsidR="00C46451"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6E811E2A"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lastRenderedPageBreak/>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1D8B14C4"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47FE2A50" w14:textId="4E973905" w:rsidR="0037092B" w:rsidRPr="00DE7BF0" w:rsidRDefault="00CD607A" w:rsidP="004C483F">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rsidP="00F37D2C">
      <w:pPr>
        <w:pStyle w:val="Titre2"/>
        <w:spacing w:before="120" w:after="12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3FA359AA"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BAF056D" w:rsidR="00253404" w:rsidRDefault="00B16993" w:rsidP="00253404">
      <w:pPr>
        <w:tabs>
          <w:tab w:val="left" w:pos="993"/>
          <w:tab w:val="left" w:pos="1560"/>
          <w:tab w:val="left" w:pos="2268"/>
        </w:tabs>
        <w:spacing w:before="60" w:after="60"/>
        <w:ind w:left="567"/>
        <w:jc w:val="both"/>
        <w:rPr>
          <w:rFonts w:ascii="Arial" w:hAnsi="Arial" w:cs="Arial"/>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r w:rsidR="00253404" w:rsidRPr="00253404">
        <w:rPr>
          <w:rFonts w:ascii="Arial" w:hAnsi="Arial" w:cs="Arial"/>
          <w:sz w:val="22"/>
          <w:szCs w:val="22"/>
        </w:rPr>
        <w:t xml:space="preserve">Si le conducteur du véhicule n'est pas de nationalité française, le titulaire doit </w:t>
      </w:r>
      <w:r w:rsidR="00253404" w:rsidRPr="00253404">
        <w:rPr>
          <w:rFonts w:ascii="Arial" w:hAnsi="Arial" w:cs="Arial"/>
          <w:b/>
          <w:bCs/>
          <w:sz w:val="22"/>
          <w:szCs w:val="22"/>
        </w:rPr>
        <w:t xml:space="preserve">réclamer </w:t>
      </w:r>
      <w:r w:rsidR="00253404" w:rsidRPr="00253404">
        <w:rPr>
          <w:rFonts w:ascii="Arial" w:hAnsi="Arial" w:cs="Arial"/>
          <w:b/>
          <w:bCs/>
          <w:sz w:val="22"/>
          <w:szCs w:val="22"/>
          <w:u w:val="single"/>
        </w:rPr>
        <w:t>une demande d'autorisation d'accès</w:t>
      </w:r>
      <w:r w:rsidR="00253404" w:rsidRPr="00253404">
        <w:rPr>
          <w:rFonts w:ascii="Arial" w:hAnsi="Arial" w:cs="Arial"/>
          <w:sz w:val="22"/>
          <w:szCs w:val="22"/>
        </w:rPr>
        <w:t xml:space="preserve">, qu'il doit ensuite faire parvenir </w:t>
      </w:r>
      <w:r w:rsidR="00253404" w:rsidRPr="00253404">
        <w:rPr>
          <w:rFonts w:ascii="Arial" w:hAnsi="Arial" w:cs="Arial"/>
          <w:b/>
          <w:bCs/>
          <w:sz w:val="22"/>
          <w:szCs w:val="22"/>
          <w:u w:val="single"/>
        </w:rPr>
        <w:t>cinq à dix jours</w:t>
      </w:r>
      <w:r w:rsidR="00253404" w:rsidRPr="00253404">
        <w:rPr>
          <w:rFonts w:ascii="Arial" w:hAnsi="Arial" w:cs="Arial"/>
          <w:sz w:val="22"/>
          <w:szCs w:val="22"/>
        </w:rPr>
        <w:t xml:space="preserve"> avant la livraison au RO</w:t>
      </w:r>
      <w:r w:rsidR="00253404">
        <w:rPr>
          <w:rFonts w:ascii="Arial" w:hAnsi="Arial" w:cs="Arial"/>
          <w:sz w:val="22"/>
          <w:szCs w:val="22"/>
        </w:rPr>
        <w:t xml:space="preserve"> </w:t>
      </w:r>
      <w:r w:rsidR="00253404">
        <w:rPr>
          <w:rFonts w:ascii="Arial" w:hAnsi="Arial" w:cs="Arial"/>
          <w:bCs/>
          <w:sz w:val="22"/>
          <w:szCs w:val="22"/>
        </w:rPr>
        <w:t>SDL</w:t>
      </w:r>
      <w:r w:rsidR="00253404" w:rsidRPr="00253404">
        <w:rPr>
          <w:rFonts w:ascii="Arial" w:hAnsi="Arial" w:cs="Arial"/>
          <w:sz w:val="22"/>
          <w:szCs w:val="22"/>
        </w:rPr>
        <w:t xml:space="preserve"> selon le lieu de destination.</w:t>
      </w:r>
    </w:p>
    <w:p w14:paraId="146FF6D9" w14:textId="1C67B610"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51C04E24" w14:textId="0F3BAA23"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7EFAC712" w14:textId="77777777" w:rsidR="00E678AF" w:rsidRPr="00253404" w:rsidRDefault="00E678AF" w:rsidP="00253404">
      <w:pPr>
        <w:tabs>
          <w:tab w:val="left" w:pos="993"/>
          <w:tab w:val="left" w:pos="1560"/>
          <w:tab w:val="left" w:pos="2268"/>
        </w:tabs>
        <w:spacing w:before="60" w:after="60"/>
        <w:ind w:left="567"/>
        <w:jc w:val="both"/>
        <w:rPr>
          <w:rFonts w:ascii="Arial" w:hAnsi="Arial" w:cs="Arial"/>
          <w:sz w:val="22"/>
          <w:szCs w:val="22"/>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lastRenderedPageBreak/>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73B4E233" w14:textId="6B4269D1" w:rsidR="00B16993" w:rsidRPr="00F37D2C" w:rsidRDefault="00DE7BF0" w:rsidP="00F37D2C">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1"/>
    <w:bookmarkEnd w:id="2"/>
    <w:bookmarkEnd w:id="3"/>
    <w:bookmarkEnd w:id="4"/>
    <w:bookmarkEnd w:id="5"/>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40D69219"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300pt;height:18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w:t>
      </w:r>
      <w:r w:rsidRPr="00DE7BF0">
        <w:rPr>
          <w:rFonts w:ascii="Arial" w:hAnsi="Arial" w:cs="Arial"/>
          <w:caps w:val="0"/>
          <w:dstrike w:val="0"/>
          <w:szCs w:val="22"/>
        </w:rPr>
        <w:lastRenderedPageBreak/>
        <w:t xml:space="preserve">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230C44DF" w:rsidR="00D57C8E"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3C3C0E9" w14:textId="77777777" w:rsidR="00A10063" w:rsidRPr="00A10063" w:rsidRDefault="00A10063" w:rsidP="00A10063">
      <w:pPr>
        <w:ind w:left="567"/>
        <w:jc w:val="both"/>
        <w:rPr>
          <w:rFonts w:ascii="Arial" w:hAnsi="Arial" w:cs="Arial"/>
          <w:sz w:val="22"/>
          <w:szCs w:val="22"/>
          <w:lang w:val="x-none" w:eastAsia="x-none"/>
        </w:rPr>
      </w:pPr>
      <w:r w:rsidRPr="00A10063">
        <w:rPr>
          <w:rFonts w:ascii="Arial" w:hAnsi="Arial" w:cs="Arial"/>
          <w:sz w:val="22"/>
          <w:szCs w:val="22"/>
          <w:lang w:val="x-none" w:eastAsia="x-none"/>
        </w:rPr>
        <w:t xml:space="preserve">Pour chaque </w:t>
      </w:r>
      <w:r w:rsidRPr="00A10063">
        <w:rPr>
          <w:rFonts w:ascii="Arial" w:hAnsi="Arial" w:cs="Arial"/>
          <w:b/>
          <w:sz w:val="22"/>
          <w:szCs w:val="22"/>
          <w:lang w:val="x-none" w:eastAsia="x-none"/>
        </w:rPr>
        <w:t>poste dont le délai</w:t>
      </w:r>
      <w:r w:rsidRPr="00A10063">
        <w:rPr>
          <w:rFonts w:ascii="Arial" w:hAnsi="Arial" w:cs="Arial"/>
          <w:sz w:val="22"/>
          <w:szCs w:val="22"/>
          <w:lang w:val="x-none" w:eastAsia="x-none"/>
        </w:rPr>
        <w:t xml:space="preserve"> de livraison est dépassé, le titulaire encourt, sans mise en demeure préalable, une pénalité calculée conformément aux dispositions de l'article 14</w:t>
      </w:r>
      <w:r w:rsidRPr="00A10063">
        <w:rPr>
          <w:rFonts w:ascii="Arial" w:hAnsi="Arial" w:cs="Arial"/>
          <w:sz w:val="22"/>
          <w:szCs w:val="22"/>
          <w:lang w:eastAsia="x-none"/>
        </w:rPr>
        <w:t>.1</w:t>
      </w:r>
      <w:r w:rsidRPr="00A10063">
        <w:rPr>
          <w:rFonts w:ascii="Arial" w:hAnsi="Arial" w:cs="Arial"/>
          <w:sz w:val="22"/>
          <w:szCs w:val="22"/>
          <w:lang w:val="x-none" w:eastAsia="x-none"/>
        </w:rPr>
        <w:t xml:space="preserve"> du CCAG-FCS par application de la formule suivante : </w:t>
      </w:r>
    </w:p>
    <w:p w14:paraId="47CC755A"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object w:dxaOrig="859" w:dyaOrig="520" w14:anchorId="031B276A">
          <v:shape id="_x0000_i1029" type="#_x0000_t75" style="width:58pt;height:28pt" o:ole="" fillcolor="window">
            <v:imagedata r:id="rId16" o:title=""/>
          </v:shape>
          <o:OLEObject Type="Embed" ProgID="Equation.3" ShapeID="_x0000_i1029" DrawAspect="Content" ObjectID="_1801468879" r:id="rId17"/>
        </w:object>
      </w:r>
      <w:r w:rsidRPr="00A10063">
        <w:rPr>
          <w:rFonts w:ascii="Arial" w:hAnsi="Arial" w:cs="Arial"/>
          <w:sz w:val="22"/>
          <w:szCs w:val="22"/>
          <w:lang w:val="x-none" w:eastAsia="x-none"/>
        </w:rPr>
        <w:t xml:space="preserve"> </w:t>
      </w:r>
      <w:r w:rsidRPr="00A10063">
        <w:rPr>
          <w:rFonts w:ascii="Arial" w:hAnsi="Arial" w:cs="Arial"/>
          <w:sz w:val="22"/>
          <w:szCs w:val="22"/>
          <w:lang w:val="x-none" w:eastAsia="x-none"/>
        </w:rPr>
        <w:tab/>
      </w:r>
    </w:p>
    <w:p w14:paraId="09BECBD9"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t xml:space="preserve">dans laquelle : </w:t>
      </w:r>
    </w:p>
    <w:p w14:paraId="779F089D"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 xml:space="preserve">P = montant de la pénalité </w:t>
      </w:r>
    </w:p>
    <w:p w14:paraId="2B1A6580"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V = valeur pénalisée (montant HT des fournitures en retard, cf. ci-dessous)</w:t>
      </w:r>
    </w:p>
    <w:p w14:paraId="2EB499B8"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R = nombre de jours de retard.</w:t>
      </w:r>
    </w:p>
    <w:p w14:paraId="617A06DA"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Pour l’application des pénalités d’un poste, il n’est pas tenu compte de la notion de lot de liquidation mais de la valeur des fournitures en retard.</w:t>
      </w:r>
    </w:p>
    <w:p w14:paraId="2165BF53" w14:textId="77777777" w:rsidR="00A10063" w:rsidRPr="00A10063" w:rsidRDefault="00A10063" w:rsidP="00A10063">
      <w:pPr>
        <w:ind w:left="567"/>
        <w:jc w:val="both"/>
        <w:rPr>
          <w:rFonts w:ascii="Arial" w:hAnsi="Arial" w:cs="Arial"/>
          <w:b/>
          <w:sz w:val="22"/>
          <w:szCs w:val="22"/>
          <w:lang w:val="x-none" w:eastAsia="x-none"/>
        </w:rPr>
      </w:pPr>
    </w:p>
    <w:p w14:paraId="57699CBB" w14:textId="77777777" w:rsidR="00A10063" w:rsidRPr="00A10063" w:rsidRDefault="00A10063" w:rsidP="00A10063">
      <w:pPr>
        <w:ind w:left="567"/>
        <w:rPr>
          <w:rFonts w:ascii="Arial" w:hAnsi="Arial"/>
          <w:sz w:val="22"/>
          <w:szCs w:val="22"/>
          <w:lang w:val="x-none" w:eastAsia="x-none"/>
        </w:rPr>
      </w:pPr>
      <w:r w:rsidRPr="00A10063">
        <w:rPr>
          <w:rFonts w:ascii="Arial" w:hAnsi="Arial"/>
          <w:sz w:val="22"/>
          <w:szCs w:val="22"/>
          <w:lang w:val="x-none" w:eastAsia="x-none"/>
        </w:rPr>
        <w:t>Par dérogation au CCAG-FCS :</w:t>
      </w:r>
    </w:p>
    <w:p w14:paraId="09AE9A03"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Les pénalités sont appliquées sans procédure contradictoire préalable (art. 14.1.1 du CCAG)</w:t>
      </w:r>
    </w:p>
    <w:p w14:paraId="0A572409"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plafonnement des pénalités n’est pas applicable (article 14.1.2 du CCAG)</w:t>
      </w:r>
    </w:p>
    <w:p w14:paraId="09AE7B92" w14:textId="7BEEDE2B" w:rsidR="00C7171F"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titulaire est exonéré des pénalités dont le montant total ne dépasse pas 150 € pour l'ensemble du marché (art. 14.1.3 du CCAG)</w:t>
      </w:r>
      <w:r>
        <w:rPr>
          <w:rFonts w:ascii="Arial" w:hAnsi="Arial"/>
          <w:sz w:val="22"/>
          <w:szCs w:val="22"/>
          <w:lang w:eastAsia="x-none"/>
        </w:rPr>
        <w:t>.</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bookmarkStart w:id="6" w:name="_Toc433893583"/>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3A1FDF24" w14:textId="383796C0" w:rsidR="00E678AF" w:rsidRPr="00DE7BF0" w:rsidRDefault="001E5E8F" w:rsidP="0065174F">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w:t>
      </w:r>
      <w:proofErr w:type="gramStart"/>
      <w:r w:rsidRPr="00DE7BF0">
        <w:rPr>
          <w:rFonts w:ascii="Arial" w:hAnsi="Arial" w:cs="Arial"/>
          <w:sz w:val="22"/>
          <w:szCs w:val="22"/>
        </w:rPr>
        <w:t>la</w:t>
      </w:r>
      <w:proofErr w:type="gramEnd"/>
      <w:r w:rsidRPr="00DE7BF0">
        <w:rPr>
          <w:rFonts w:ascii="Arial" w:hAnsi="Arial" w:cs="Arial"/>
          <w:sz w:val="22"/>
          <w:szCs w:val="22"/>
        </w:rPr>
        <w:t xml:space="preserve">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lastRenderedPageBreak/>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1DBCB84" w14:textId="0FA832E0" w:rsidR="00607607" w:rsidRPr="0037092B" w:rsidRDefault="00D57C8E" w:rsidP="00607607">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3BC54B7F" w14:textId="10150EDB" w:rsidR="00DB0264"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2E7B0EB" w14:textId="77777777" w:rsidR="0037092B" w:rsidRPr="00DE7BF0" w:rsidRDefault="0037092B">
      <w:pPr>
        <w:spacing w:before="60"/>
        <w:ind w:left="567" w:right="-28"/>
        <w:jc w:val="both"/>
        <w:rPr>
          <w:rFonts w:ascii="Arial" w:hAnsi="Arial" w:cs="Arial"/>
          <w:sz w:val="22"/>
          <w:szCs w:val="22"/>
        </w:rPr>
      </w:pP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3F22672" w14:textId="24C73B91"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55051165" w14:textId="25C5BDA7" w:rsidR="006D7486" w:rsidRPr="0037092B" w:rsidRDefault="00D57C8E" w:rsidP="006D7486">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57631765" w14:textId="3D72A780" w:rsidR="000E7DE3" w:rsidRPr="00071E7A" w:rsidRDefault="00D57C8E" w:rsidP="00071E7A">
      <w:pPr>
        <w:pStyle w:val="Corpsdetexte"/>
        <w:spacing w:line="240" w:lineRule="auto"/>
        <w:ind w:left="567"/>
        <w:rPr>
          <w:rFonts w:cs="Arial"/>
          <w:sz w:val="22"/>
          <w:szCs w:val="22"/>
        </w:rPr>
      </w:pPr>
      <w:r w:rsidRPr="00DE7BF0">
        <w:rPr>
          <w:rFonts w:cs="Arial"/>
          <w:sz w:val="22"/>
          <w:szCs w:val="22"/>
        </w:rPr>
        <w:t xml:space="preserve">L’article 2.1 déroge à l’article </w:t>
      </w:r>
      <w:r w:rsidR="00EB54F3">
        <w:rPr>
          <w:rFonts w:cs="Arial"/>
          <w:sz w:val="22"/>
          <w:szCs w:val="22"/>
          <w:lang w:val="fr-FR"/>
        </w:rPr>
        <w:t>20</w:t>
      </w:r>
      <w:r w:rsidR="000E7DE3">
        <w:rPr>
          <w:rFonts w:cs="Arial"/>
          <w:sz w:val="22"/>
          <w:szCs w:val="22"/>
        </w:rPr>
        <w:t xml:space="preserve">.2.2 du CCAG-FCS </w:t>
      </w:r>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0087EB24" w14:textId="630CC116" w:rsidR="00DF1374" w:rsidRPr="00DF1374" w:rsidRDefault="00D57C8E" w:rsidP="00DB16BA">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017F760" w:rsidR="00B956AE" w:rsidRPr="00DE7BF0" w:rsidRDefault="00953CE1" w:rsidP="004B68BC">
      <w:pPr>
        <w:ind w:left="567"/>
        <w:jc w:val="both"/>
        <w:rPr>
          <w:rFonts w:ascii="Arial" w:hAnsi="Arial" w:cs="Arial"/>
          <w:bCs/>
          <w:sz w:val="22"/>
          <w:szCs w:val="22"/>
        </w:rPr>
      </w:pPr>
      <w:r>
        <w:rPr>
          <w:rFonts w:ascii="Arial" w:hAnsi="Arial" w:cs="Arial"/>
          <w:bCs/>
          <w:sz w:val="22"/>
          <w:szCs w:val="22"/>
        </w:rPr>
        <w:t>L’article 6</w:t>
      </w:r>
      <w:r w:rsidR="00B956AE" w:rsidRPr="00DE7BF0">
        <w:rPr>
          <w:rFonts w:ascii="Arial" w:hAnsi="Arial" w:cs="Arial"/>
          <w:bCs/>
          <w:sz w:val="22"/>
          <w:szCs w:val="22"/>
        </w:rPr>
        <w:t xml:space="preserve">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00B956AE" w:rsidRPr="00DE7BF0">
        <w:rPr>
          <w:rFonts w:ascii="Arial" w:hAnsi="Arial" w:cs="Arial"/>
          <w:bCs/>
          <w:sz w:val="22"/>
          <w:szCs w:val="22"/>
        </w:rPr>
        <w:t xml:space="preserve"> du CCAG-FCS</w:t>
      </w:r>
    </w:p>
    <w:p w14:paraId="3A5E3E88" w14:textId="37DB9784" w:rsidR="00C62523" w:rsidRPr="00DE7BF0" w:rsidRDefault="00953CE1" w:rsidP="004B68BC">
      <w:pPr>
        <w:ind w:left="567"/>
        <w:jc w:val="both"/>
        <w:rPr>
          <w:rFonts w:ascii="Arial" w:hAnsi="Arial" w:cs="Arial"/>
          <w:bCs/>
          <w:sz w:val="22"/>
          <w:szCs w:val="22"/>
        </w:rPr>
      </w:pPr>
      <w:r>
        <w:rPr>
          <w:rFonts w:ascii="Arial" w:hAnsi="Arial" w:cs="Arial"/>
          <w:sz w:val="22"/>
          <w:szCs w:val="22"/>
        </w:rPr>
        <w:t>L’article 7</w:t>
      </w:r>
      <w:r w:rsidR="00C62523" w:rsidRPr="00DE7BF0">
        <w:rPr>
          <w:rFonts w:ascii="Arial" w:hAnsi="Arial" w:cs="Arial"/>
          <w:sz w:val="22"/>
          <w:szCs w:val="22"/>
        </w:rPr>
        <w:t xml:space="preserve">.1 déroge </w:t>
      </w:r>
      <w:r w:rsidR="00202D5F" w:rsidRPr="00DE7BF0">
        <w:rPr>
          <w:rFonts w:ascii="Arial" w:hAnsi="Arial" w:cs="Arial"/>
          <w:sz w:val="22"/>
          <w:szCs w:val="22"/>
        </w:rPr>
        <w:t>aux articles</w:t>
      </w:r>
      <w:r w:rsidR="00C62523"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7C96026B" w:rsidR="009E04F9" w:rsidRPr="006D7486" w:rsidRDefault="009E04F9">
    <w:pPr>
      <w:pStyle w:val="Notedebasdepage"/>
      <w:tabs>
        <w:tab w:val="left" w:pos="6521"/>
      </w:tabs>
      <w:ind w:right="-114"/>
      <w:rPr>
        <w:rStyle w:val="Numrodepage"/>
        <w:i/>
        <w:iCs/>
        <w:noProof/>
        <w:sz w:val="16"/>
        <w:szCs w:val="16"/>
      </w:rPr>
    </w:pPr>
    <w:r>
      <w:rPr>
        <w:rStyle w:val="Numrodepage"/>
      </w:rPr>
      <w:t>M</w:t>
    </w:r>
    <w:r w:rsidR="008A263B">
      <w:rPr>
        <w:rStyle w:val="Numrodepage"/>
      </w:rPr>
      <w:t>arché N° S25B00124</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192261">
      <w:rPr>
        <w:rStyle w:val="Numrodepage"/>
        <w:noProof/>
      </w:rPr>
      <w:t>3</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192261">
      <w:rPr>
        <w:rStyle w:val="Numrodepage"/>
        <w:noProof/>
      </w:rPr>
      <w:t>8</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30640">
      <w:rPr>
        <w:rStyle w:val="Numrodepage"/>
        <w:i/>
        <w:iCs/>
        <w:noProof/>
        <w:sz w:val="16"/>
        <w:szCs w:val="16"/>
      </w:rPr>
      <w:t>10/08</w:t>
    </w:r>
    <w:r w:rsidR="00383B00">
      <w:rPr>
        <w:rStyle w:val="Numrodepage"/>
        <w:i/>
        <w:iCs/>
        <w:noProof/>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246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036E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1E7A"/>
    <w:rsid w:val="0007326D"/>
    <w:rsid w:val="0007451E"/>
    <w:rsid w:val="000900F7"/>
    <w:rsid w:val="000A05A9"/>
    <w:rsid w:val="000A4A20"/>
    <w:rsid w:val="000A7364"/>
    <w:rsid w:val="000B0FFF"/>
    <w:rsid w:val="000D2DB5"/>
    <w:rsid w:val="000E5091"/>
    <w:rsid w:val="000E7DE3"/>
    <w:rsid w:val="0010173F"/>
    <w:rsid w:val="001025F8"/>
    <w:rsid w:val="0011518E"/>
    <w:rsid w:val="001209B8"/>
    <w:rsid w:val="00121B75"/>
    <w:rsid w:val="00123863"/>
    <w:rsid w:val="00133241"/>
    <w:rsid w:val="001379CE"/>
    <w:rsid w:val="00144817"/>
    <w:rsid w:val="00164066"/>
    <w:rsid w:val="00166D10"/>
    <w:rsid w:val="00167C46"/>
    <w:rsid w:val="00174255"/>
    <w:rsid w:val="00176795"/>
    <w:rsid w:val="00183A3E"/>
    <w:rsid w:val="00190BCD"/>
    <w:rsid w:val="001910D8"/>
    <w:rsid w:val="00192261"/>
    <w:rsid w:val="001A4E5B"/>
    <w:rsid w:val="001A6560"/>
    <w:rsid w:val="001B0E40"/>
    <w:rsid w:val="001C6E3F"/>
    <w:rsid w:val="001D7B2C"/>
    <w:rsid w:val="001E15C1"/>
    <w:rsid w:val="001E1E8E"/>
    <w:rsid w:val="001E44AE"/>
    <w:rsid w:val="001E5E8F"/>
    <w:rsid w:val="001F09A6"/>
    <w:rsid w:val="00201A21"/>
    <w:rsid w:val="00202D5F"/>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B7E00"/>
    <w:rsid w:val="002C2A4A"/>
    <w:rsid w:val="002C5017"/>
    <w:rsid w:val="002D0975"/>
    <w:rsid w:val="002D1652"/>
    <w:rsid w:val="002D1B24"/>
    <w:rsid w:val="002D57AC"/>
    <w:rsid w:val="002E0D01"/>
    <w:rsid w:val="002E2A49"/>
    <w:rsid w:val="003162C5"/>
    <w:rsid w:val="00330640"/>
    <w:rsid w:val="00341202"/>
    <w:rsid w:val="00342538"/>
    <w:rsid w:val="00360E28"/>
    <w:rsid w:val="00362B19"/>
    <w:rsid w:val="003661C2"/>
    <w:rsid w:val="0037092B"/>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0D1F"/>
    <w:rsid w:val="00426E08"/>
    <w:rsid w:val="00435E28"/>
    <w:rsid w:val="00454370"/>
    <w:rsid w:val="00461670"/>
    <w:rsid w:val="00462D94"/>
    <w:rsid w:val="00466DF1"/>
    <w:rsid w:val="004700C6"/>
    <w:rsid w:val="00470A47"/>
    <w:rsid w:val="00470CD4"/>
    <w:rsid w:val="00477337"/>
    <w:rsid w:val="004819BF"/>
    <w:rsid w:val="0049212B"/>
    <w:rsid w:val="004A0402"/>
    <w:rsid w:val="004A3DF2"/>
    <w:rsid w:val="004A5512"/>
    <w:rsid w:val="004B3BBC"/>
    <w:rsid w:val="004B68BC"/>
    <w:rsid w:val="004C46CE"/>
    <w:rsid w:val="004C483F"/>
    <w:rsid w:val="004D535D"/>
    <w:rsid w:val="004D615D"/>
    <w:rsid w:val="004D74CD"/>
    <w:rsid w:val="004E0ED8"/>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94686"/>
    <w:rsid w:val="005E2F4F"/>
    <w:rsid w:val="005E376D"/>
    <w:rsid w:val="00607607"/>
    <w:rsid w:val="00611018"/>
    <w:rsid w:val="006125FA"/>
    <w:rsid w:val="006152B7"/>
    <w:rsid w:val="0061603E"/>
    <w:rsid w:val="00624D85"/>
    <w:rsid w:val="00630C4E"/>
    <w:rsid w:val="006341EF"/>
    <w:rsid w:val="00637BC3"/>
    <w:rsid w:val="00640259"/>
    <w:rsid w:val="00642C08"/>
    <w:rsid w:val="006435CF"/>
    <w:rsid w:val="0065174F"/>
    <w:rsid w:val="0065513A"/>
    <w:rsid w:val="006654ED"/>
    <w:rsid w:val="006732B6"/>
    <w:rsid w:val="00675E24"/>
    <w:rsid w:val="006763C7"/>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544AF"/>
    <w:rsid w:val="007606CA"/>
    <w:rsid w:val="00764E37"/>
    <w:rsid w:val="007760F5"/>
    <w:rsid w:val="007A065E"/>
    <w:rsid w:val="007A0B80"/>
    <w:rsid w:val="007A2A74"/>
    <w:rsid w:val="007A2E11"/>
    <w:rsid w:val="007A45EF"/>
    <w:rsid w:val="007A7724"/>
    <w:rsid w:val="007B0E56"/>
    <w:rsid w:val="007B459E"/>
    <w:rsid w:val="007C0F59"/>
    <w:rsid w:val="007C33D8"/>
    <w:rsid w:val="007C4814"/>
    <w:rsid w:val="007D31F4"/>
    <w:rsid w:val="007D7EA8"/>
    <w:rsid w:val="007E2612"/>
    <w:rsid w:val="007E5872"/>
    <w:rsid w:val="007F3DA5"/>
    <w:rsid w:val="0080041F"/>
    <w:rsid w:val="00802214"/>
    <w:rsid w:val="008023F9"/>
    <w:rsid w:val="008122E5"/>
    <w:rsid w:val="0082120C"/>
    <w:rsid w:val="0084784D"/>
    <w:rsid w:val="00851A06"/>
    <w:rsid w:val="008716AB"/>
    <w:rsid w:val="008729C4"/>
    <w:rsid w:val="00875412"/>
    <w:rsid w:val="00882672"/>
    <w:rsid w:val="00882F15"/>
    <w:rsid w:val="008844AB"/>
    <w:rsid w:val="0088751A"/>
    <w:rsid w:val="008905D4"/>
    <w:rsid w:val="00893D4B"/>
    <w:rsid w:val="008943FD"/>
    <w:rsid w:val="00896717"/>
    <w:rsid w:val="008A1D02"/>
    <w:rsid w:val="008A263B"/>
    <w:rsid w:val="008A39A2"/>
    <w:rsid w:val="008A3CE5"/>
    <w:rsid w:val="008B6245"/>
    <w:rsid w:val="008C6B3E"/>
    <w:rsid w:val="008D3817"/>
    <w:rsid w:val="008D7B2E"/>
    <w:rsid w:val="008F355B"/>
    <w:rsid w:val="009032C8"/>
    <w:rsid w:val="00904C97"/>
    <w:rsid w:val="00907C7E"/>
    <w:rsid w:val="00910A01"/>
    <w:rsid w:val="00910D95"/>
    <w:rsid w:val="00910ECF"/>
    <w:rsid w:val="00912199"/>
    <w:rsid w:val="00916E96"/>
    <w:rsid w:val="0092339A"/>
    <w:rsid w:val="00925D7C"/>
    <w:rsid w:val="0092779A"/>
    <w:rsid w:val="0093205C"/>
    <w:rsid w:val="00935D0D"/>
    <w:rsid w:val="00953CE1"/>
    <w:rsid w:val="00961828"/>
    <w:rsid w:val="00970890"/>
    <w:rsid w:val="009731ED"/>
    <w:rsid w:val="00974338"/>
    <w:rsid w:val="00995639"/>
    <w:rsid w:val="00997FC2"/>
    <w:rsid w:val="009A307C"/>
    <w:rsid w:val="009A5132"/>
    <w:rsid w:val="009B2CB0"/>
    <w:rsid w:val="009C2DBE"/>
    <w:rsid w:val="009C541A"/>
    <w:rsid w:val="009C663E"/>
    <w:rsid w:val="009C7310"/>
    <w:rsid w:val="009D4747"/>
    <w:rsid w:val="009E04F9"/>
    <w:rsid w:val="009E4E27"/>
    <w:rsid w:val="009E79FB"/>
    <w:rsid w:val="00A03231"/>
    <w:rsid w:val="00A10063"/>
    <w:rsid w:val="00A139C1"/>
    <w:rsid w:val="00A20004"/>
    <w:rsid w:val="00A209F3"/>
    <w:rsid w:val="00A21B6A"/>
    <w:rsid w:val="00A30542"/>
    <w:rsid w:val="00A32000"/>
    <w:rsid w:val="00A328DB"/>
    <w:rsid w:val="00A35C5D"/>
    <w:rsid w:val="00A44F6F"/>
    <w:rsid w:val="00A75958"/>
    <w:rsid w:val="00A93D50"/>
    <w:rsid w:val="00AA31B4"/>
    <w:rsid w:val="00AA5349"/>
    <w:rsid w:val="00AA5DA3"/>
    <w:rsid w:val="00AA7682"/>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1B9D"/>
    <w:rsid w:val="00B956AE"/>
    <w:rsid w:val="00BA3E78"/>
    <w:rsid w:val="00BA7788"/>
    <w:rsid w:val="00BB050A"/>
    <w:rsid w:val="00BB533A"/>
    <w:rsid w:val="00BC0283"/>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171F"/>
    <w:rsid w:val="00C75087"/>
    <w:rsid w:val="00C77239"/>
    <w:rsid w:val="00C80171"/>
    <w:rsid w:val="00CB2FE6"/>
    <w:rsid w:val="00CC092B"/>
    <w:rsid w:val="00CC250D"/>
    <w:rsid w:val="00CC2B04"/>
    <w:rsid w:val="00CD607A"/>
    <w:rsid w:val="00CE3C2E"/>
    <w:rsid w:val="00CE56D6"/>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3760"/>
    <w:rsid w:val="00D96267"/>
    <w:rsid w:val="00DA0553"/>
    <w:rsid w:val="00DA1B2A"/>
    <w:rsid w:val="00DB0264"/>
    <w:rsid w:val="00DB16BA"/>
    <w:rsid w:val="00DC38A0"/>
    <w:rsid w:val="00DC64F6"/>
    <w:rsid w:val="00DD16FD"/>
    <w:rsid w:val="00DD21F9"/>
    <w:rsid w:val="00DE003A"/>
    <w:rsid w:val="00DE147B"/>
    <w:rsid w:val="00DE7BF0"/>
    <w:rsid w:val="00DF1374"/>
    <w:rsid w:val="00DF248C"/>
    <w:rsid w:val="00DF26B2"/>
    <w:rsid w:val="00E004E0"/>
    <w:rsid w:val="00E011FD"/>
    <w:rsid w:val="00E02621"/>
    <w:rsid w:val="00E042BF"/>
    <w:rsid w:val="00E113E4"/>
    <w:rsid w:val="00E120C2"/>
    <w:rsid w:val="00E13747"/>
    <w:rsid w:val="00E315DD"/>
    <w:rsid w:val="00E32072"/>
    <w:rsid w:val="00E33DD4"/>
    <w:rsid w:val="00E33DDC"/>
    <w:rsid w:val="00E3578A"/>
    <w:rsid w:val="00E65772"/>
    <w:rsid w:val="00E65D4E"/>
    <w:rsid w:val="00E678AF"/>
    <w:rsid w:val="00E67FB0"/>
    <w:rsid w:val="00E73706"/>
    <w:rsid w:val="00E8119E"/>
    <w:rsid w:val="00EA5F69"/>
    <w:rsid w:val="00EA7C90"/>
    <w:rsid w:val="00EB1F5C"/>
    <w:rsid w:val="00EB3213"/>
    <w:rsid w:val="00EB41E0"/>
    <w:rsid w:val="00EB54F3"/>
    <w:rsid w:val="00EC2636"/>
    <w:rsid w:val="00ED341D"/>
    <w:rsid w:val="00EE18F0"/>
    <w:rsid w:val="00EE30AB"/>
    <w:rsid w:val="00EE61A9"/>
    <w:rsid w:val="00EE65A0"/>
    <w:rsid w:val="00EF4701"/>
    <w:rsid w:val="00F005B5"/>
    <w:rsid w:val="00F10372"/>
    <w:rsid w:val="00F14D94"/>
    <w:rsid w:val="00F15B00"/>
    <w:rsid w:val="00F22285"/>
    <w:rsid w:val="00F25085"/>
    <w:rsid w:val="00F266E5"/>
    <w:rsid w:val="00F37D2C"/>
    <w:rsid w:val="00F41195"/>
    <w:rsid w:val="00F43F60"/>
    <w:rsid w:val="00F61586"/>
    <w:rsid w:val="00F6233B"/>
    <w:rsid w:val="00F66457"/>
    <w:rsid w:val="00F731D0"/>
    <w:rsid w:val="00FA0105"/>
    <w:rsid w:val="00FB5E6C"/>
    <w:rsid w:val="00FC20C3"/>
    <w:rsid w:val="00FC3D0B"/>
    <w:rsid w:val="00FC54AF"/>
    <w:rsid w:val="00FD079A"/>
    <w:rsid w:val="00FD10C5"/>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2465"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C8ACB-9170-467C-BCB6-E4B7A6C8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3673</Words>
  <Characters>20061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23687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51</cp:revision>
  <cp:lastPrinted>2020-09-29T06:48:00Z</cp:lastPrinted>
  <dcterms:created xsi:type="dcterms:W3CDTF">2023-09-27T06:55:00Z</dcterms:created>
  <dcterms:modified xsi:type="dcterms:W3CDTF">2025-02-19T10:15:00Z</dcterms:modified>
</cp:coreProperties>
</file>