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BDB" w:rsidRPr="00D25436" w:rsidRDefault="00227BDB" w:rsidP="00FA1748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  <w:sz w:val="22"/>
          <w:szCs w:val="22"/>
        </w:rPr>
      </w:pPr>
    </w:p>
    <w:p w:rsidR="000F1A8B" w:rsidRPr="00D25436" w:rsidRDefault="005E3C1C" w:rsidP="000F1A8B">
      <w:pPr>
        <w:rPr>
          <w:rFonts w:ascii="Century Gothic" w:hAnsi="Century Gothic" w:cs="Arial"/>
          <w:sz w:val="22"/>
          <w:szCs w:val="22"/>
        </w:rPr>
      </w:pPr>
      <w:r w:rsidRPr="00413F48">
        <w:rPr>
          <w:rFonts w:ascii="Century Gothic" w:hAnsi="Century Gothic"/>
          <w:noProof/>
        </w:rPr>
        <w:drawing>
          <wp:inline distT="0" distB="0" distL="0" distR="0" wp14:anchorId="6022CBCC" wp14:editId="31F14746">
            <wp:extent cx="5760085" cy="153068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53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A8B" w:rsidRDefault="000F1A8B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Pr="00D25436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0F1A8B" w:rsidRPr="00D25436" w:rsidRDefault="006C6478" w:rsidP="005E3C1C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MEMOIRE TECHNIQUE (MT)</w:t>
      </w:r>
    </w:p>
    <w:p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:rsidR="000F1A8B" w:rsidRDefault="00E1345A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Consultation n</w:t>
      </w:r>
      <w:r w:rsidR="005E3C1C">
        <w:rPr>
          <w:rFonts w:ascii="Century Gothic" w:hAnsi="Century Gothic" w:cs="Arial"/>
          <w:b/>
          <w:color w:val="1F497D"/>
          <w:sz w:val="32"/>
          <w:szCs w:val="32"/>
        </w:rPr>
        <w:t xml:space="preserve">° </w:t>
      </w:r>
      <w:r w:rsidR="00B14648">
        <w:rPr>
          <w:rFonts w:ascii="Century Gothic" w:hAnsi="Century Gothic" w:cs="Arial"/>
          <w:b/>
          <w:color w:val="1F497D"/>
          <w:sz w:val="32"/>
          <w:szCs w:val="32"/>
        </w:rPr>
        <w:t xml:space="preserve">PIC </w:t>
      </w:r>
      <w:r w:rsidR="00A15610">
        <w:rPr>
          <w:rFonts w:ascii="Century Gothic" w:hAnsi="Century Gothic" w:cs="Arial"/>
          <w:b/>
          <w:color w:val="1F497D"/>
          <w:sz w:val="32"/>
          <w:szCs w:val="32"/>
        </w:rPr>
        <w:t>25 016</w:t>
      </w:r>
      <w:r w:rsidR="005E3C1C">
        <w:rPr>
          <w:rFonts w:ascii="Century Gothic" w:hAnsi="Century Gothic" w:cs="Arial"/>
          <w:b/>
          <w:color w:val="1F497D"/>
          <w:sz w:val="32"/>
          <w:szCs w:val="32"/>
        </w:rPr>
        <w:t xml:space="preserve"> du</w:t>
      </w:r>
      <w:r w:rsidR="008B1447">
        <w:rPr>
          <w:rFonts w:ascii="Century Gothic" w:hAnsi="Century Gothic" w:cs="Arial"/>
          <w:b/>
          <w:color w:val="1F497D"/>
          <w:sz w:val="32"/>
          <w:szCs w:val="32"/>
        </w:rPr>
        <w:t xml:space="preserve"> </w:t>
      </w:r>
      <w:r w:rsidR="00DF559D" w:rsidRPr="00DF559D">
        <w:rPr>
          <w:rFonts w:ascii="Century Gothic" w:hAnsi="Century Gothic" w:cs="Arial"/>
          <w:b/>
          <w:color w:val="1F497D"/>
          <w:sz w:val="32"/>
          <w:szCs w:val="32"/>
        </w:rPr>
        <w:t>20/02</w:t>
      </w:r>
      <w:r w:rsidR="00A15610">
        <w:rPr>
          <w:rFonts w:ascii="Century Gothic" w:hAnsi="Century Gothic" w:cs="Arial"/>
          <w:b/>
          <w:color w:val="1F497D"/>
          <w:sz w:val="32"/>
          <w:szCs w:val="32"/>
        </w:rPr>
        <w:t>/2025</w:t>
      </w:r>
    </w:p>
    <w:p w:rsidR="00054AE3" w:rsidRPr="00D25436" w:rsidRDefault="00054AE3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:rsidR="000214CF" w:rsidRPr="00D25436" w:rsidRDefault="00E1345A" w:rsidP="000214CF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 xml:space="preserve">Procédure: </w:t>
      </w:r>
      <w:r w:rsidR="00B14648">
        <w:rPr>
          <w:rFonts w:ascii="Century Gothic" w:hAnsi="Century Gothic" w:cs="Arial"/>
          <w:b/>
          <w:color w:val="1F497D"/>
          <w:sz w:val="32"/>
          <w:szCs w:val="32"/>
        </w:rPr>
        <w:t>Marché À Procédure Adaptée</w:t>
      </w:r>
    </w:p>
    <w:p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8B1447" w:rsidRPr="001D49C4" w:rsidRDefault="00E02C59" w:rsidP="00B14648">
      <w:pPr>
        <w:rPr>
          <w:rFonts w:ascii="Century Gothic" w:hAnsi="Century Gothic" w:cs="Arial"/>
          <w:snapToGrid w:val="0"/>
        </w:rPr>
      </w:pPr>
      <w:r w:rsidRPr="001D49C4">
        <w:rPr>
          <w:rFonts w:ascii="Century Gothic" w:hAnsi="Century Gothic" w:cs="Arial"/>
          <w:b/>
          <w:snapToGrid w:val="0"/>
          <w:u w:val="single"/>
        </w:rPr>
        <w:t>Objet</w:t>
      </w:r>
      <w:r w:rsidR="00D25436" w:rsidRPr="001D49C4">
        <w:rPr>
          <w:rFonts w:ascii="Century Gothic" w:hAnsi="Century Gothic" w:cs="Arial"/>
          <w:snapToGrid w:val="0"/>
        </w:rPr>
        <w:t xml:space="preserve"> </w:t>
      </w:r>
      <w:r w:rsidR="00D25436" w:rsidRPr="00A604F3">
        <w:rPr>
          <w:rFonts w:ascii="Century Gothic" w:hAnsi="Century Gothic" w:cs="Arial"/>
          <w:snapToGrid w:val="0"/>
        </w:rPr>
        <w:t xml:space="preserve">: </w:t>
      </w:r>
      <w:r w:rsidR="00B14648" w:rsidRPr="00B14648">
        <w:rPr>
          <w:rFonts w:ascii="Century Gothic" w:hAnsi="Century Gothic" w:cs="Arial"/>
          <w:snapToGrid w:val="0"/>
          <w:color w:val="auto"/>
        </w:rPr>
        <w:t>fournir des pièces détachée d'origine ou de qualité équivalente à l'origine, d'accessoires, d'outillages et de produits pour véhicules légers, véhicules utilitaires, véhicules sanitaires et poids lourds et/ou maintenir ces véhicules, pour le compte du Pôle d'Intérêt Commun (PIC) de l'Assistance Publique - Hôpitaux de Paris afin de lui permettre d'assurer la maintenance des véhicules de sa flotte routière.</w:t>
      </w:r>
    </w:p>
    <w:p w:rsidR="00E02C59" w:rsidRPr="001D49C4" w:rsidRDefault="00E02C59" w:rsidP="00E02C59">
      <w:pPr>
        <w:rPr>
          <w:rFonts w:ascii="Century Gothic" w:hAnsi="Century Gothic" w:cs="Arial"/>
          <w:snapToGrid w:val="0"/>
        </w:rPr>
      </w:pPr>
    </w:p>
    <w:p w:rsidR="00E02C59" w:rsidRDefault="00E02C59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Pr="001D49C4" w:rsidRDefault="001D49C4" w:rsidP="00E02C59">
      <w:pPr>
        <w:rPr>
          <w:rFonts w:ascii="Century Gothic" w:hAnsi="Century Gothic" w:cs="Arial"/>
          <w:snapToGrid w:val="0"/>
        </w:rPr>
      </w:pPr>
    </w:p>
    <w:p w:rsidR="00227BDB" w:rsidRPr="00D25436" w:rsidRDefault="00227BDB" w:rsidP="00E02C59">
      <w:pPr>
        <w:pStyle w:val="Style1"/>
        <w:rPr>
          <w:sz w:val="22"/>
          <w:szCs w:val="22"/>
        </w:rPr>
      </w:pPr>
    </w:p>
    <w:p w:rsidR="00227BDB" w:rsidRPr="00D25436" w:rsidRDefault="00227BDB" w:rsidP="00E02C59">
      <w:pPr>
        <w:pStyle w:val="Style1"/>
        <w:rPr>
          <w:sz w:val="22"/>
          <w:szCs w:val="22"/>
        </w:rPr>
      </w:pPr>
    </w:p>
    <w:p w:rsidR="000F1A8B" w:rsidRPr="006C6478" w:rsidRDefault="000F1A8B" w:rsidP="006C6478">
      <w:pPr>
        <w:pStyle w:val="Titre1"/>
      </w:pPr>
      <w:bookmarkStart w:id="0" w:name="_GoBack"/>
      <w:bookmarkEnd w:id="0"/>
      <w:r w:rsidRPr="00D25436">
        <w:rPr>
          <w:sz w:val="22"/>
          <w:szCs w:val="22"/>
        </w:rPr>
        <w:br w:type="page"/>
      </w:r>
      <w:r w:rsidR="006C6478" w:rsidRPr="006C6478">
        <w:lastRenderedPageBreak/>
        <w:t>RAPPEL :</w:t>
      </w:r>
    </w:p>
    <w:p w:rsidR="006C6478" w:rsidRDefault="006C6478" w:rsidP="006C6478"/>
    <w:p w:rsidR="00B14648" w:rsidRPr="001D49C4" w:rsidRDefault="006C6478" w:rsidP="00B14648">
      <w:pPr>
        <w:rPr>
          <w:rFonts w:ascii="Century Gothic" w:hAnsi="Century Gothic" w:cs="Arial"/>
          <w:snapToGrid w:val="0"/>
        </w:rPr>
      </w:pPr>
      <w:r w:rsidRPr="00834AD2">
        <w:rPr>
          <w:rFonts w:ascii="Century Gothic" w:hAnsi="Century Gothic"/>
        </w:rPr>
        <w:t xml:space="preserve">Le présent marché a pour objet </w:t>
      </w:r>
      <w:r w:rsidR="00B14648">
        <w:rPr>
          <w:rFonts w:ascii="Century Gothic" w:hAnsi="Century Gothic"/>
        </w:rPr>
        <w:t xml:space="preserve">de </w:t>
      </w:r>
      <w:r w:rsidR="00B14648" w:rsidRPr="00B14648">
        <w:rPr>
          <w:rFonts w:ascii="Century Gothic" w:hAnsi="Century Gothic" w:cs="Arial"/>
          <w:snapToGrid w:val="0"/>
          <w:color w:val="auto"/>
        </w:rPr>
        <w:t>fournir des pièces détachée d'origine ou de qualité équivalente à l'origine, d'accessoires, d'outillages et de produits pour véhicules légers, véhicules utilitaires, véhicules sanitaires et poids lourds et/ou maintenir ces véhicules, pour le compte du Pôle d'Intérêt Commun (PIC) de l'Assistance Publique - Hôpitaux de Paris afin de lui permettre d'assurer la maintenance des véhicules de sa flotte routière.</w:t>
      </w:r>
    </w:p>
    <w:p w:rsidR="00834AD2" w:rsidRPr="006C6478" w:rsidRDefault="00834AD2" w:rsidP="006C6478">
      <w:pPr>
        <w:rPr>
          <w:rFonts w:ascii="Century Gothic" w:hAnsi="Century Gothic"/>
        </w:rPr>
      </w:pPr>
    </w:p>
    <w:p w:rsidR="006C6478" w:rsidRPr="000B64CA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</w:rPr>
        <w:t xml:space="preserve">Ce marché est composé d'un lot </w:t>
      </w:r>
      <w:r w:rsidRPr="000B64CA">
        <w:rPr>
          <w:rFonts w:ascii="Century Gothic" w:hAnsi="Century Gothic"/>
          <w:color w:val="auto"/>
        </w:rPr>
        <w:t xml:space="preserve">unique (Cf. article </w:t>
      </w:r>
      <w:r w:rsidR="000B64CA" w:rsidRPr="000B64CA">
        <w:rPr>
          <w:rFonts w:ascii="Century Gothic" w:hAnsi="Century Gothic"/>
          <w:color w:val="auto"/>
        </w:rPr>
        <w:t>1.3</w:t>
      </w:r>
      <w:r w:rsidRPr="000B64CA">
        <w:rPr>
          <w:rFonts w:ascii="Century Gothic" w:hAnsi="Century Gothic"/>
          <w:color w:val="auto"/>
        </w:rPr>
        <w:t xml:space="preserve"> du CCAP)</w:t>
      </w:r>
    </w:p>
    <w:p w:rsidR="006C6478" w:rsidRPr="006C6478" w:rsidRDefault="006C6478" w:rsidP="006C6478">
      <w:pPr>
        <w:rPr>
          <w:rFonts w:ascii="Century Gothic" w:hAnsi="Century Gothic"/>
          <w:color w:val="FF0000"/>
        </w:rPr>
      </w:pPr>
    </w:p>
    <w:p w:rsidR="006C6478" w:rsidRPr="000B64CA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L</w:t>
      </w:r>
      <w:r w:rsidR="00A02D11">
        <w:rPr>
          <w:rFonts w:ascii="Century Gothic" w:hAnsi="Century Gothic"/>
          <w:color w:val="auto"/>
        </w:rPr>
        <w:t>e présent Mémoire T</w:t>
      </w:r>
      <w:r w:rsidRPr="006C6478">
        <w:rPr>
          <w:rFonts w:ascii="Century Gothic" w:hAnsi="Century Gothic"/>
          <w:color w:val="auto"/>
        </w:rPr>
        <w:t>echnique</w:t>
      </w:r>
      <w:r w:rsidR="00A02D11">
        <w:rPr>
          <w:rFonts w:ascii="Century Gothic" w:hAnsi="Century Gothic"/>
          <w:color w:val="auto"/>
        </w:rPr>
        <w:t xml:space="preserve"> (MT)</w:t>
      </w:r>
      <w:r w:rsidRPr="006C6478">
        <w:rPr>
          <w:rFonts w:ascii="Century Gothic" w:hAnsi="Century Gothic"/>
          <w:color w:val="auto"/>
        </w:rPr>
        <w:t xml:space="preserve"> est une des </w:t>
      </w:r>
      <w:r w:rsidRPr="000B64CA">
        <w:rPr>
          <w:rFonts w:ascii="Century Gothic" w:hAnsi="Century Gothic"/>
          <w:color w:val="auto"/>
        </w:rPr>
        <w:t xml:space="preserve">pièces particulières de ce marché </w:t>
      </w:r>
      <w:r w:rsidR="00E35DE6" w:rsidRPr="000B64CA">
        <w:rPr>
          <w:rFonts w:ascii="Century Gothic" w:hAnsi="Century Gothic"/>
          <w:color w:val="auto"/>
        </w:rPr>
        <w:t>(C</w:t>
      </w:r>
      <w:r w:rsidRPr="000B64CA">
        <w:rPr>
          <w:rFonts w:ascii="Century Gothic" w:hAnsi="Century Gothic"/>
          <w:color w:val="auto"/>
        </w:rPr>
        <w:t xml:space="preserve">f. article </w:t>
      </w:r>
      <w:r w:rsidR="000B64CA" w:rsidRPr="000B64CA">
        <w:rPr>
          <w:rFonts w:ascii="Century Gothic" w:hAnsi="Century Gothic"/>
          <w:color w:val="auto"/>
        </w:rPr>
        <w:t>1.4</w:t>
      </w:r>
      <w:r w:rsidRPr="000B64CA">
        <w:rPr>
          <w:rFonts w:ascii="Century Gothic" w:hAnsi="Century Gothic"/>
          <w:color w:val="auto"/>
        </w:rPr>
        <w:t xml:space="preserve"> du CCAP).</w:t>
      </w:r>
    </w:p>
    <w:p w:rsidR="006C6478" w:rsidRDefault="006C6478" w:rsidP="006C6478">
      <w:pPr>
        <w:rPr>
          <w:rFonts w:ascii="Century Gothic" w:hAnsi="Century Gothic"/>
          <w:color w:val="FF0000"/>
        </w:rPr>
      </w:pPr>
    </w:p>
    <w:p w:rsidR="006C6478" w:rsidRPr="006C6478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Il est obligatoire de compléter les tableaux ci-dessous et de parapher chaque page.</w:t>
      </w:r>
    </w:p>
    <w:p w:rsidR="006C6478" w:rsidRPr="006C6478" w:rsidRDefault="006C6478" w:rsidP="006C6478">
      <w:pPr>
        <w:rPr>
          <w:rFonts w:ascii="Century Gothic" w:hAnsi="Century Gothic"/>
          <w:color w:val="auto"/>
        </w:rPr>
      </w:pPr>
    </w:p>
    <w:p w:rsidR="006C6478" w:rsidRDefault="006C6478" w:rsidP="006C6478">
      <w:pPr>
        <w:rPr>
          <w:rFonts w:ascii="Century Gothic" w:hAnsi="Century Gothic"/>
          <w:color w:val="auto"/>
        </w:rPr>
      </w:pPr>
      <w:r w:rsidRPr="00011D0C">
        <w:rPr>
          <w:rFonts w:ascii="Century Gothic" w:hAnsi="Century Gothic"/>
          <w:color w:val="auto"/>
        </w:rPr>
        <w:t>Sera apprécié le respect du formalisme du mémoire technique dans le cadre de la notation de l'offre.</w:t>
      </w:r>
    </w:p>
    <w:p w:rsidR="006C6478" w:rsidRDefault="006C6478" w:rsidP="006C6478">
      <w:pPr>
        <w:rPr>
          <w:rFonts w:ascii="Century Gothic" w:hAnsi="Century Gothic"/>
          <w:color w:val="auto"/>
        </w:rPr>
      </w:pPr>
    </w:p>
    <w:p w:rsidR="006C6478" w:rsidRDefault="006C6478" w:rsidP="006C6478">
      <w:pPr>
        <w:pStyle w:val="Titre1"/>
      </w:pPr>
      <w:r>
        <w:t>CONSIGNE</w:t>
      </w:r>
      <w:r w:rsidR="00E35DE6">
        <w:t>S</w:t>
      </w:r>
      <w:r>
        <w:t xml:space="preserve"> :</w:t>
      </w:r>
    </w:p>
    <w:p w:rsidR="006C6478" w:rsidRDefault="006C6478" w:rsidP="006C6478"/>
    <w:p w:rsidR="006C6478" w:rsidRDefault="006C6478" w:rsidP="006C6478">
      <w:pPr>
        <w:rPr>
          <w:rFonts w:ascii="Century Gothic" w:hAnsi="Century Gothic"/>
        </w:rPr>
      </w:pPr>
      <w:r w:rsidRPr="006C6478">
        <w:rPr>
          <w:rFonts w:ascii="Century Gothic" w:hAnsi="Century Gothic"/>
        </w:rPr>
        <w:t>Merci de compléter ces tableaux de façon synthétique. Attention, les écrits mentionnés dans ces cadres de réponse vous engagent.</w:t>
      </w:r>
    </w:p>
    <w:p w:rsidR="00E35DE6" w:rsidRDefault="00E35DE6" w:rsidP="006C6478">
      <w:pPr>
        <w:rPr>
          <w:rFonts w:ascii="Century Gothic" w:hAnsi="Century Gothic"/>
        </w:rPr>
      </w:pPr>
    </w:p>
    <w:p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>La hauteur des lignes peut être augmentée afin de pouvoir insérer la totalité des écrits que les candidats souhaitent inclure.</w:t>
      </w:r>
    </w:p>
    <w:p w:rsidR="00E35DE6" w:rsidRDefault="00E35DE6" w:rsidP="006C6478">
      <w:pPr>
        <w:rPr>
          <w:rFonts w:ascii="Century Gothic" w:hAnsi="Century Gothic"/>
        </w:rPr>
      </w:pPr>
    </w:p>
    <w:p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>Des éléments techniques peuvent être joints à ce Mémoire Technique, leurs références devront être précisées dans les tableaux qui suivent.</w:t>
      </w:r>
    </w:p>
    <w:p w:rsidR="00A644BD" w:rsidRDefault="00A644BD">
      <w:pPr>
        <w:jc w:val="left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6C6478" w:rsidRDefault="006C6478" w:rsidP="006C6478">
      <w:pPr>
        <w:rPr>
          <w:rFonts w:ascii="Century Gothic" w:hAnsi="Century Gothic"/>
        </w:rPr>
      </w:pPr>
    </w:p>
    <w:p w:rsidR="006C6478" w:rsidRDefault="000B19BD" w:rsidP="006C6478">
      <w:pPr>
        <w:pStyle w:val="Titre1"/>
      </w:pPr>
      <w:r>
        <w:t xml:space="preserve">1 - </w:t>
      </w:r>
      <w:r w:rsidR="006C6478">
        <w:t>VALEUR TECHNIQUE :</w:t>
      </w:r>
    </w:p>
    <w:p w:rsidR="006C6478" w:rsidRDefault="006C6478" w:rsidP="006C647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C6478" w:rsidTr="00A644BD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6C6478" w:rsidRPr="00A644BD" w:rsidRDefault="006C6478" w:rsidP="006C6478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>Critère 2 : Valeur technique</w:t>
            </w:r>
            <w:r w:rsidR="00B14648">
              <w:rPr>
                <w:rFonts w:ascii="Century Gothic" w:hAnsi="Century Gothic"/>
                <w:b/>
                <w:sz w:val="24"/>
                <w:szCs w:val="24"/>
              </w:rPr>
              <w:t xml:space="preserve"> de l'offre</w:t>
            </w:r>
          </w:p>
        </w:tc>
      </w:tr>
      <w:tr w:rsidR="006C6478" w:rsidTr="00A644BD">
        <w:trPr>
          <w:trHeight w:val="3402"/>
        </w:trPr>
        <w:tc>
          <w:tcPr>
            <w:tcW w:w="9211" w:type="dxa"/>
          </w:tcPr>
          <w:p w:rsidR="006C6478" w:rsidRPr="006C6478" w:rsidRDefault="00B14648" w:rsidP="00B146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 xml:space="preserve">Qualité des fournitures </w:t>
            </w:r>
            <w:r w:rsidRPr="00B14648">
              <w:rPr>
                <w:rFonts w:ascii="Century Gothic" w:hAnsi="Century Gothic"/>
              </w:rPr>
              <w:t>décrire les fournitures proposées avec les éléments permettant de comprendre et d'appréhender les produits (fiches techniques, catalogue électronique, …)</w:t>
            </w:r>
            <w:r w:rsidR="002D2007">
              <w:rPr>
                <w:rFonts w:ascii="Century Gothic" w:hAnsi="Century Gothic"/>
              </w:rPr>
              <w:t xml:space="preserve"> - </w:t>
            </w:r>
            <w:r>
              <w:rPr>
                <w:rFonts w:ascii="Century Gothic" w:hAnsi="Century Gothic"/>
                <w:b/>
              </w:rPr>
              <w:t>(5</w:t>
            </w:r>
            <w:r w:rsidR="002D2007" w:rsidRPr="002D2007">
              <w:rPr>
                <w:rFonts w:ascii="Century Gothic" w:hAnsi="Century Gothic"/>
                <w:b/>
              </w:rPr>
              <w:t>0%)</w:t>
            </w:r>
          </w:p>
        </w:tc>
      </w:tr>
      <w:tr w:rsidR="006C6478" w:rsidTr="00A644BD">
        <w:trPr>
          <w:trHeight w:val="3402"/>
        </w:trPr>
        <w:tc>
          <w:tcPr>
            <w:tcW w:w="9211" w:type="dxa"/>
          </w:tcPr>
          <w:p w:rsidR="006C6478" w:rsidRPr="006C6478" w:rsidRDefault="00B14648" w:rsidP="00B146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 xml:space="preserve">Qualité du service </w:t>
            </w:r>
            <w:r w:rsidRPr="00B14648">
              <w:rPr>
                <w:rFonts w:ascii="Century Gothic" w:hAnsi="Century Gothic"/>
              </w:rPr>
              <w:t xml:space="preserve">décrire </w:t>
            </w:r>
            <w:r>
              <w:rPr>
                <w:rFonts w:ascii="Century Gothic" w:hAnsi="Century Gothic"/>
              </w:rPr>
              <w:t>l'organisation</w:t>
            </w:r>
            <w:r w:rsidR="000B64CA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(agences, locaux, magasin</w:t>
            </w:r>
            <w:r w:rsidR="000B64CA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>, …), service après-vente</w:t>
            </w:r>
            <w:r w:rsidR="00616629">
              <w:rPr>
                <w:rFonts w:ascii="Century Gothic" w:hAnsi="Century Gothic"/>
              </w:rPr>
              <w:t>, application des garantie</w:t>
            </w:r>
            <w:r w:rsidR="000B64CA">
              <w:rPr>
                <w:rFonts w:ascii="Century Gothic" w:hAnsi="Century Gothic"/>
              </w:rPr>
              <w:t>s</w:t>
            </w:r>
            <w:r w:rsidR="00616629">
              <w:rPr>
                <w:rFonts w:ascii="Century Gothic" w:hAnsi="Century Gothic"/>
              </w:rPr>
              <w:t>, accueil téléphonique et/ou site internet</w:t>
            </w:r>
            <w:r>
              <w:rPr>
                <w:rFonts w:ascii="Century Gothic" w:hAnsi="Century Gothic"/>
              </w:rPr>
              <w:t xml:space="preserve"> - </w:t>
            </w:r>
            <w:r>
              <w:rPr>
                <w:rFonts w:ascii="Century Gothic" w:hAnsi="Century Gothic"/>
                <w:b/>
              </w:rPr>
              <w:t>(5</w:t>
            </w:r>
            <w:r w:rsidRPr="002D2007">
              <w:rPr>
                <w:rFonts w:ascii="Century Gothic" w:hAnsi="Century Gothic"/>
                <w:b/>
              </w:rPr>
              <w:t>0%)</w:t>
            </w:r>
          </w:p>
        </w:tc>
      </w:tr>
    </w:tbl>
    <w:p w:rsidR="00A644BD" w:rsidRDefault="00A644BD" w:rsidP="006C6478"/>
    <w:p w:rsidR="006C6478" w:rsidRDefault="000B19BD" w:rsidP="00A644BD">
      <w:pPr>
        <w:pStyle w:val="Titre1"/>
      </w:pPr>
      <w:r>
        <w:t xml:space="preserve">2 - </w:t>
      </w:r>
      <w:r w:rsidR="00A644BD">
        <w:t>DÉLAIS</w:t>
      </w:r>
    </w:p>
    <w:p w:rsidR="00A644BD" w:rsidRDefault="00A644BD" w:rsidP="00A644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A644BD" w:rsidRPr="00A644BD" w:rsidTr="00080B61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A644BD" w:rsidRPr="00A644BD" w:rsidRDefault="00A644BD" w:rsidP="00A644BD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>C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ritère 3</w:t>
            </w:r>
            <w:r w:rsidRPr="00A644BD">
              <w:rPr>
                <w:rFonts w:ascii="Century Gothic" w:hAnsi="Century Gothic"/>
                <w:b/>
                <w:sz w:val="24"/>
                <w:szCs w:val="24"/>
              </w:rPr>
              <w:t xml:space="preserve"> :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Délais</w:t>
            </w:r>
          </w:p>
        </w:tc>
      </w:tr>
      <w:tr w:rsidR="00A644BD" w:rsidRPr="006C6478" w:rsidTr="00080B61">
        <w:trPr>
          <w:trHeight w:val="3402"/>
        </w:trPr>
        <w:tc>
          <w:tcPr>
            <w:tcW w:w="9211" w:type="dxa"/>
          </w:tcPr>
          <w:p w:rsidR="00A644BD" w:rsidRPr="006C6478" w:rsidRDefault="0082023F" w:rsidP="00616629">
            <w:pPr>
              <w:rPr>
                <w:rFonts w:ascii="Century Gothic" w:hAnsi="Century Gothic"/>
              </w:rPr>
            </w:pPr>
            <w:r w:rsidRPr="0082023F">
              <w:rPr>
                <w:rFonts w:ascii="Century Gothic" w:hAnsi="Century Gothic"/>
                <w:b/>
              </w:rPr>
              <w:t>Délai de livraison</w:t>
            </w:r>
            <w:r>
              <w:rPr>
                <w:rFonts w:ascii="Century Gothic" w:hAnsi="Century Gothic"/>
              </w:rPr>
              <w:t xml:space="preserve"> </w:t>
            </w:r>
            <w:r w:rsidR="00616629">
              <w:rPr>
                <w:rFonts w:ascii="Century Gothic" w:hAnsi="Century Gothic"/>
              </w:rPr>
              <w:t>: décrire l'organisation mise en place pour honorer les délais indiqués dans l'annexe 3 de l'Acte d'Engagement</w:t>
            </w:r>
            <w:r>
              <w:rPr>
                <w:rFonts w:ascii="Century Gothic" w:hAnsi="Century Gothic"/>
              </w:rPr>
              <w:t xml:space="preserve"> - </w:t>
            </w:r>
            <w:r w:rsidR="00616629">
              <w:rPr>
                <w:rFonts w:ascii="Century Gothic" w:hAnsi="Century Gothic"/>
                <w:b/>
              </w:rPr>
              <w:t>(1</w:t>
            </w:r>
            <w:r w:rsidRPr="0082023F">
              <w:rPr>
                <w:rFonts w:ascii="Century Gothic" w:hAnsi="Century Gothic"/>
                <w:b/>
              </w:rPr>
              <w:t>5%)</w:t>
            </w:r>
          </w:p>
        </w:tc>
      </w:tr>
    </w:tbl>
    <w:p w:rsidR="0086654C" w:rsidRDefault="0086654C" w:rsidP="00A644BD"/>
    <w:p w:rsidR="0086654C" w:rsidRDefault="0086654C">
      <w:pPr>
        <w:jc w:val="left"/>
      </w:pPr>
      <w:r>
        <w:br w:type="page"/>
      </w:r>
    </w:p>
    <w:p w:rsidR="00A072A9" w:rsidRDefault="00616629" w:rsidP="00616629">
      <w:pPr>
        <w:pStyle w:val="Titre1"/>
      </w:pPr>
      <w:r>
        <w:lastRenderedPageBreak/>
        <w:t>3 - PERFORMANCE EN MATIERE DE PROTECTION DE L'ENVIRONNEMENT</w:t>
      </w:r>
    </w:p>
    <w:p w:rsidR="00616629" w:rsidRPr="00616629" w:rsidRDefault="00616629" w:rsidP="006166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16629" w:rsidRPr="00A644BD" w:rsidTr="00D35AF3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616629" w:rsidRPr="00A644BD" w:rsidRDefault="00616629" w:rsidP="00D35AF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>C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ritère 4</w:t>
            </w:r>
            <w:r w:rsidRPr="00A644BD">
              <w:rPr>
                <w:rFonts w:ascii="Century Gothic" w:hAnsi="Century Gothic"/>
                <w:b/>
                <w:sz w:val="24"/>
                <w:szCs w:val="24"/>
              </w:rPr>
              <w:t xml:space="preserve"> : </w:t>
            </w:r>
            <w:r w:rsidRPr="00616629">
              <w:rPr>
                <w:rFonts w:ascii="Century Gothic" w:hAnsi="Century Gothic"/>
                <w:b/>
                <w:sz w:val="24"/>
                <w:szCs w:val="24"/>
              </w:rPr>
              <w:t>Performance en matière de protection de l’environnement</w:t>
            </w:r>
          </w:p>
        </w:tc>
      </w:tr>
      <w:tr w:rsidR="00616629" w:rsidRPr="006C6478" w:rsidTr="00D35AF3">
        <w:trPr>
          <w:trHeight w:val="3402"/>
        </w:trPr>
        <w:tc>
          <w:tcPr>
            <w:tcW w:w="9211" w:type="dxa"/>
          </w:tcPr>
          <w:p w:rsidR="00616629" w:rsidRPr="00616629" w:rsidRDefault="00616629" w:rsidP="00DB53D3">
            <w:pPr>
              <w:rPr>
                <w:rFonts w:ascii="Century Gothic" w:hAnsi="Century Gothic"/>
              </w:rPr>
            </w:pPr>
            <w:r w:rsidRPr="00616629">
              <w:rPr>
                <w:rFonts w:ascii="Century Gothic" w:eastAsia="Arial Unicode MS" w:hAnsi="Century Gothic"/>
                <w:b/>
              </w:rPr>
              <w:t xml:space="preserve">Performance en matière de protection de l’environnement : </w:t>
            </w:r>
            <w:r>
              <w:rPr>
                <w:rFonts w:ascii="Century Gothic" w:eastAsia="Arial Unicode MS" w:hAnsi="Century Gothic"/>
              </w:rPr>
              <w:t xml:space="preserve">décrire les actions du candidat permettant de prendre en compte le recyclage, la prévention de la production de déchets et orientation vers des filières de valorisation, </w:t>
            </w:r>
            <w:r w:rsidR="0086654C">
              <w:rPr>
                <w:rFonts w:ascii="Century Gothic" w:eastAsia="Arial Unicode MS" w:hAnsi="Century Gothic"/>
              </w:rPr>
              <w:t>la politique de réduction des émissions de gaz à eff</w:t>
            </w:r>
            <w:r w:rsidR="00DB53D3">
              <w:rPr>
                <w:rFonts w:ascii="Century Gothic" w:eastAsia="Arial Unicode MS" w:hAnsi="Century Gothic"/>
              </w:rPr>
              <w:t xml:space="preserve">et de serre lors des livraisons. Le candidat décrira aussi la </w:t>
            </w:r>
            <w:r w:rsidR="00DB53D3" w:rsidRPr="00915FBA">
              <w:rPr>
                <w:rFonts w:ascii="Century Gothic" w:hAnsi="Century Gothic"/>
              </w:rPr>
              <w:t>méthode mise en œuvre pour favoriser l'approvi</w:t>
            </w:r>
            <w:r w:rsidR="00DB53D3">
              <w:rPr>
                <w:rFonts w:ascii="Century Gothic" w:hAnsi="Century Gothic"/>
              </w:rPr>
              <w:t xml:space="preserve">sionnement en pièces d'occasion </w:t>
            </w:r>
            <w:r w:rsidR="0086654C">
              <w:rPr>
                <w:rFonts w:ascii="Century Gothic" w:eastAsia="Arial Unicode MS" w:hAnsi="Century Gothic"/>
              </w:rPr>
              <w:t xml:space="preserve">- </w:t>
            </w:r>
            <w:r w:rsidR="0086654C" w:rsidRPr="0086654C">
              <w:rPr>
                <w:rFonts w:ascii="Century Gothic" w:eastAsia="Arial Unicode MS" w:hAnsi="Century Gothic"/>
                <w:b/>
              </w:rPr>
              <w:t>(10%)</w:t>
            </w:r>
          </w:p>
        </w:tc>
      </w:tr>
    </w:tbl>
    <w:p w:rsidR="00616629" w:rsidRDefault="00616629" w:rsidP="00616629"/>
    <w:p w:rsidR="00616629" w:rsidRPr="00616629" w:rsidRDefault="00616629" w:rsidP="00616629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 w:cs="Arial"/>
          <w:b/>
        </w:rPr>
        <w:t>À</w:t>
      </w:r>
      <w:r w:rsidRPr="00A072A9">
        <w:rPr>
          <w:rFonts w:ascii="Century Gothic" w:hAnsi="Century Gothic"/>
          <w:b/>
        </w:rPr>
        <w:t xml:space="preserve">                                         , le</w:t>
      </w:r>
    </w:p>
    <w:p w:rsidR="00A072A9" w:rsidRPr="00A072A9" w:rsidRDefault="00A072A9" w:rsidP="00A644BD">
      <w:pPr>
        <w:rPr>
          <w:rFonts w:ascii="Century Gothic" w:hAnsi="Century Gothic"/>
          <w:b/>
        </w:rPr>
      </w:pPr>
    </w:p>
    <w:p w:rsidR="00A072A9" w:rsidRPr="00A072A9" w:rsidRDefault="00A072A9" w:rsidP="00A644BD">
      <w:pPr>
        <w:rPr>
          <w:rFonts w:ascii="Century Gothic" w:hAnsi="Century Gothic"/>
          <w:b/>
        </w:rPr>
      </w:pPr>
    </w:p>
    <w:p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/>
          <w:b/>
        </w:rPr>
        <w:t>Cachet et signature du candidat</w:t>
      </w:r>
    </w:p>
    <w:sectPr w:rsidR="00A072A9" w:rsidRPr="00A072A9" w:rsidSect="005E3C1C">
      <w:footerReference w:type="default" r:id="rId9"/>
      <w:pgSz w:w="11907" w:h="16840" w:code="9"/>
      <w:pgMar w:top="1134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E3" w:rsidRDefault="00FD3BE3">
      <w:r>
        <w:separator/>
      </w:r>
    </w:p>
  </w:endnote>
  <w:endnote w:type="continuationSeparator" w:id="0">
    <w:p w:rsidR="00FD3BE3" w:rsidRDefault="00FD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A24A25" w:rsidRPr="00575AD4" w:rsidTr="000F1A8B">
      <w:trPr>
        <w:trHeight w:val="269"/>
      </w:trPr>
      <w:tc>
        <w:tcPr>
          <w:tcW w:w="1560" w:type="dxa"/>
        </w:tcPr>
        <w:p w:rsidR="00A24A25" w:rsidRPr="00575AD4" w:rsidRDefault="00A24A25" w:rsidP="009B0810">
          <w:pPr>
            <w:pStyle w:val="Pieddepage"/>
            <w:ind w:left="166"/>
            <w:rPr>
              <w:rFonts w:ascii="Century Gothic" w:hAnsi="Century Gothic"/>
              <w:color w:val="auto"/>
              <w:lang w:val="en-GB"/>
            </w:rPr>
          </w:pPr>
          <w:r>
            <w:rPr>
              <w:rFonts w:ascii="Century Gothic" w:hAnsi="Century Gothic"/>
              <w:color w:val="auto"/>
              <w:lang w:val="en-GB"/>
            </w:rPr>
            <w:t>AP-HP</w:t>
          </w:r>
        </w:p>
      </w:tc>
      <w:tc>
        <w:tcPr>
          <w:tcW w:w="5935" w:type="dxa"/>
        </w:tcPr>
        <w:p w:rsidR="00A24A25" w:rsidRPr="00575AD4" w:rsidRDefault="00A24A25" w:rsidP="00DF559D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t xml:space="preserve">Consultation </w:t>
          </w:r>
          <w:r w:rsidR="00A15610">
            <w:rPr>
              <w:rFonts w:ascii="Century Gothic" w:hAnsi="Century Gothic"/>
              <w:color w:val="auto"/>
            </w:rPr>
            <w:t>PIC 25 016</w:t>
          </w:r>
          <w:r>
            <w:rPr>
              <w:rFonts w:ascii="Century Gothic" w:hAnsi="Century Gothic"/>
              <w:color w:val="auto"/>
            </w:rPr>
            <w:t xml:space="preserve"> </w:t>
          </w:r>
          <w:r w:rsidRPr="00DF559D">
            <w:rPr>
              <w:rFonts w:ascii="Century Gothic" w:hAnsi="Century Gothic"/>
              <w:color w:val="auto"/>
            </w:rPr>
            <w:t xml:space="preserve">du </w:t>
          </w:r>
          <w:r w:rsidR="00DF559D" w:rsidRPr="00DF559D">
            <w:rPr>
              <w:rFonts w:ascii="Century Gothic" w:hAnsi="Century Gothic"/>
              <w:color w:val="auto"/>
            </w:rPr>
            <w:t>20/02</w:t>
          </w:r>
          <w:r w:rsidRPr="00DF559D">
            <w:rPr>
              <w:rFonts w:ascii="Century Gothic" w:hAnsi="Century Gothic"/>
              <w:color w:val="auto"/>
            </w:rPr>
            <w:t>/202</w:t>
          </w:r>
          <w:r w:rsidR="00A15610" w:rsidRPr="00DF559D">
            <w:rPr>
              <w:rFonts w:ascii="Century Gothic" w:hAnsi="Century Gothic"/>
              <w:color w:val="auto"/>
            </w:rPr>
            <w:t>5</w:t>
          </w:r>
        </w:p>
      </w:tc>
      <w:tc>
        <w:tcPr>
          <w:tcW w:w="2145" w:type="dxa"/>
        </w:tcPr>
        <w:p w:rsidR="00A24A25" w:rsidRPr="00575AD4" w:rsidRDefault="00A24A25">
          <w:pPr>
            <w:pStyle w:val="Pieddepage"/>
            <w:rPr>
              <w:rFonts w:ascii="Century Gothic" w:hAnsi="Century Gothic"/>
              <w:color w:val="auto"/>
              <w:lang w:val="en-GB"/>
            </w:rPr>
          </w:pPr>
          <w:r w:rsidRPr="00575AD4">
            <w:rPr>
              <w:rFonts w:ascii="Century Gothic" w:hAnsi="Century Gothic"/>
              <w:color w:val="auto"/>
              <w:lang w:val="en-GB"/>
            </w:rPr>
            <w:t>PIC</w:t>
          </w:r>
        </w:p>
      </w:tc>
    </w:tr>
    <w:tr w:rsidR="00A24A25" w:rsidRPr="00575AD4" w:rsidTr="009B0810">
      <w:trPr>
        <w:trHeight w:val="282"/>
      </w:trPr>
      <w:tc>
        <w:tcPr>
          <w:tcW w:w="1560" w:type="dxa"/>
        </w:tcPr>
        <w:p w:rsidR="00A24A25" w:rsidRPr="00575AD4" w:rsidRDefault="00B14648" w:rsidP="009378A5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>MAPA</w:t>
          </w:r>
        </w:p>
      </w:tc>
      <w:tc>
        <w:tcPr>
          <w:tcW w:w="5935" w:type="dxa"/>
        </w:tcPr>
        <w:p w:rsidR="00A24A25" w:rsidRPr="00575AD4" w:rsidRDefault="006C6478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>Mémoire technique</w:t>
          </w:r>
          <w:r w:rsidR="00A24A25" w:rsidRPr="00575AD4">
            <w:rPr>
              <w:rFonts w:ascii="Century Gothic" w:hAnsi="Century Gothic"/>
              <w:color w:val="auto"/>
            </w:rPr>
            <w:t xml:space="preserve"> </w:t>
          </w:r>
          <w:r w:rsidR="00A15610">
            <w:rPr>
              <w:rFonts w:ascii="Century Gothic" w:hAnsi="Century Gothic"/>
              <w:color w:val="auto"/>
            </w:rPr>
            <w:t>V0</w:t>
          </w:r>
        </w:p>
      </w:tc>
      <w:tc>
        <w:tcPr>
          <w:tcW w:w="2145" w:type="dxa"/>
        </w:tcPr>
        <w:p w:rsidR="00A24A25" w:rsidRPr="00575AD4" w:rsidRDefault="00A24A25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fldChar w:fldCharType="begin"/>
          </w:r>
          <w:r w:rsidRPr="00575AD4">
            <w:rPr>
              <w:rFonts w:ascii="Century Gothic" w:hAnsi="Century Gothic"/>
              <w:color w:val="auto"/>
            </w:rPr>
            <w:instrText xml:space="preserve"> PAGE </w:instrText>
          </w:r>
          <w:r w:rsidRPr="00575AD4">
            <w:rPr>
              <w:rFonts w:ascii="Century Gothic" w:hAnsi="Century Gothic"/>
              <w:color w:val="auto"/>
            </w:rPr>
            <w:fldChar w:fldCharType="separate"/>
          </w:r>
          <w:r w:rsidR="00DF559D">
            <w:rPr>
              <w:rFonts w:ascii="Century Gothic" w:hAnsi="Century Gothic"/>
              <w:noProof/>
              <w:color w:val="auto"/>
            </w:rPr>
            <w:t>1</w:t>
          </w:r>
          <w:r w:rsidRPr="00575AD4">
            <w:rPr>
              <w:rFonts w:ascii="Century Gothic" w:hAnsi="Century Gothic"/>
              <w:color w:val="auto"/>
            </w:rPr>
            <w:fldChar w:fldCharType="end"/>
          </w:r>
          <w:r w:rsidRPr="00575AD4">
            <w:rPr>
              <w:rFonts w:ascii="Century Gothic" w:hAnsi="Century Gothic"/>
              <w:color w:val="auto"/>
            </w:rPr>
            <w:t xml:space="preserve"> / 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begin"/>
          </w:r>
          <w:r w:rsidRPr="00575AD4">
            <w:rPr>
              <w:rStyle w:val="Numrodepage"/>
              <w:rFonts w:ascii="Century Gothic" w:hAnsi="Century Gothic"/>
              <w:color w:val="auto"/>
            </w:rPr>
            <w:instrText xml:space="preserve"> NUMPAGES </w:instrTex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separate"/>
          </w:r>
          <w:r w:rsidR="00DF559D">
            <w:rPr>
              <w:rStyle w:val="Numrodepage"/>
              <w:rFonts w:ascii="Century Gothic" w:hAnsi="Century Gothic"/>
              <w:noProof/>
              <w:color w:val="auto"/>
            </w:rPr>
            <w:t>4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end"/>
          </w:r>
        </w:p>
      </w:tc>
    </w:tr>
  </w:tbl>
  <w:p w:rsidR="00A24A25" w:rsidRPr="00575AD4" w:rsidRDefault="00A24A25">
    <w:pPr>
      <w:pStyle w:val="Pieddepage"/>
      <w:jc w:val="both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E3" w:rsidRDefault="00FD3BE3">
      <w:r>
        <w:separator/>
      </w:r>
    </w:p>
  </w:footnote>
  <w:footnote w:type="continuationSeparator" w:id="0">
    <w:p w:rsidR="00FD3BE3" w:rsidRDefault="00FD3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23B"/>
    <w:multiLevelType w:val="hybridMultilevel"/>
    <w:tmpl w:val="02002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7AB0"/>
    <w:multiLevelType w:val="multilevel"/>
    <w:tmpl w:val="3216F268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710" w:hanging="576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5A64AF"/>
    <w:multiLevelType w:val="hybridMultilevel"/>
    <w:tmpl w:val="B4ACE0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060CF"/>
    <w:multiLevelType w:val="hybridMultilevel"/>
    <w:tmpl w:val="4182A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465A3"/>
    <w:multiLevelType w:val="hybridMultilevel"/>
    <w:tmpl w:val="ECAC1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63B82"/>
    <w:multiLevelType w:val="hybridMultilevel"/>
    <w:tmpl w:val="E89E9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06C41"/>
    <w:multiLevelType w:val="hybridMultilevel"/>
    <w:tmpl w:val="6D060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25E1A"/>
    <w:multiLevelType w:val="hybridMultilevel"/>
    <w:tmpl w:val="C3D08E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84968"/>
    <w:multiLevelType w:val="hybridMultilevel"/>
    <w:tmpl w:val="9900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B4A38"/>
    <w:multiLevelType w:val="hybridMultilevel"/>
    <w:tmpl w:val="0F022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18"/>
    <w:multiLevelType w:val="hybridMultilevel"/>
    <w:tmpl w:val="A67A3C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54761"/>
    <w:multiLevelType w:val="hybridMultilevel"/>
    <w:tmpl w:val="3E0CA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0766F"/>
    <w:multiLevelType w:val="hybridMultilevel"/>
    <w:tmpl w:val="AF0A8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24EFB"/>
    <w:multiLevelType w:val="hybridMultilevel"/>
    <w:tmpl w:val="7F545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D4"/>
    <w:rsid w:val="00000AAC"/>
    <w:rsid w:val="00004076"/>
    <w:rsid w:val="000063A6"/>
    <w:rsid w:val="00006E99"/>
    <w:rsid w:val="00011D0C"/>
    <w:rsid w:val="000122C6"/>
    <w:rsid w:val="000125AD"/>
    <w:rsid w:val="00013E26"/>
    <w:rsid w:val="00015E67"/>
    <w:rsid w:val="000178FE"/>
    <w:rsid w:val="000200DD"/>
    <w:rsid w:val="000214CF"/>
    <w:rsid w:val="000217CE"/>
    <w:rsid w:val="00023631"/>
    <w:rsid w:val="00025C27"/>
    <w:rsid w:val="0003104B"/>
    <w:rsid w:val="0003128C"/>
    <w:rsid w:val="00036818"/>
    <w:rsid w:val="0004027C"/>
    <w:rsid w:val="00040A12"/>
    <w:rsid w:val="00040C1F"/>
    <w:rsid w:val="00050CD8"/>
    <w:rsid w:val="00054AE3"/>
    <w:rsid w:val="000551D4"/>
    <w:rsid w:val="0006010F"/>
    <w:rsid w:val="0007170B"/>
    <w:rsid w:val="000736D2"/>
    <w:rsid w:val="000777BA"/>
    <w:rsid w:val="000845BF"/>
    <w:rsid w:val="00084BD4"/>
    <w:rsid w:val="00086084"/>
    <w:rsid w:val="00087A9B"/>
    <w:rsid w:val="000909A9"/>
    <w:rsid w:val="00090D18"/>
    <w:rsid w:val="000A1701"/>
    <w:rsid w:val="000A2C06"/>
    <w:rsid w:val="000A38E6"/>
    <w:rsid w:val="000A7406"/>
    <w:rsid w:val="000B022F"/>
    <w:rsid w:val="000B19BD"/>
    <w:rsid w:val="000B39E6"/>
    <w:rsid w:val="000B64CA"/>
    <w:rsid w:val="000C1C4A"/>
    <w:rsid w:val="000D1B92"/>
    <w:rsid w:val="000E0D0D"/>
    <w:rsid w:val="000F171D"/>
    <w:rsid w:val="000F1A8B"/>
    <w:rsid w:val="000F3DC3"/>
    <w:rsid w:val="000F6527"/>
    <w:rsid w:val="000F6E4B"/>
    <w:rsid w:val="001010DF"/>
    <w:rsid w:val="00103417"/>
    <w:rsid w:val="00110181"/>
    <w:rsid w:val="001137C8"/>
    <w:rsid w:val="0011514C"/>
    <w:rsid w:val="0011561B"/>
    <w:rsid w:val="001200CE"/>
    <w:rsid w:val="00121281"/>
    <w:rsid w:val="0012171A"/>
    <w:rsid w:val="001228E2"/>
    <w:rsid w:val="00126D24"/>
    <w:rsid w:val="00132EC5"/>
    <w:rsid w:val="00133279"/>
    <w:rsid w:val="00134C91"/>
    <w:rsid w:val="0014348C"/>
    <w:rsid w:val="001477D7"/>
    <w:rsid w:val="0015033C"/>
    <w:rsid w:val="00153E35"/>
    <w:rsid w:val="00154C2C"/>
    <w:rsid w:val="00156969"/>
    <w:rsid w:val="001659BD"/>
    <w:rsid w:val="00170BEA"/>
    <w:rsid w:val="00177F4E"/>
    <w:rsid w:val="001837B2"/>
    <w:rsid w:val="00184976"/>
    <w:rsid w:val="001940E8"/>
    <w:rsid w:val="001958F6"/>
    <w:rsid w:val="001A3ABA"/>
    <w:rsid w:val="001B37EF"/>
    <w:rsid w:val="001B660A"/>
    <w:rsid w:val="001C1C5C"/>
    <w:rsid w:val="001C337F"/>
    <w:rsid w:val="001D2BE2"/>
    <w:rsid w:val="001D3CCB"/>
    <w:rsid w:val="001D49C4"/>
    <w:rsid w:val="001D4D29"/>
    <w:rsid w:val="001E45E7"/>
    <w:rsid w:val="001F014C"/>
    <w:rsid w:val="001F432E"/>
    <w:rsid w:val="001F49B5"/>
    <w:rsid w:val="0020071A"/>
    <w:rsid w:val="002041D4"/>
    <w:rsid w:val="00205C98"/>
    <w:rsid w:val="00210D35"/>
    <w:rsid w:val="00211D3A"/>
    <w:rsid w:val="0022358B"/>
    <w:rsid w:val="002253BF"/>
    <w:rsid w:val="00227BDB"/>
    <w:rsid w:val="00231988"/>
    <w:rsid w:val="0023263F"/>
    <w:rsid w:val="0023569A"/>
    <w:rsid w:val="0024058F"/>
    <w:rsid w:val="002414FF"/>
    <w:rsid w:val="00252F2D"/>
    <w:rsid w:val="00256539"/>
    <w:rsid w:val="0027000D"/>
    <w:rsid w:val="00272782"/>
    <w:rsid w:val="002763AD"/>
    <w:rsid w:val="002841A9"/>
    <w:rsid w:val="00294F19"/>
    <w:rsid w:val="00295BF6"/>
    <w:rsid w:val="002A15BE"/>
    <w:rsid w:val="002A4019"/>
    <w:rsid w:val="002A7784"/>
    <w:rsid w:val="002A7946"/>
    <w:rsid w:val="002B272C"/>
    <w:rsid w:val="002B463A"/>
    <w:rsid w:val="002B5D1B"/>
    <w:rsid w:val="002B6A6A"/>
    <w:rsid w:val="002C0317"/>
    <w:rsid w:val="002C4E8D"/>
    <w:rsid w:val="002D2007"/>
    <w:rsid w:val="002E49B0"/>
    <w:rsid w:val="002E4E46"/>
    <w:rsid w:val="002F3DA3"/>
    <w:rsid w:val="002F6F1D"/>
    <w:rsid w:val="0030016A"/>
    <w:rsid w:val="00306883"/>
    <w:rsid w:val="00317C34"/>
    <w:rsid w:val="00323263"/>
    <w:rsid w:val="003241E0"/>
    <w:rsid w:val="00325C22"/>
    <w:rsid w:val="0032665F"/>
    <w:rsid w:val="00326C4F"/>
    <w:rsid w:val="0033019E"/>
    <w:rsid w:val="00330DD1"/>
    <w:rsid w:val="00332352"/>
    <w:rsid w:val="00334653"/>
    <w:rsid w:val="003360D9"/>
    <w:rsid w:val="00344EA4"/>
    <w:rsid w:val="0035168A"/>
    <w:rsid w:val="00351C51"/>
    <w:rsid w:val="00356147"/>
    <w:rsid w:val="00361F26"/>
    <w:rsid w:val="0036363A"/>
    <w:rsid w:val="00370A15"/>
    <w:rsid w:val="0037270D"/>
    <w:rsid w:val="00373493"/>
    <w:rsid w:val="0037372C"/>
    <w:rsid w:val="00374279"/>
    <w:rsid w:val="00374ADF"/>
    <w:rsid w:val="00375478"/>
    <w:rsid w:val="0037576C"/>
    <w:rsid w:val="00382DFA"/>
    <w:rsid w:val="00385FE7"/>
    <w:rsid w:val="003934DD"/>
    <w:rsid w:val="00397A6B"/>
    <w:rsid w:val="003A68E1"/>
    <w:rsid w:val="003A745A"/>
    <w:rsid w:val="003B041A"/>
    <w:rsid w:val="003B1F85"/>
    <w:rsid w:val="003B5E08"/>
    <w:rsid w:val="003B7C8A"/>
    <w:rsid w:val="003C1811"/>
    <w:rsid w:val="003C7C6B"/>
    <w:rsid w:val="003D04D6"/>
    <w:rsid w:val="003D2B09"/>
    <w:rsid w:val="003D2E0F"/>
    <w:rsid w:val="003D30BE"/>
    <w:rsid w:val="003D33AC"/>
    <w:rsid w:val="003E37AA"/>
    <w:rsid w:val="003E664A"/>
    <w:rsid w:val="003F1857"/>
    <w:rsid w:val="00400A42"/>
    <w:rsid w:val="00401DF8"/>
    <w:rsid w:val="00404C2F"/>
    <w:rsid w:val="00406328"/>
    <w:rsid w:val="00421A6F"/>
    <w:rsid w:val="004259F6"/>
    <w:rsid w:val="00434972"/>
    <w:rsid w:val="00434E0D"/>
    <w:rsid w:val="00434EC2"/>
    <w:rsid w:val="00441545"/>
    <w:rsid w:val="00441C13"/>
    <w:rsid w:val="00443316"/>
    <w:rsid w:val="00444AB0"/>
    <w:rsid w:val="00446A48"/>
    <w:rsid w:val="00446F56"/>
    <w:rsid w:val="0045008C"/>
    <w:rsid w:val="004522F2"/>
    <w:rsid w:val="00453074"/>
    <w:rsid w:val="0046059D"/>
    <w:rsid w:val="00461926"/>
    <w:rsid w:val="00470C4F"/>
    <w:rsid w:val="0047604D"/>
    <w:rsid w:val="004807C9"/>
    <w:rsid w:val="00483483"/>
    <w:rsid w:val="004834AD"/>
    <w:rsid w:val="004929AE"/>
    <w:rsid w:val="004A66AE"/>
    <w:rsid w:val="004A70BD"/>
    <w:rsid w:val="004B00D7"/>
    <w:rsid w:val="004B1F29"/>
    <w:rsid w:val="004C0B25"/>
    <w:rsid w:val="004C0C1F"/>
    <w:rsid w:val="004C6FF2"/>
    <w:rsid w:val="004D0527"/>
    <w:rsid w:val="004D2EF0"/>
    <w:rsid w:val="004D4659"/>
    <w:rsid w:val="004D47CA"/>
    <w:rsid w:val="004D5732"/>
    <w:rsid w:val="004E2F36"/>
    <w:rsid w:val="004E756A"/>
    <w:rsid w:val="004F608F"/>
    <w:rsid w:val="00501AF2"/>
    <w:rsid w:val="00507671"/>
    <w:rsid w:val="00512FDB"/>
    <w:rsid w:val="00521FC4"/>
    <w:rsid w:val="005238ED"/>
    <w:rsid w:val="00526D4D"/>
    <w:rsid w:val="005327B5"/>
    <w:rsid w:val="00536797"/>
    <w:rsid w:val="005376A8"/>
    <w:rsid w:val="0054260A"/>
    <w:rsid w:val="005426B2"/>
    <w:rsid w:val="005463CF"/>
    <w:rsid w:val="00550FF0"/>
    <w:rsid w:val="005527C3"/>
    <w:rsid w:val="0055317A"/>
    <w:rsid w:val="0055735A"/>
    <w:rsid w:val="00573D33"/>
    <w:rsid w:val="00575AD4"/>
    <w:rsid w:val="00575D04"/>
    <w:rsid w:val="00577E67"/>
    <w:rsid w:val="005816F0"/>
    <w:rsid w:val="005820BB"/>
    <w:rsid w:val="0059607F"/>
    <w:rsid w:val="00596FAE"/>
    <w:rsid w:val="0059733B"/>
    <w:rsid w:val="00597C82"/>
    <w:rsid w:val="005A15B3"/>
    <w:rsid w:val="005A19EF"/>
    <w:rsid w:val="005A5F39"/>
    <w:rsid w:val="005A7AD1"/>
    <w:rsid w:val="005B3442"/>
    <w:rsid w:val="005B6FB8"/>
    <w:rsid w:val="005B7837"/>
    <w:rsid w:val="005C50D0"/>
    <w:rsid w:val="005D3EE0"/>
    <w:rsid w:val="005D7D95"/>
    <w:rsid w:val="005D7DEC"/>
    <w:rsid w:val="005E3C1C"/>
    <w:rsid w:val="005E40E4"/>
    <w:rsid w:val="005E58AF"/>
    <w:rsid w:val="005F1AFD"/>
    <w:rsid w:val="005F7A7A"/>
    <w:rsid w:val="0060779A"/>
    <w:rsid w:val="00607F51"/>
    <w:rsid w:val="006143BF"/>
    <w:rsid w:val="00616629"/>
    <w:rsid w:val="00616D62"/>
    <w:rsid w:val="00621AAE"/>
    <w:rsid w:val="00621C66"/>
    <w:rsid w:val="0062307B"/>
    <w:rsid w:val="00630FA5"/>
    <w:rsid w:val="00631CA3"/>
    <w:rsid w:val="00632E58"/>
    <w:rsid w:val="00637875"/>
    <w:rsid w:val="006419C4"/>
    <w:rsid w:val="00644B2A"/>
    <w:rsid w:val="00650D53"/>
    <w:rsid w:val="00652E9A"/>
    <w:rsid w:val="00657A90"/>
    <w:rsid w:val="00662E47"/>
    <w:rsid w:val="006638BD"/>
    <w:rsid w:val="00665CC7"/>
    <w:rsid w:val="0067019F"/>
    <w:rsid w:val="00670F8C"/>
    <w:rsid w:val="00674C40"/>
    <w:rsid w:val="006761E7"/>
    <w:rsid w:val="00687032"/>
    <w:rsid w:val="006912A5"/>
    <w:rsid w:val="00692FF8"/>
    <w:rsid w:val="00696406"/>
    <w:rsid w:val="00697CB7"/>
    <w:rsid w:val="006B3C7E"/>
    <w:rsid w:val="006B4FEA"/>
    <w:rsid w:val="006B53E3"/>
    <w:rsid w:val="006C0532"/>
    <w:rsid w:val="006C1993"/>
    <w:rsid w:val="006C2D96"/>
    <w:rsid w:val="006C3566"/>
    <w:rsid w:val="006C6478"/>
    <w:rsid w:val="006D1E2B"/>
    <w:rsid w:val="006D3E6D"/>
    <w:rsid w:val="006D42ED"/>
    <w:rsid w:val="006D50CD"/>
    <w:rsid w:val="006D6553"/>
    <w:rsid w:val="006D6EFB"/>
    <w:rsid w:val="006E132C"/>
    <w:rsid w:val="006E3098"/>
    <w:rsid w:val="006F3F82"/>
    <w:rsid w:val="006F5B2D"/>
    <w:rsid w:val="00703ADC"/>
    <w:rsid w:val="0071143D"/>
    <w:rsid w:val="00715327"/>
    <w:rsid w:val="0072167C"/>
    <w:rsid w:val="00722337"/>
    <w:rsid w:val="007223E8"/>
    <w:rsid w:val="00724DC9"/>
    <w:rsid w:val="00726797"/>
    <w:rsid w:val="007325A8"/>
    <w:rsid w:val="00736B6B"/>
    <w:rsid w:val="00744881"/>
    <w:rsid w:val="007454DA"/>
    <w:rsid w:val="0074782B"/>
    <w:rsid w:val="00751E7E"/>
    <w:rsid w:val="00761845"/>
    <w:rsid w:val="00762943"/>
    <w:rsid w:val="00763037"/>
    <w:rsid w:val="00765630"/>
    <w:rsid w:val="0076718D"/>
    <w:rsid w:val="007708DA"/>
    <w:rsid w:val="00770FDC"/>
    <w:rsid w:val="00772195"/>
    <w:rsid w:val="00774B08"/>
    <w:rsid w:val="00777244"/>
    <w:rsid w:val="007800AF"/>
    <w:rsid w:val="0078273E"/>
    <w:rsid w:val="00791193"/>
    <w:rsid w:val="0079424F"/>
    <w:rsid w:val="0079560D"/>
    <w:rsid w:val="007A480F"/>
    <w:rsid w:val="007A5690"/>
    <w:rsid w:val="007A696B"/>
    <w:rsid w:val="007A6DFE"/>
    <w:rsid w:val="007B2684"/>
    <w:rsid w:val="007B34D8"/>
    <w:rsid w:val="007B3B76"/>
    <w:rsid w:val="007B52DD"/>
    <w:rsid w:val="007B7A69"/>
    <w:rsid w:val="007C3360"/>
    <w:rsid w:val="007D1DE8"/>
    <w:rsid w:val="007D62DD"/>
    <w:rsid w:val="007E5175"/>
    <w:rsid w:val="007F35D7"/>
    <w:rsid w:val="007F73A4"/>
    <w:rsid w:val="008019B3"/>
    <w:rsid w:val="00802D2F"/>
    <w:rsid w:val="00802F41"/>
    <w:rsid w:val="00814D89"/>
    <w:rsid w:val="00817990"/>
    <w:rsid w:val="0082023F"/>
    <w:rsid w:val="00827A6F"/>
    <w:rsid w:val="00831098"/>
    <w:rsid w:val="00832440"/>
    <w:rsid w:val="00832B5D"/>
    <w:rsid w:val="0083485C"/>
    <w:rsid w:val="00834AD2"/>
    <w:rsid w:val="0083575C"/>
    <w:rsid w:val="00841A49"/>
    <w:rsid w:val="00842B67"/>
    <w:rsid w:val="00844AEB"/>
    <w:rsid w:val="00845DB0"/>
    <w:rsid w:val="00846FB6"/>
    <w:rsid w:val="0084759E"/>
    <w:rsid w:val="0085034A"/>
    <w:rsid w:val="00863831"/>
    <w:rsid w:val="00864293"/>
    <w:rsid w:val="00864CD8"/>
    <w:rsid w:val="0086654C"/>
    <w:rsid w:val="00866B24"/>
    <w:rsid w:val="0087040D"/>
    <w:rsid w:val="00873088"/>
    <w:rsid w:val="008733BD"/>
    <w:rsid w:val="0087384C"/>
    <w:rsid w:val="00874075"/>
    <w:rsid w:val="00882731"/>
    <w:rsid w:val="008849D2"/>
    <w:rsid w:val="00885D4E"/>
    <w:rsid w:val="008A492B"/>
    <w:rsid w:val="008A4C5A"/>
    <w:rsid w:val="008A76CE"/>
    <w:rsid w:val="008B1447"/>
    <w:rsid w:val="008B18BC"/>
    <w:rsid w:val="008B1E20"/>
    <w:rsid w:val="008B3453"/>
    <w:rsid w:val="008B52B1"/>
    <w:rsid w:val="008B54C4"/>
    <w:rsid w:val="008B5A8F"/>
    <w:rsid w:val="008B5B1D"/>
    <w:rsid w:val="008C1686"/>
    <w:rsid w:val="008C2BDD"/>
    <w:rsid w:val="008C2E26"/>
    <w:rsid w:val="008C576E"/>
    <w:rsid w:val="008C6A34"/>
    <w:rsid w:val="008C7CF7"/>
    <w:rsid w:val="008E2CA4"/>
    <w:rsid w:val="008E3B62"/>
    <w:rsid w:val="008F4E94"/>
    <w:rsid w:val="008F7365"/>
    <w:rsid w:val="00900B32"/>
    <w:rsid w:val="00901143"/>
    <w:rsid w:val="00917136"/>
    <w:rsid w:val="00920D7A"/>
    <w:rsid w:val="00925F44"/>
    <w:rsid w:val="009271CA"/>
    <w:rsid w:val="009378A5"/>
    <w:rsid w:val="0094002B"/>
    <w:rsid w:val="00940E9F"/>
    <w:rsid w:val="00941C83"/>
    <w:rsid w:val="0094602A"/>
    <w:rsid w:val="00950C01"/>
    <w:rsid w:val="0095392B"/>
    <w:rsid w:val="00955B29"/>
    <w:rsid w:val="00956776"/>
    <w:rsid w:val="009571AE"/>
    <w:rsid w:val="009604EE"/>
    <w:rsid w:val="00960788"/>
    <w:rsid w:val="009617CC"/>
    <w:rsid w:val="009652D2"/>
    <w:rsid w:val="00966944"/>
    <w:rsid w:val="0097092F"/>
    <w:rsid w:val="0097490A"/>
    <w:rsid w:val="00995184"/>
    <w:rsid w:val="009A04E5"/>
    <w:rsid w:val="009A5277"/>
    <w:rsid w:val="009B0810"/>
    <w:rsid w:val="009B24DE"/>
    <w:rsid w:val="009B6B62"/>
    <w:rsid w:val="009C19DB"/>
    <w:rsid w:val="009C7C1A"/>
    <w:rsid w:val="009D02FD"/>
    <w:rsid w:val="009D1129"/>
    <w:rsid w:val="009D436D"/>
    <w:rsid w:val="009D685F"/>
    <w:rsid w:val="009D7F0D"/>
    <w:rsid w:val="009E0E2F"/>
    <w:rsid w:val="009F0EFA"/>
    <w:rsid w:val="009F2FC1"/>
    <w:rsid w:val="009F666D"/>
    <w:rsid w:val="009F6BD3"/>
    <w:rsid w:val="00A02D11"/>
    <w:rsid w:val="00A072A9"/>
    <w:rsid w:val="00A11837"/>
    <w:rsid w:val="00A15610"/>
    <w:rsid w:val="00A17CAE"/>
    <w:rsid w:val="00A20E12"/>
    <w:rsid w:val="00A24A25"/>
    <w:rsid w:val="00A33304"/>
    <w:rsid w:val="00A35D38"/>
    <w:rsid w:val="00A367B0"/>
    <w:rsid w:val="00A412C4"/>
    <w:rsid w:val="00A42FAC"/>
    <w:rsid w:val="00A51F8F"/>
    <w:rsid w:val="00A53FDB"/>
    <w:rsid w:val="00A604F3"/>
    <w:rsid w:val="00A644BD"/>
    <w:rsid w:val="00A724E5"/>
    <w:rsid w:val="00A73BA0"/>
    <w:rsid w:val="00AA38AA"/>
    <w:rsid w:val="00AA40B7"/>
    <w:rsid w:val="00AA4CEA"/>
    <w:rsid w:val="00AA5541"/>
    <w:rsid w:val="00AA69F1"/>
    <w:rsid w:val="00AA75E0"/>
    <w:rsid w:val="00AB07A2"/>
    <w:rsid w:val="00AB2B33"/>
    <w:rsid w:val="00AB2B83"/>
    <w:rsid w:val="00AB4C84"/>
    <w:rsid w:val="00AB74AB"/>
    <w:rsid w:val="00AC27D5"/>
    <w:rsid w:val="00AC30A8"/>
    <w:rsid w:val="00AC502D"/>
    <w:rsid w:val="00AD2580"/>
    <w:rsid w:val="00AD41E7"/>
    <w:rsid w:val="00AD489A"/>
    <w:rsid w:val="00AD77EE"/>
    <w:rsid w:val="00AE71F1"/>
    <w:rsid w:val="00AF131A"/>
    <w:rsid w:val="00AF2BB1"/>
    <w:rsid w:val="00AF3577"/>
    <w:rsid w:val="00B03365"/>
    <w:rsid w:val="00B12AE0"/>
    <w:rsid w:val="00B13AA7"/>
    <w:rsid w:val="00B14648"/>
    <w:rsid w:val="00B148D9"/>
    <w:rsid w:val="00B23F9A"/>
    <w:rsid w:val="00B30C1E"/>
    <w:rsid w:val="00B32EA3"/>
    <w:rsid w:val="00B34224"/>
    <w:rsid w:val="00B34FB2"/>
    <w:rsid w:val="00B456CC"/>
    <w:rsid w:val="00B45A96"/>
    <w:rsid w:val="00B51289"/>
    <w:rsid w:val="00B51937"/>
    <w:rsid w:val="00B53A9C"/>
    <w:rsid w:val="00B54454"/>
    <w:rsid w:val="00B556F6"/>
    <w:rsid w:val="00B56BF7"/>
    <w:rsid w:val="00B66643"/>
    <w:rsid w:val="00B66919"/>
    <w:rsid w:val="00B66EB5"/>
    <w:rsid w:val="00B66FBE"/>
    <w:rsid w:val="00B84AF2"/>
    <w:rsid w:val="00B85C56"/>
    <w:rsid w:val="00B85D33"/>
    <w:rsid w:val="00B91A44"/>
    <w:rsid w:val="00B97124"/>
    <w:rsid w:val="00B975D1"/>
    <w:rsid w:val="00BA1599"/>
    <w:rsid w:val="00BA43E7"/>
    <w:rsid w:val="00BA78D7"/>
    <w:rsid w:val="00BB1272"/>
    <w:rsid w:val="00BB1774"/>
    <w:rsid w:val="00BB2ADD"/>
    <w:rsid w:val="00BB5BB3"/>
    <w:rsid w:val="00BB668D"/>
    <w:rsid w:val="00BC4336"/>
    <w:rsid w:val="00BC606C"/>
    <w:rsid w:val="00BC7BB1"/>
    <w:rsid w:val="00BD13C0"/>
    <w:rsid w:val="00BD1662"/>
    <w:rsid w:val="00BD2361"/>
    <w:rsid w:val="00BD6F43"/>
    <w:rsid w:val="00BE1E03"/>
    <w:rsid w:val="00BE5F5C"/>
    <w:rsid w:val="00BE60DA"/>
    <w:rsid w:val="00BF2040"/>
    <w:rsid w:val="00BF22F7"/>
    <w:rsid w:val="00BF38CC"/>
    <w:rsid w:val="00BF7A33"/>
    <w:rsid w:val="00C0218C"/>
    <w:rsid w:val="00C03E26"/>
    <w:rsid w:val="00C04543"/>
    <w:rsid w:val="00C07BDF"/>
    <w:rsid w:val="00C128F7"/>
    <w:rsid w:val="00C1443C"/>
    <w:rsid w:val="00C17C2E"/>
    <w:rsid w:val="00C20A51"/>
    <w:rsid w:val="00C230EE"/>
    <w:rsid w:val="00C31237"/>
    <w:rsid w:val="00C35992"/>
    <w:rsid w:val="00C370F3"/>
    <w:rsid w:val="00C40ED4"/>
    <w:rsid w:val="00C44062"/>
    <w:rsid w:val="00C47067"/>
    <w:rsid w:val="00C475A9"/>
    <w:rsid w:val="00C50EAB"/>
    <w:rsid w:val="00C510EB"/>
    <w:rsid w:val="00C5132C"/>
    <w:rsid w:val="00C52333"/>
    <w:rsid w:val="00C6220B"/>
    <w:rsid w:val="00C644F5"/>
    <w:rsid w:val="00C71251"/>
    <w:rsid w:val="00C7472C"/>
    <w:rsid w:val="00C77869"/>
    <w:rsid w:val="00C81F6A"/>
    <w:rsid w:val="00C84186"/>
    <w:rsid w:val="00C91A89"/>
    <w:rsid w:val="00C9318D"/>
    <w:rsid w:val="00C934D6"/>
    <w:rsid w:val="00C97990"/>
    <w:rsid w:val="00CA2905"/>
    <w:rsid w:val="00CA6A65"/>
    <w:rsid w:val="00CA7BA7"/>
    <w:rsid w:val="00CB3DE1"/>
    <w:rsid w:val="00CC00DB"/>
    <w:rsid w:val="00CC5BCB"/>
    <w:rsid w:val="00CC68DB"/>
    <w:rsid w:val="00CD0DA0"/>
    <w:rsid w:val="00CD2732"/>
    <w:rsid w:val="00CD362B"/>
    <w:rsid w:val="00CD6D88"/>
    <w:rsid w:val="00CE36C3"/>
    <w:rsid w:val="00CE6E3A"/>
    <w:rsid w:val="00CF0ACE"/>
    <w:rsid w:val="00CF6399"/>
    <w:rsid w:val="00D03799"/>
    <w:rsid w:val="00D0445F"/>
    <w:rsid w:val="00D04D18"/>
    <w:rsid w:val="00D0619F"/>
    <w:rsid w:val="00D06891"/>
    <w:rsid w:val="00D07EC5"/>
    <w:rsid w:val="00D10C8D"/>
    <w:rsid w:val="00D25436"/>
    <w:rsid w:val="00D35961"/>
    <w:rsid w:val="00D35DA4"/>
    <w:rsid w:val="00D44E02"/>
    <w:rsid w:val="00D52AC0"/>
    <w:rsid w:val="00D5525E"/>
    <w:rsid w:val="00D57E4D"/>
    <w:rsid w:val="00D60813"/>
    <w:rsid w:val="00D630A2"/>
    <w:rsid w:val="00D651DB"/>
    <w:rsid w:val="00D72D66"/>
    <w:rsid w:val="00D74995"/>
    <w:rsid w:val="00D861A2"/>
    <w:rsid w:val="00D87B3B"/>
    <w:rsid w:val="00DA025B"/>
    <w:rsid w:val="00DA35D5"/>
    <w:rsid w:val="00DA48AA"/>
    <w:rsid w:val="00DA52CA"/>
    <w:rsid w:val="00DB0B5C"/>
    <w:rsid w:val="00DB297B"/>
    <w:rsid w:val="00DB53D3"/>
    <w:rsid w:val="00DB6D5B"/>
    <w:rsid w:val="00DB7250"/>
    <w:rsid w:val="00DC0397"/>
    <w:rsid w:val="00DC1570"/>
    <w:rsid w:val="00DC4B1E"/>
    <w:rsid w:val="00DC5564"/>
    <w:rsid w:val="00DD0A46"/>
    <w:rsid w:val="00DD0DC6"/>
    <w:rsid w:val="00DD42EE"/>
    <w:rsid w:val="00DD48A9"/>
    <w:rsid w:val="00DD4BDF"/>
    <w:rsid w:val="00DE0145"/>
    <w:rsid w:val="00DE7F01"/>
    <w:rsid w:val="00DF11DD"/>
    <w:rsid w:val="00DF159E"/>
    <w:rsid w:val="00DF559D"/>
    <w:rsid w:val="00E02C59"/>
    <w:rsid w:val="00E12435"/>
    <w:rsid w:val="00E1345A"/>
    <w:rsid w:val="00E1714C"/>
    <w:rsid w:val="00E177CD"/>
    <w:rsid w:val="00E202EA"/>
    <w:rsid w:val="00E214B0"/>
    <w:rsid w:val="00E2157A"/>
    <w:rsid w:val="00E23981"/>
    <w:rsid w:val="00E27333"/>
    <w:rsid w:val="00E30CDF"/>
    <w:rsid w:val="00E3487F"/>
    <w:rsid w:val="00E35DE6"/>
    <w:rsid w:val="00E3722F"/>
    <w:rsid w:val="00E44FDB"/>
    <w:rsid w:val="00E456A7"/>
    <w:rsid w:val="00E479C7"/>
    <w:rsid w:val="00E509DE"/>
    <w:rsid w:val="00E53771"/>
    <w:rsid w:val="00E649C8"/>
    <w:rsid w:val="00E70DB7"/>
    <w:rsid w:val="00E718A4"/>
    <w:rsid w:val="00E85B14"/>
    <w:rsid w:val="00E908D6"/>
    <w:rsid w:val="00E92A55"/>
    <w:rsid w:val="00EA1745"/>
    <w:rsid w:val="00EA31B1"/>
    <w:rsid w:val="00EB1D5F"/>
    <w:rsid w:val="00EB5B43"/>
    <w:rsid w:val="00EB685E"/>
    <w:rsid w:val="00EC28DF"/>
    <w:rsid w:val="00EC2E79"/>
    <w:rsid w:val="00EC404A"/>
    <w:rsid w:val="00EC510F"/>
    <w:rsid w:val="00EC7F59"/>
    <w:rsid w:val="00ED10C8"/>
    <w:rsid w:val="00ED33B7"/>
    <w:rsid w:val="00ED364B"/>
    <w:rsid w:val="00ED436E"/>
    <w:rsid w:val="00ED5D5F"/>
    <w:rsid w:val="00EE7C85"/>
    <w:rsid w:val="00EF4E3B"/>
    <w:rsid w:val="00EF58F0"/>
    <w:rsid w:val="00EF599A"/>
    <w:rsid w:val="00F0150E"/>
    <w:rsid w:val="00F079DB"/>
    <w:rsid w:val="00F15C9F"/>
    <w:rsid w:val="00F15D9B"/>
    <w:rsid w:val="00F178B2"/>
    <w:rsid w:val="00F248CB"/>
    <w:rsid w:val="00F27024"/>
    <w:rsid w:val="00F342C6"/>
    <w:rsid w:val="00F3499E"/>
    <w:rsid w:val="00F3585D"/>
    <w:rsid w:val="00F36E1D"/>
    <w:rsid w:val="00F37B57"/>
    <w:rsid w:val="00F450A1"/>
    <w:rsid w:val="00F47AE2"/>
    <w:rsid w:val="00F56CBE"/>
    <w:rsid w:val="00F633EB"/>
    <w:rsid w:val="00F663FD"/>
    <w:rsid w:val="00F664E8"/>
    <w:rsid w:val="00F67A68"/>
    <w:rsid w:val="00F70525"/>
    <w:rsid w:val="00F734E3"/>
    <w:rsid w:val="00F832AA"/>
    <w:rsid w:val="00F83C17"/>
    <w:rsid w:val="00F83FA8"/>
    <w:rsid w:val="00F85EC8"/>
    <w:rsid w:val="00F87C7D"/>
    <w:rsid w:val="00F907EC"/>
    <w:rsid w:val="00F92297"/>
    <w:rsid w:val="00F94AE8"/>
    <w:rsid w:val="00F94FD6"/>
    <w:rsid w:val="00F9569E"/>
    <w:rsid w:val="00F9694E"/>
    <w:rsid w:val="00F9721F"/>
    <w:rsid w:val="00FA1748"/>
    <w:rsid w:val="00FB285E"/>
    <w:rsid w:val="00FB5929"/>
    <w:rsid w:val="00FB5F38"/>
    <w:rsid w:val="00FB6690"/>
    <w:rsid w:val="00FB66E5"/>
    <w:rsid w:val="00FD3BE3"/>
    <w:rsid w:val="00FD74B5"/>
    <w:rsid w:val="00FE113C"/>
    <w:rsid w:val="00FE2767"/>
    <w:rsid w:val="00FE39C5"/>
    <w:rsid w:val="00FE7E17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9092B8F"/>
  <w15:docId w15:val="{C779BA50-CDED-4C6E-A6A0-2D9E0D87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629"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6C6478"/>
    <w:pPr>
      <w:keepNext/>
      <w:jc w:val="left"/>
      <w:outlineLvl w:val="0"/>
    </w:pPr>
    <w:rPr>
      <w:rFonts w:ascii="Century Gothic" w:hAnsi="Century Gothic" w:cs="Arial"/>
      <w:b/>
      <w:color w:val="auto"/>
      <w:sz w:val="28"/>
      <w:szCs w:val="28"/>
    </w:rPr>
  </w:style>
  <w:style w:type="paragraph" w:styleId="Titre2">
    <w:name w:val="heading 2"/>
    <w:basedOn w:val="Titre1"/>
    <w:next w:val="Normal"/>
    <w:autoRedefine/>
    <w:qFormat/>
    <w:rsid w:val="00A73BA0"/>
    <w:pPr>
      <w:autoSpaceDE w:val="0"/>
      <w:autoSpaceDN w:val="0"/>
      <w:adjustRightInd w:val="0"/>
      <w:spacing w:before="240"/>
      <w:outlineLvl w:val="1"/>
    </w:pPr>
    <w:rPr>
      <w:caps/>
      <w:sz w:val="22"/>
      <w:szCs w:val="22"/>
    </w:rPr>
  </w:style>
  <w:style w:type="paragraph" w:styleId="Titre3">
    <w:name w:val="heading 3"/>
    <w:next w:val="Titre2"/>
    <w:autoRedefine/>
    <w:qFormat/>
    <w:rsid w:val="005D7DEC"/>
    <w:pPr>
      <w:tabs>
        <w:tab w:val="left" w:pos="567"/>
      </w:tabs>
      <w:jc w:val="both"/>
      <w:outlineLvl w:val="2"/>
    </w:pPr>
    <w:rPr>
      <w:rFonts w:ascii="Century Gothic" w:hAnsi="Century Gothic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4C0B25"/>
    <w:pPr>
      <w:tabs>
        <w:tab w:val="left" w:pos="660"/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uiPriority w:val="39"/>
    <w:rsid w:val="00C07BDF"/>
    <w:pPr>
      <w:tabs>
        <w:tab w:val="right" w:leader="dot" w:pos="9072"/>
      </w:tabs>
      <w:ind w:left="400"/>
    </w:pPr>
  </w:style>
  <w:style w:type="paragraph" w:customStyle="1" w:styleId="Style1">
    <w:name w:val="Style1"/>
    <w:basedOn w:val="Normal"/>
    <w:autoRedefine/>
    <w:rsid w:val="00E02C59"/>
    <w:pPr>
      <w:spacing w:line="360" w:lineRule="auto"/>
      <w:jc w:val="center"/>
    </w:pPr>
    <w:rPr>
      <w:rFonts w:ascii="Century Gothic" w:hAnsi="Century Gothic" w:cs="Arial"/>
      <w:b/>
      <w:sz w:val="24"/>
      <w:szCs w:val="24"/>
      <w:u w:val="single"/>
    </w:rPr>
  </w:style>
  <w:style w:type="paragraph" w:customStyle="1" w:styleId="Normal2">
    <w:name w:val="Normal2"/>
    <w:basedOn w:val="Normal"/>
    <w:autoRedefine/>
    <w:rsid w:val="006D1E2B"/>
    <w:rPr>
      <w:rFonts w:ascii="Century Gothic" w:hAnsi="Century Gothic"/>
      <w:sz w:val="22"/>
      <w:szCs w:val="22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10">
    <w:name w:val="titre 10"/>
    <w:basedOn w:val="Style1"/>
    <w:rsid w:val="00FA1748"/>
    <w:pPr>
      <w:ind w:left="851" w:firstLine="708"/>
      <w:jc w:val="left"/>
    </w:pPr>
    <w:rPr>
      <w:rFonts w:ascii="Arial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A1748"/>
    <w:pPr>
      <w:ind w:left="708"/>
      <w:jc w:val="left"/>
    </w:pPr>
    <w:rPr>
      <w:rFonts w:ascii="Times New Roman" w:hAnsi="Times New Roman"/>
      <w:color w:val="auto"/>
    </w:rPr>
  </w:style>
  <w:style w:type="paragraph" w:styleId="Corpsdetexte3">
    <w:name w:val="Body Text 3"/>
    <w:basedOn w:val="Normal"/>
    <w:link w:val="Corpsdetexte3Car"/>
    <w:semiHidden/>
    <w:unhideWhenUsed/>
    <w:rsid w:val="001B37E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1B37EF"/>
    <w:rPr>
      <w:rFonts w:ascii="Arial" w:hAnsi="Arial"/>
      <w:color w:val="000000"/>
      <w:sz w:val="16"/>
      <w:szCs w:val="16"/>
    </w:rPr>
  </w:style>
  <w:style w:type="paragraph" w:styleId="Notedebasdepage">
    <w:name w:val="footnote text"/>
    <w:basedOn w:val="Normal"/>
    <w:link w:val="NotedebasdepageCar"/>
    <w:rsid w:val="001B37EF"/>
    <w:pPr>
      <w:jc w:val="left"/>
    </w:pPr>
    <w:rPr>
      <w:rFonts w:ascii="Times New Roman" w:hAnsi="Times New Roman"/>
      <w:color w:val="auto"/>
    </w:rPr>
  </w:style>
  <w:style w:type="character" w:customStyle="1" w:styleId="NotedebasdepageCar">
    <w:name w:val="Note de bas de page Car"/>
    <w:basedOn w:val="Policepardfaut"/>
    <w:link w:val="Notedebasdepage"/>
    <w:rsid w:val="001B37EF"/>
  </w:style>
  <w:style w:type="paragraph" w:styleId="Textedebulles">
    <w:name w:val="Balloon Text"/>
    <w:basedOn w:val="Normal"/>
    <w:link w:val="TextedebullesCar"/>
    <w:semiHidden/>
    <w:unhideWhenUsed/>
    <w:rsid w:val="001F4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F49B5"/>
    <w:rPr>
      <w:rFonts w:ascii="Tahoma" w:hAnsi="Tahoma" w:cs="Tahoma"/>
      <w:color w:val="000000"/>
      <w:sz w:val="16"/>
      <w:szCs w:val="16"/>
    </w:rPr>
  </w:style>
  <w:style w:type="character" w:styleId="Lienhypertexte">
    <w:name w:val="Hyperlink"/>
    <w:basedOn w:val="Policepardfaut"/>
    <w:unhideWhenUsed/>
    <w:rsid w:val="00EA31B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semiHidden/>
    <w:unhideWhenUsed/>
    <w:rsid w:val="00EA31B1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62E4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En-tteCar">
    <w:name w:val="En-tête Car"/>
    <w:basedOn w:val="Policepardfaut"/>
    <w:link w:val="En-tte"/>
    <w:rsid w:val="00F94AE8"/>
    <w:rPr>
      <w:rFonts w:ascii="Arial" w:hAnsi="Arial"/>
      <w:color w:val="000000"/>
    </w:rPr>
  </w:style>
  <w:style w:type="character" w:styleId="Appelnotedebasdep">
    <w:name w:val="footnote reference"/>
    <w:rsid w:val="00F450A1"/>
    <w:rPr>
      <w:vertAlign w:val="superscript"/>
    </w:rPr>
  </w:style>
  <w:style w:type="table" w:styleId="Grilledutableau">
    <w:name w:val="Table Grid"/>
    <w:basedOn w:val="TableauNormal"/>
    <w:rsid w:val="00E30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4EA31-9D59-4E80-94EC-425453DB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4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creator>Nathalie_D</dc:creator>
  <cp:lastModifiedBy>FEUGA Jean-Francois</cp:lastModifiedBy>
  <cp:revision>179</cp:revision>
  <cp:lastPrinted>2024-11-13T10:51:00Z</cp:lastPrinted>
  <dcterms:created xsi:type="dcterms:W3CDTF">2022-04-19T06:35:00Z</dcterms:created>
  <dcterms:modified xsi:type="dcterms:W3CDTF">2025-02-19T14:35:00Z</dcterms:modified>
</cp:coreProperties>
</file>