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61CC3050" w14:textId="77777777" w:rsidR="00E91B7A" w:rsidRPr="00E91B7A" w:rsidRDefault="00E91B7A" w:rsidP="00E91B7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1B7A">
        <w:rPr>
          <w:rFonts w:ascii="Arial" w:hAnsi="Arial" w:cs="Arial"/>
          <w:b/>
          <w:sz w:val="24"/>
          <w:szCs w:val="24"/>
        </w:rPr>
        <w:t xml:space="preserve">MISSION DE MAITRISE D’ŒUVRE </w:t>
      </w:r>
    </w:p>
    <w:p w14:paraId="1EB7DC0D" w14:textId="77777777" w:rsidR="00E91B7A" w:rsidRDefault="00E91B7A" w:rsidP="00E91B7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1B7A">
        <w:rPr>
          <w:rFonts w:ascii="Arial" w:hAnsi="Arial" w:cs="Arial"/>
          <w:b/>
          <w:sz w:val="24"/>
          <w:szCs w:val="24"/>
        </w:rPr>
        <w:t xml:space="preserve">Installation d’une </w:t>
      </w:r>
      <w:proofErr w:type="spellStart"/>
      <w:r w:rsidRPr="00E91B7A">
        <w:rPr>
          <w:rFonts w:ascii="Arial" w:hAnsi="Arial" w:cs="Arial"/>
          <w:b/>
          <w:sz w:val="24"/>
          <w:szCs w:val="24"/>
        </w:rPr>
        <w:t>ombrière</w:t>
      </w:r>
      <w:proofErr w:type="spellEnd"/>
      <w:r w:rsidRPr="00E91B7A">
        <w:rPr>
          <w:rFonts w:ascii="Arial" w:hAnsi="Arial" w:cs="Arial"/>
          <w:b/>
          <w:sz w:val="24"/>
          <w:szCs w:val="24"/>
        </w:rPr>
        <w:t xml:space="preserve"> photovoltaïque sur le parking du siège de la CPAM de la Drôme</w:t>
      </w:r>
    </w:p>
    <w:p w14:paraId="7D01925B" w14:textId="27E42BB0" w:rsidR="00265ED4" w:rsidRPr="003319CC" w:rsidRDefault="00E91B7A" w:rsidP="00E91B7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Marché</w:t>
      </w:r>
      <w:r w:rsidR="00265ED4" w:rsidRPr="003319CC">
        <w:rPr>
          <w:rFonts w:ascii="Arial" w:hAnsi="Arial" w:cs="Arial"/>
          <w:b/>
          <w:sz w:val="24"/>
          <w:szCs w:val="24"/>
        </w:rPr>
        <w:t xml:space="preserve"> n° </w:t>
      </w:r>
      <w:r>
        <w:rPr>
          <w:rFonts w:ascii="Arial" w:hAnsi="Arial" w:cs="Arial"/>
          <w:b/>
          <w:sz w:val="24"/>
          <w:szCs w:val="24"/>
        </w:rPr>
        <w:t>2025-001</w:t>
      </w:r>
    </w:p>
    <w:p w14:paraId="4058AB03" w14:textId="77777777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5C7B256E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>CADRE DE REPONSE</w:t>
      </w:r>
      <w:r w:rsidR="00D14D30">
        <w:rPr>
          <w:rFonts w:ascii="Arial" w:hAnsi="Arial" w:cs="Arial"/>
          <w:b/>
          <w:sz w:val="24"/>
          <w:szCs w:val="24"/>
        </w:rPr>
        <w:t xml:space="preserve"> </w:t>
      </w:r>
      <w:r w:rsidR="007933F0">
        <w:rPr>
          <w:rFonts w:ascii="Arial" w:hAnsi="Arial" w:cs="Arial"/>
          <w:b/>
          <w:sz w:val="24"/>
          <w:szCs w:val="24"/>
        </w:rPr>
        <w:t>DES</w:t>
      </w:r>
      <w:r w:rsidR="00D14D30">
        <w:rPr>
          <w:rFonts w:ascii="Arial" w:hAnsi="Arial" w:cs="Arial"/>
          <w:b/>
          <w:sz w:val="24"/>
          <w:szCs w:val="24"/>
        </w:rPr>
        <w:t xml:space="preserve"> OFFRE</w:t>
      </w:r>
      <w:r w:rsidR="007933F0">
        <w:rPr>
          <w:rFonts w:ascii="Arial" w:hAnsi="Arial" w:cs="Arial"/>
          <w:b/>
          <w:sz w:val="24"/>
          <w:szCs w:val="24"/>
        </w:rPr>
        <w:t>S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6CD6F3D8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  <w:r w:rsidR="00F956C0">
        <w:rPr>
          <w:rFonts w:ascii="Arial" w:hAnsi="Arial" w:cs="Arial"/>
          <w:sz w:val="20"/>
          <w:szCs w:val="20"/>
        </w:rPr>
        <w:t xml:space="preserve"> </w:t>
      </w:r>
      <w:r w:rsidR="00F956C0" w:rsidRPr="00F956C0">
        <w:rPr>
          <w:rFonts w:ascii="Arial" w:hAnsi="Arial" w:cs="Arial"/>
          <w:sz w:val="20"/>
          <w:szCs w:val="20"/>
        </w:rPr>
        <w:t>La non remise de ce document sera éliminatoire.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5B93212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  <w:r w:rsidR="006131A1">
        <w:rPr>
          <w:rFonts w:ascii="Arial" w:hAnsi="Arial" w:cs="Arial"/>
          <w:b/>
          <w:sz w:val="20"/>
          <w:szCs w:val="20"/>
        </w:rPr>
        <w:t xml:space="preserve"> </w:t>
      </w:r>
      <w:r w:rsidR="006131A1"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43DC1D3A" w14:textId="29608D77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lastRenderedPageBreak/>
        <w:t>CADRE DE REPONSE – Mémoire 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7735FCF6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CRITERE 1 : VALEUR TECHNIQUE DE L’OFFRE (</w:t>
            </w:r>
            <w:r w:rsidR="0045574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0%)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0B6D1A0B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Sous critère 1 : Moyens et organisation de l’équipe dédiée en projet – sur 10 points </w:t>
            </w:r>
          </w:p>
          <w:p w14:paraId="7A31A605" w14:textId="77777777" w:rsidR="00E91B7A" w:rsidRPr="00E91B7A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Moyens humain et techniques proposés par l'équipe de maîtrise d'œuvre avec une présentation détaillée des profils, qualifications, compétences, expériences et rôles des intervenants),</w:t>
            </w:r>
          </w:p>
          <w:p w14:paraId="3BCD3AF2" w14:textId="26592EBE" w:rsidR="0045574A" w:rsidRPr="00D14D30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Organisation et fonctionnement de l'équipe.</w:t>
            </w: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860"/>
              <w:gridCol w:w="963"/>
              <w:gridCol w:w="992"/>
              <w:gridCol w:w="2715"/>
              <w:gridCol w:w="2693"/>
            </w:tblGrid>
            <w:tr w:rsidR="005022FB" w:rsidRPr="008E412A" w14:paraId="07423C71" w14:textId="77777777" w:rsidTr="005022FB">
              <w:trPr>
                <w:trHeight w:val="510"/>
              </w:trPr>
              <w:tc>
                <w:tcPr>
                  <w:tcW w:w="2860" w:type="dxa"/>
                  <w:noWrap/>
                  <w:vAlign w:val="center"/>
                  <w:hideMark/>
                </w:tcPr>
                <w:p w14:paraId="6F2ACFD9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COMPETENCES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5874BBEE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Oui</w:t>
                  </w: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115A7C4B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Non</w:t>
                  </w:r>
                </w:p>
              </w:tc>
              <w:tc>
                <w:tcPr>
                  <w:tcW w:w="2715" w:type="dxa"/>
                  <w:vAlign w:val="center"/>
                  <w:hideMark/>
                </w:tcPr>
                <w:p w14:paraId="575F1320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Entreprise</w:t>
                  </w:r>
                </w:p>
              </w:tc>
              <w:tc>
                <w:tcPr>
                  <w:tcW w:w="2693" w:type="dxa"/>
                  <w:vAlign w:val="center"/>
                  <w:hideMark/>
                </w:tcPr>
                <w:p w14:paraId="756D9035" w14:textId="77777777" w:rsidR="005022FB" w:rsidRPr="008E412A" w:rsidRDefault="005022FB" w:rsidP="005022FB">
                  <w:pPr>
                    <w:jc w:val="center"/>
                    <w:rPr>
                      <w:b/>
                      <w:bCs/>
                    </w:rPr>
                  </w:pPr>
                  <w:r w:rsidRPr="008E412A">
                    <w:rPr>
                      <w:b/>
                      <w:bCs/>
                    </w:rPr>
                    <w:t>Personne désignée</w:t>
                  </w:r>
                </w:p>
              </w:tc>
            </w:tr>
            <w:tr w:rsidR="005022FB" w:rsidRPr="008E412A" w14:paraId="3DD53253" w14:textId="77777777" w:rsidTr="00E91B7A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13155FD8" w14:textId="693F4515" w:rsidR="005022FB" w:rsidRPr="008E412A" w:rsidRDefault="00E91B7A" w:rsidP="00E91B7A">
                  <w:r w:rsidRPr="00554FC2">
                    <w:rPr>
                      <w:rFonts w:cs="Times New Roman"/>
                    </w:rPr>
                    <w:t xml:space="preserve">dimensionnement d’installations photovoltaïques 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360A9C10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5011ED4D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5AC9747E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7D86F796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0B2FEF55" w14:textId="77777777" w:rsidTr="00E91B7A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36F8654E" w14:textId="74034A4B" w:rsidR="005022FB" w:rsidRPr="008E412A" w:rsidRDefault="00E91B7A" w:rsidP="005022FB">
                  <w:r w:rsidRPr="00554FC2">
                    <w:rPr>
                      <w:rFonts w:cs="Times New Roman"/>
                    </w:rPr>
                    <w:t>ingénierie en électricité courant fort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7253424A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7F2312BB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7F9287E4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33742EB0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7A39A1C0" w14:textId="77777777" w:rsidTr="00E91B7A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48FD37BE" w14:textId="38BFED0C" w:rsidR="005022FB" w:rsidRPr="008E412A" w:rsidRDefault="00E91B7A" w:rsidP="005022FB">
                  <w:r w:rsidRPr="00554FC2">
                    <w:rPr>
                      <w:rFonts w:cs="Times New Roman"/>
                    </w:rPr>
                    <w:t>économiste de la construction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35503FC7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62AB8145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688B14F2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3AAF82CC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6E405310" w14:textId="77777777" w:rsidTr="00E91B7A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0FFF3432" w14:textId="4DBBB49B" w:rsidR="005022FB" w:rsidRPr="008E412A" w:rsidRDefault="00E91B7A" w:rsidP="005022FB">
                  <w:r w:rsidRPr="00554FC2">
                    <w:rPr>
                      <w:rFonts w:cs="Times New Roman"/>
                    </w:rPr>
                    <w:t>architecture (DPLG, DE ou équivalent) pour la prise en charge des déclarations d’urbanisme</w:t>
                  </w:r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4C8215F0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359085BC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04674635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08FD089E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49C1ECA5" w14:textId="77777777" w:rsidTr="005022FB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55A74866" w14:textId="5A7F5EAF" w:rsidR="005022FB" w:rsidRPr="008E412A" w:rsidRDefault="00E91B7A" w:rsidP="005022FB">
                  <w:r w:rsidRPr="00554FC2">
                    <w:rPr>
                      <w:rFonts w:cs="Times New Roman"/>
                    </w:rPr>
                    <w:t>étude et dimensionnement de structure béton/métallique/bois</w:t>
                  </w:r>
                </w:p>
              </w:tc>
              <w:tc>
                <w:tcPr>
                  <w:tcW w:w="963" w:type="dxa"/>
                  <w:noWrap/>
                  <w:vAlign w:val="center"/>
                </w:tcPr>
                <w:p w14:paraId="0D91577C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</w:tcPr>
                <w:p w14:paraId="1BD5EF24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</w:tcPr>
                <w:p w14:paraId="7943E94E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</w:tcPr>
                <w:p w14:paraId="3D5A3C23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5022FB" w:rsidRPr="008E412A" w14:paraId="77F7E9DD" w14:textId="77777777" w:rsidTr="00E91B7A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34BF7976" w14:textId="3BAFD4AF" w:rsidR="005022FB" w:rsidRPr="008E412A" w:rsidRDefault="00E91B7A" w:rsidP="005022FB">
                  <w:r w:rsidRPr="00554FC2">
                    <w:rPr>
                      <w:rFonts w:cs="Times New Roman"/>
                    </w:rPr>
                    <w:t>ingénierie géotechnique selon la norme NFP94-500 et investigations géotechniques in-situ pour définir les fondations adaptées pour les projets d’</w:t>
                  </w:r>
                  <w:proofErr w:type="spellStart"/>
                  <w:r w:rsidRPr="00554FC2">
                    <w:rPr>
                      <w:rFonts w:cs="Times New Roman"/>
                    </w:rPr>
                    <w:t>ombrières</w:t>
                  </w:r>
                  <w:proofErr w:type="spellEnd"/>
                </w:p>
              </w:tc>
              <w:tc>
                <w:tcPr>
                  <w:tcW w:w="963" w:type="dxa"/>
                  <w:noWrap/>
                  <w:vAlign w:val="center"/>
                  <w:hideMark/>
                </w:tcPr>
                <w:p w14:paraId="30A36608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  <w:hideMark/>
                </w:tcPr>
                <w:p w14:paraId="078E034C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  <w:hideMark/>
                </w:tcPr>
                <w:p w14:paraId="6E212B89" w14:textId="77777777" w:rsidR="005022FB" w:rsidRPr="008E412A" w:rsidRDefault="005022FB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  <w:hideMark/>
                </w:tcPr>
                <w:p w14:paraId="09901811" w14:textId="77777777" w:rsidR="005022FB" w:rsidRPr="008E412A" w:rsidRDefault="005022FB" w:rsidP="005022FB">
                  <w:pPr>
                    <w:jc w:val="center"/>
                  </w:pPr>
                </w:p>
              </w:tc>
            </w:tr>
            <w:tr w:rsidR="00E91B7A" w:rsidRPr="008E412A" w14:paraId="5B7652EA" w14:textId="77777777" w:rsidTr="005022FB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704A18A1" w14:textId="0D761D92" w:rsidR="00E91B7A" w:rsidRPr="008E412A" w:rsidRDefault="00E91B7A" w:rsidP="005022FB">
                  <w:r>
                    <w:rPr>
                      <w:rFonts w:cs="Times New Roman"/>
                    </w:rPr>
                    <w:t>m</w:t>
                  </w:r>
                  <w:r w:rsidRPr="00554FC2">
                    <w:rPr>
                      <w:rFonts w:cs="Times New Roman"/>
                    </w:rPr>
                    <w:t>aîtrise d’</w:t>
                  </w:r>
                  <w:proofErr w:type="spellStart"/>
                  <w:r w:rsidRPr="00554FC2">
                    <w:rPr>
                      <w:rFonts w:cs="Times New Roman"/>
                    </w:rPr>
                    <w:t>oeuvre</w:t>
                  </w:r>
                  <w:proofErr w:type="spellEnd"/>
                  <w:r w:rsidRPr="00554FC2">
                    <w:rPr>
                      <w:rFonts w:cs="Times New Roman"/>
                    </w:rPr>
                    <w:t xml:space="preserve"> avec désamiantage</w:t>
                  </w:r>
                </w:p>
              </w:tc>
              <w:tc>
                <w:tcPr>
                  <w:tcW w:w="963" w:type="dxa"/>
                  <w:noWrap/>
                  <w:vAlign w:val="center"/>
                </w:tcPr>
                <w:p w14:paraId="659FC9EE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</w:tcPr>
                <w:p w14:paraId="3E12899A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</w:tcPr>
                <w:p w14:paraId="6835A020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</w:tcPr>
                <w:p w14:paraId="6C4CDAE4" w14:textId="77777777" w:rsidR="00E91B7A" w:rsidRPr="008E412A" w:rsidRDefault="00E91B7A" w:rsidP="005022FB">
                  <w:pPr>
                    <w:jc w:val="center"/>
                  </w:pPr>
                </w:p>
              </w:tc>
            </w:tr>
            <w:tr w:rsidR="00E91B7A" w:rsidRPr="008E412A" w14:paraId="6D239527" w14:textId="77777777" w:rsidTr="005022FB">
              <w:trPr>
                <w:trHeight w:val="402"/>
              </w:trPr>
              <w:tc>
                <w:tcPr>
                  <w:tcW w:w="2860" w:type="dxa"/>
                  <w:noWrap/>
                  <w:vAlign w:val="center"/>
                </w:tcPr>
                <w:p w14:paraId="3E6AEEEB" w14:textId="3D601F54" w:rsidR="00E91B7A" w:rsidRPr="008E412A" w:rsidRDefault="00E91B7A" w:rsidP="005022FB">
                  <w:r w:rsidRPr="00554FC2">
                    <w:rPr>
                      <w:rFonts w:cs="Times New Roman"/>
                    </w:rPr>
                    <w:t>OPC pour l’organisation et le pilotage du chantier</w:t>
                  </w:r>
                </w:p>
              </w:tc>
              <w:tc>
                <w:tcPr>
                  <w:tcW w:w="963" w:type="dxa"/>
                  <w:noWrap/>
                  <w:vAlign w:val="center"/>
                </w:tcPr>
                <w:p w14:paraId="275C954C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992" w:type="dxa"/>
                  <w:noWrap/>
                  <w:vAlign w:val="center"/>
                </w:tcPr>
                <w:p w14:paraId="25D85BFA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2715" w:type="dxa"/>
                  <w:noWrap/>
                  <w:vAlign w:val="center"/>
                </w:tcPr>
                <w:p w14:paraId="784D57B7" w14:textId="77777777" w:rsidR="00E91B7A" w:rsidRPr="008E412A" w:rsidRDefault="00E91B7A" w:rsidP="005022FB">
                  <w:pPr>
                    <w:jc w:val="center"/>
                  </w:pPr>
                </w:p>
              </w:tc>
              <w:tc>
                <w:tcPr>
                  <w:tcW w:w="2693" w:type="dxa"/>
                  <w:noWrap/>
                  <w:vAlign w:val="center"/>
                </w:tcPr>
                <w:p w14:paraId="4A2AF5C6" w14:textId="77777777" w:rsidR="00E91B7A" w:rsidRPr="008E412A" w:rsidRDefault="00E91B7A" w:rsidP="005022FB">
                  <w:pPr>
                    <w:jc w:val="center"/>
                  </w:pPr>
                </w:p>
              </w:tc>
            </w:tr>
          </w:tbl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17526B5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FEC9BEE" w14:textId="56EEDDE6" w:rsidR="00056C69" w:rsidRDefault="00056C69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4C3A124" w14:textId="77777777" w:rsidR="00056C69" w:rsidRDefault="00056C69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ADB9625" w14:textId="31713BC4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>Sous critère 2 : Méthodologie de travail de l’équipe – sur 20 points :</w:t>
            </w:r>
          </w:p>
          <w:p w14:paraId="64830432" w14:textId="77777777" w:rsidR="00E91B7A" w:rsidRPr="00E91B7A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Avec les différents acteurs du projet et en particulier avec la maitrise d’ouvrage,</w:t>
            </w:r>
          </w:p>
          <w:p w14:paraId="26C49AF5" w14:textId="409FBD02" w:rsidR="0045574A" w:rsidRPr="0045574A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Pour réaliser les études (au-delà d’une paraphrase de la Loi MOP).</w:t>
            </w: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41116A16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C0398BB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D04809A" w14:textId="77777777" w:rsidR="00BC65D2" w:rsidRDefault="00BC65D2" w:rsidP="008D445F">
            <w:pPr>
              <w:pStyle w:val="RedTxt"/>
              <w:rPr>
                <w:sz w:val="20"/>
                <w:szCs w:val="20"/>
              </w:rPr>
            </w:pPr>
          </w:p>
          <w:p w14:paraId="5A88FCF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77777777" w:rsidR="006131A1" w:rsidRPr="003319CC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3AF1C90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Sous critère 3 : Compréhension des enjeux et contraintes du programme – sur 20 points : </w:t>
            </w:r>
          </w:p>
          <w:p w14:paraId="45667661" w14:textId="45F9E8C4" w:rsidR="0045574A" w:rsidRPr="006131A1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Réponse du candidat aux enjeux, ambitions et contraintes d'un point de vue architectural technique, et de la future exploitation-maintenance.</w:t>
            </w: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C1D0C3D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0497ED4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9F25BD0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58CB6DE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66A8FEA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A25312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17ECD5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9B958C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52CDB8D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B21EDD5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74AB488" w14:textId="77777777" w:rsidR="00BC65D2" w:rsidRDefault="00BC65D2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53EE3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22CB038D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A90727" w:rsidRPr="003319CC" w14:paraId="0D24445E" w14:textId="77777777" w:rsidTr="00A90727">
        <w:tblPrEx>
          <w:jc w:val="left"/>
        </w:tblPrEx>
        <w:trPr>
          <w:trHeight w:val="454"/>
        </w:trPr>
        <w:tc>
          <w:tcPr>
            <w:tcW w:w="10799" w:type="dxa"/>
            <w:shd w:val="clear" w:color="auto" w:fill="B8CCE4" w:themeFill="accent1" w:themeFillTint="66"/>
          </w:tcPr>
          <w:p w14:paraId="682D1B0E" w14:textId="77777777" w:rsidR="00B672FA" w:rsidRPr="00B672FA" w:rsidRDefault="00B672FA" w:rsidP="00B672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lastRenderedPageBreak/>
              <w:t>Sous critèr</w:t>
            </w:r>
            <w:bookmarkStart w:id="0" w:name="_GoBack"/>
            <w:bookmarkEnd w:id="0"/>
            <w:r w:rsidRPr="00B672F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e 4 : Délais et Budget – sur 10 points : </w:t>
            </w:r>
          </w:p>
          <w:p w14:paraId="6239C1AC" w14:textId="77777777" w:rsidR="00E91B7A" w:rsidRPr="00E91B7A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Méthodologie pour le pilotage temporel du projet : un exemple-type de planning d’opération devra être fournit pour juger la capacité du candidat à conduire l’opération.</w:t>
            </w:r>
          </w:p>
          <w:p w14:paraId="1BF124FA" w14:textId="5CC7DCA4" w:rsidR="00A90727" w:rsidRPr="006131A1" w:rsidRDefault="00E91B7A" w:rsidP="00E91B7A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91B7A">
              <w:rPr>
                <w:rFonts w:ascii="Arial" w:hAnsi="Arial" w:cs="Arial"/>
                <w:i/>
                <w:iCs/>
                <w:sz w:val="20"/>
                <w:szCs w:val="20"/>
              </w:rPr>
              <w:t>Méthodologie proposée pour respecter l'enveloppe budgétaire allouée au projet et en particulier les outils utilisés pour maitriser les couts de l’opération.</w:t>
            </w:r>
          </w:p>
        </w:tc>
      </w:tr>
      <w:tr w:rsidR="00A90727" w:rsidRPr="003319CC" w14:paraId="4607AA2E" w14:textId="77777777" w:rsidTr="00A90727">
        <w:tblPrEx>
          <w:jc w:val="left"/>
        </w:tblPrEx>
        <w:trPr>
          <w:trHeight w:val="907"/>
        </w:trPr>
        <w:tc>
          <w:tcPr>
            <w:tcW w:w="10799" w:type="dxa"/>
          </w:tcPr>
          <w:p w14:paraId="435F90CE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44313B1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573382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5FE3A3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CCE9D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D9AB05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D5DB472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9ED89CD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E5EB659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B795A35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9093D12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1F49560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375F59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184FC7F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6F5E6B8" w14:textId="77777777" w:rsidR="00BC65D2" w:rsidRDefault="00BC65D2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2E6083F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51EBCD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286F4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B93877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8EC74C1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E8A88EC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B850D03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776270F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AC9CC9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</w:tbl>
    <w:p w14:paraId="3E93DBBE" w14:textId="7E0D19D8" w:rsidR="00557C42" w:rsidRPr="003319CC" w:rsidRDefault="00557C42" w:rsidP="002A7FFA">
      <w:pPr>
        <w:rPr>
          <w:rFonts w:ascii="Arial" w:hAnsi="Arial" w:cs="Arial"/>
          <w:b/>
          <w:sz w:val="24"/>
          <w:szCs w:val="24"/>
        </w:rPr>
      </w:pPr>
    </w:p>
    <w:p w14:paraId="4C150550" w14:textId="5D79A9FF" w:rsidR="00FB3CBA" w:rsidRPr="003319CC" w:rsidRDefault="00FB3CBA" w:rsidP="002A7FFA">
      <w:pPr>
        <w:rPr>
          <w:rFonts w:ascii="Arial" w:hAnsi="Arial" w:cs="Arial"/>
          <w:b/>
          <w:sz w:val="24"/>
          <w:szCs w:val="24"/>
        </w:rPr>
      </w:pPr>
    </w:p>
    <w:p w14:paraId="5FB5A984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2D6B70B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6E2C319E" w14:textId="02A1179C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</w:p>
    <w:sectPr w:rsidR="006131A1" w:rsidRPr="006131A1" w:rsidSect="00BC4289">
      <w:headerReference w:type="default" r:id="rId8"/>
      <w:footerReference w:type="default" r:id="rId9"/>
      <w:pgSz w:w="11906" w:h="16838"/>
      <w:pgMar w:top="720" w:right="720" w:bottom="720" w:left="720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739EFD91" w14:textId="79A16DA9" w:rsidR="00E30CA3" w:rsidRPr="00DA20D6" w:rsidRDefault="00E91B7A" w:rsidP="00063D46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sz w:val="16"/>
        <w:szCs w:val="16"/>
      </w:rPr>
      <w:t>Marché</w:t>
    </w:r>
    <w:r w:rsidR="00E30CA3" w:rsidRPr="0045574A">
      <w:rPr>
        <w:sz w:val="16"/>
        <w:szCs w:val="16"/>
      </w:rPr>
      <w:t xml:space="preserve"> n° </w:t>
    </w:r>
    <w:r>
      <w:rPr>
        <w:sz w:val="16"/>
        <w:szCs w:val="16"/>
      </w:rPr>
      <w:t>2025-001</w:t>
    </w:r>
    <w:r w:rsidR="00E30CA3" w:rsidRPr="0045574A">
      <w:rPr>
        <w:sz w:val="16"/>
        <w:szCs w:val="16"/>
      </w:rPr>
      <w:t xml:space="preserve"> - Mission </w:t>
    </w:r>
    <w:r w:rsidR="0045574A" w:rsidRPr="0045574A">
      <w:rPr>
        <w:sz w:val="16"/>
        <w:szCs w:val="16"/>
      </w:rPr>
      <w:t>de maitrise d’œuvre</w:t>
    </w:r>
    <w:r w:rsidR="00BC0058">
      <w:rPr>
        <w:sz w:val="16"/>
        <w:szCs w:val="16"/>
      </w:rPr>
      <w:t xml:space="preserve"> </w:t>
    </w:r>
    <w:r w:rsidR="00515CF5">
      <w:rPr>
        <w:sz w:val="16"/>
        <w:szCs w:val="16"/>
      </w:rPr>
      <w:tab/>
    </w:r>
    <w:r w:rsidR="00515CF5">
      <w:rPr>
        <w:sz w:val="16"/>
        <w:szCs w:val="16"/>
      </w:rPr>
      <w:tab/>
    </w:r>
    <w:r w:rsidR="00BC0058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 w:rsidRPr="00E30CA3">
      <w:rPr>
        <w:sz w:val="16"/>
        <w:szCs w:val="16"/>
      </w:rPr>
      <w:fldChar w:fldCharType="begin"/>
    </w:r>
    <w:r w:rsidR="00E30CA3" w:rsidRPr="00E30CA3">
      <w:rPr>
        <w:sz w:val="16"/>
        <w:szCs w:val="16"/>
      </w:rPr>
      <w:instrText>PAGE   \* MERGEFORMAT</w:instrText>
    </w:r>
    <w:r w:rsidR="00E30CA3" w:rsidRPr="00E30CA3">
      <w:rPr>
        <w:sz w:val="16"/>
        <w:szCs w:val="16"/>
      </w:rPr>
      <w:fldChar w:fldCharType="separate"/>
    </w:r>
    <w:r w:rsidR="00056C69">
      <w:rPr>
        <w:noProof/>
        <w:sz w:val="16"/>
        <w:szCs w:val="16"/>
      </w:rPr>
      <w:t>1</w:t>
    </w:r>
    <w:r w:rsidR="00E30CA3" w:rsidRPr="00E30CA3">
      <w:rPr>
        <w:sz w:val="16"/>
        <w:szCs w:val="16"/>
      </w:rPr>
      <w:fldChar w:fldCharType="end"/>
    </w:r>
  </w:p>
  <w:p w14:paraId="0767E9FB" w14:textId="51C8FE51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  <w:r>
      <w:rPr>
        <w:sz w:val="16"/>
        <w:szCs w:val="16"/>
      </w:rPr>
      <w:t>CADRE DE REPONSE</w:t>
    </w:r>
    <w:r w:rsidR="006131A1">
      <w:rPr>
        <w:sz w:val="16"/>
        <w:szCs w:val="16"/>
      </w:rPr>
      <w:t xml:space="preserve"> - OFFRE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6BA6875" w:rsidR="00E30CA3" w:rsidRDefault="00BC4289" w:rsidP="00BC4289">
    <w:pPr>
      <w:pStyle w:val="En-tte"/>
      <w:tabs>
        <w:tab w:val="clear" w:pos="4536"/>
        <w:tab w:val="clear" w:pos="9072"/>
      </w:tabs>
    </w:pPr>
    <w:r>
      <w:rPr>
        <w:noProof/>
        <w:lang w:eastAsia="fr-FR"/>
      </w:rPr>
      <w:drawing>
        <wp:inline distT="0" distB="0" distL="0" distR="0" wp14:anchorId="3C9A30DD" wp14:editId="025160A3">
          <wp:extent cx="3645535" cy="12922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535" cy="1292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"/>
  </w:num>
  <w:num w:numId="10">
    <w:abstractNumId w:val="14"/>
  </w:num>
  <w:num w:numId="11">
    <w:abstractNumId w:val="1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56C69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2173AE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319CC"/>
    <w:rsid w:val="0034315B"/>
    <w:rsid w:val="00376130"/>
    <w:rsid w:val="003864E2"/>
    <w:rsid w:val="00386BA6"/>
    <w:rsid w:val="003B3FEE"/>
    <w:rsid w:val="003C6AE7"/>
    <w:rsid w:val="003D55BD"/>
    <w:rsid w:val="003E6A9E"/>
    <w:rsid w:val="003F6350"/>
    <w:rsid w:val="00413EF5"/>
    <w:rsid w:val="0045574A"/>
    <w:rsid w:val="0046075B"/>
    <w:rsid w:val="00463FDC"/>
    <w:rsid w:val="004876D9"/>
    <w:rsid w:val="00496EE6"/>
    <w:rsid w:val="005013A8"/>
    <w:rsid w:val="005022FB"/>
    <w:rsid w:val="00515CF5"/>
    <w:rsid w:val="0055292F"/>
    <w:rsid w:val="00557C42"/>
    <w:rsid w:val="00563FF0"/>
    <w:rsid w:val="00566BFC"/>
    <w:rsid w:val="00580B4B"/>
    <w:rsid w:val="005A2250"/>
    <w:rsid w:val="005B47B1"/>
    <w:rsid w:val="005D2FEB"/>
    <w:rsid w:val="005F483D"/>
    <w:rsid w:val="006131A1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32EF0"/>
    <w:rsid w:val="00843280"/>
    <w:rsid w:val="008444B9"/>
    <w:rsid w:val="008568E1"/>
    <w:rsid w:val="00866F7C"/>
    <w:rsid w:val="008C3787"/>
    <w:rsid w:val="008E6E49"/>
    <w:rsid w:val="008F6C43"/>
    <w:rsid w:val="00906A7F"/>
    <w:rsid w:val="00947077"/>
    <w:rsid w:val="009741BE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B249AF"/>
    <w:rsid w:val="00B672FA"/>
    <w:rsid w:val="00B674C4"/>
    <w:rsid w:val="00B73355"/>
    <w:rsid w:val="00BC0058"/>
    <w:rsid w:val="00BC4289"/>
    <w:rsid w:val="00BC65D2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91B7A"/>
    <w:rsid w:val="00EB3572"/>
    <w:rsid w:val="00EB6488"/>
    <w:rsid w:val="00ED7150"/>
    <w:rsid w:val="00EF7BC9"/>
    <w:rsid w:val="00F444DF"/>
    <w:rsid w:val="00F72920"/>
    <w:rsid w:val="00F83D66"/>
    <w:rsid w:val="00F8751F"/>
    <w:rsid w:val="00F956C0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1E94B-FC05-485E-BBFA-47AD24523B6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LAUMONIER NICOLAS (CPAM DROME)</cp:lastModifiedBy>
  <cp:revision>8</cp:revision>
  <cp:lastPrinted>2021-04-16T09:02:00Z</cp:lastPrinted>
  <dcterms:created xsi:type="dcterms:W3CDTF">2024-08-06T13:36:00Z</dcterms:created>
  <dcterms:modified xsi:type="dcterms:W3CDTF">2025-02-19T07:56:00Z</dcterms:modified>
</cp:coreProperties>
</file>