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0510B0">
        <w:tc>
          <w:tcPr>
            <w:tcW w:w="9284" w:type="dxa"/>
            <w:tcBorders>
              <w:top w:val="nil"/>
              <w:left w:val="nil"/>
              <w:bottom w:val="nil"/>
              <w:right w:val="nil"/>
            </w:tcBorders>
            <w:shd w:val="clear" w:color="auto" w:fill="C6D9F1"/>
          </w:tcPr>
          <w:p w:rsidR="000510B0" w:rsidRDefault="000510B0">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r>
              <w:rPr>
                <w:rFonts w:ascii="Arial" w:hAnsi="Arial" w:cs="Arial"/>
                <w:b/>
                <w:bCs/>
                <w:color w:val="000000"/>
                <w:sz w:val="24"/>
                <w:szCs w:val="24"/>
              </w:rPr>
              <w:t>MARCHES PUBLICS</w:t>
            </w:r>
          </w:p>
          <w:p w:rsidR="000510B0" w:rsidRDefault="000510B0">
            <w:pPr>
              <w:widowControl w:val="0"/>
              <w:autoSpaceDE w:val="0"/>
              <w:autoSpaceDN w:val="0"/>
              <w:adjustRightInd w:val="0"/>
              <w:spacing w:after="0" w:line="240" w:lineRule="auto"/>
              <w:ind w:left="108" w:right="104"/>
              <w:jc w:val="center"/>
              <w:rPr>
                <w:rFonts w:ascii="Arial" w:hAnsi="Arial" w:cs="Arial"/>
                <w:color w:val="000000"/>
                <w:sz w:val="24"/>
                <w:szCs w:val="24"/>
              </w:rPr>
            </w:pPr>
          </w:p>
          <w:p w:rsidR="000510B0" w:rsidRDefault="000510B0">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rsidR="000510B0" w:rsidRDefault="000510B0">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rsidR="000510B0" w:rsidRDefault="000510B0">
      <w:pPr>
        <w:keepNext/>
        <w:widowControl w:val="0"/>
        <w:autoSpaceDE w:val="0"/>
        <w:autoSpaceDN w:val="0"/>
        <w:adjustRightInd w:val="0"/>
        <w:spacing w:after="0" w:line="240" w:lineRule="auto"/>
        <w:ind w:left="111" w:right="104"/>
        <w:jc w:val="both"/>
        <w:rPr>
          <w:rFonts w:ascii="Arial" w:hAnsi="Arial" w:cs="Arial"/>
          <w:color w:val="000000"/>
          <w:sz w:val="18"/>
          <w:szCs w:val="18"/>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0510B0" w:rsidRDefault="000510B0">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rsidR="000510B0" w:rsidRPr="00244B46" w:rsidRDefault="000510B0"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sidRPr="00244B46">
        <w:rPr>
          <w:rFonts w:ascii="Arial" w:hAnsi="Arial" w:cs="Arial"/>
          <w:b/>
          <w:i/>
          <w:color w:val="000000"/>
          <w:sz w:val="20"/>
          <w:szCs w:val="20"/>
        </w:rPr>
        <w:t>Université Lumière Lyon 2</w:t>
      </w:r>
    </w:p>
    <w:p w:rsidR="000510B0" w:rsidRPr="00244B46" w:rsidRDefault="00286C56" w:rsidP="00244B46">
      <w:pPr>
        <w:widowControl w:val="0"/>
        <w:tabs>
          <w:tab w:val="left" w:pos="392"/>
        </w:tabs>
        <w:autoSpaceDE w:val="0"/>
        <w:autoSpaceDN w:val="0"/>
        <w:adjustRightInd w:val="0"/>
        <w:spacing w:after="0" w:line="240" w:lineRule="auto"/>
        <w:ind w:left="111" w:right="104"/>
        <w:jc w:val="center"/>
        <w:rPr>
          <w:rFonts w:ascii="Arial" w:hAnsi="Arial" w:cs="Arial"/>
          <w:b/>
          <w:i/>
          <w:sz w:val="24"/>
          <w:szCs w:val="24"/>
        </w:rPr>
      </w:pPr>
      <w:r>
        <w:rPr>
          <w:rFonts w:ascii="Arial" w:hAnsi="Arial" w:cs="Arial"/>
          <w:b/>
          <w:i/>
          <w:color w:val="000000"/>
          <w:sz w:val="20"/>
          <w:szCs w:val="20"/>
        </w:rPr>
        <w:t>18 quai Claude Bernard</w:t>
      </w:r>
    </w:p>
    <w:p w:rsidR="000510B0" w:rsidRPr="00244B46" w:rsidRDefault="000510B0" w:rsidP="00244B46">
      <w:pPr>
        <w:widowControl w:val="0"/>
        <w:autoSpaceDE w:val="0"/>
        <w:autoSpaceDN w:val="0"/>
        <w:adjustRightInd w:val="0"/>
        <w:spacing w:after="0" w:line="240" w:lineRule="auto"/>
        <w:ind w:left="97" w:right="104"/>
        <w:jc w:val="center"/>
        <w:rPr>
          <w:rFonts w:ascii="Arial" w:hAnsi="Arial" w:cs="Arial"/>
          <w:b/>
          <w:i/>
          <w:sz w:val="24"/>
          <w:szCs w:val="24"/>
        </w:rPr>
      </w:pPr>
      <w:r w:rsidRPr="00244B46">
        <w:rPr>
          <w:rFonts w:ascii="Arial" w:hAnsi="Arial" w:cs="Arial"/>
          <w:b/>
          <w:i/>
          <w:color w:val="000000"/>
          <w:sz w:val="20"/>
          <w:szCs w:val="20"/>
        </w:rPr>
        <w:t xml:space="preserve">69007 </w:t>
      </w:r>
      <w:r w:rsidR="00244B46" w:rsidRPr="00244B46">
        <w:rPr>
          <w:rFonts w:ascii="Arial" w:hAnsi="Arial" w:cs="Arial"/>
          <w:b/>
          <w:i/>
          <w:color w:val="000000"/>
          <w:sz w:val="20"/>
          <w:szCs w:val="20"/>
        </w:rPr>
        <w:t>Lyon</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D606DC">
      <w:pPr>
        <w:widowControl w:val="0"/>
        <w:tabs>
          <w:tab w:val="left" w:pos="108"/>
          <w:tab w:val="left" w:pos="534"/>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Consultation n° </w:t>
      </w:r>
      <w:r w:rsidR="00B10BF2">
        <w:rPr>
          <w:rFonts w:ascii="Arial" w:hAnsi="Arial" w:cs="Arial"/>
          <w:color w:val="000000"/>
          <w:sz w:val="20"/>
          <w:szCs w:val="20"/>
        </w:rPr>
        <w:t>2025S25001</w:t>
      </w:r>
      <w:r w:rsidR="00AD709E">
        <w:rPr>
          <w:rFonts w:ascii="Arial" w:hAnsi="Arial" w:cs="Arial"/>
          <w:color w:val="000000"/>
          <w:sz w:val="20"/>
          <w:szCs w:val="20"/>
        </w:rPr>
        <w:t xml:space="preserve"> – </w:t>
      </w:r>
      <w:r w:rsidR="00B10BF2">
        <w:rPr>
          <w:rFonts w:ascii="Arial" w:hAnsi="Arial" w:cs="Arial"/>
          <w:color w:val="000000"/>
          <w:sz w:val="20"/>
          <w:szCs w:val="20"/>
        </w:rPr>
        <w:t>Nettoyage des vitres</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rsidR="000510B0" w:rsidRDefault="000510B0">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0510B0">
        <w:tc>
          <w:tcPr>
            <w:tcW w:w="9645" w:type="dxa"/>
            <w:gridSpan w:val="3"/>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0510B0">
        <w:tc>
          <w:tcPr>
            <w:tcW w:w="9645" w:type="dxa"/>
            <w:gridSpan w:val="3"/>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w:t>
            </w:r>
            <w:r>
              <w:rPr>
                <w:rFonts w:ascii="Arial" w:hAnsi="Arial" w:cs="Arial"/>
                <w:i/>
                <w:iCs/>
                <w:color w:val="000000"/>
                <w:sz w:val="18"/>
                <w:szCs w:val="18"/>
              </w:rPr>
              <w:t>(en cas d’allotissement)</w:t>
            </w:r>
          </w:p>
        </w:tc>
      </w:tr>
      <w:tr w:rsidR="000510B0">
        <w:tc>
          <w:tcPr>
            <w:tcW w:w="273"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rsidP="00D1713B">
      <w:pPr>
        <w:widowControl w:val="0"/>
        <w:autoSpaceDE w:val="0"/>
        <w:autoSpaceDN w:val="0"/>
        <w:adjustRightInd w:val="0"/>
        <w:spacing w:after="0" w:line="240" w:lineRule="auto"/>
        <w:ind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D - Présentation du candidat.</w:t>
            </w:r>
          </w:p>
        </w:tc>
      </w:tr>
    </w:tbl>
    <w:p w:rsidR="000510B0" w:rsidRDefault="000510B0">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0510B0">
        <w:tc>
          <w:tcPr>
            <w:tcW w:w="9645" w:type="dxa"/>
            <w:gridSpan w:val="7"/>
            <w:tcBorders>
              <w:top w:val="nil"/>
              <w:left w:val="nil"/>
              <w:bottom w:val="nil"/>
              <w:right w:val="nil"/>
            </w:tcBorders>
            <w:shd w:val="clear" w:color="auto" w:fill="FFFFFF"/>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7"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0510B0">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510B0" w:rsidRDefault="000510B0">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0510B0">
        <w:tc>
          <w:tcPr>
            <w:tcW w:w="273" w:type="dxa"/>
            <w:vMerge w:val="restart"/>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r w:rsidR="000510B0">
        <w:tc>
          <w:tcPr>
            <w:tcW w:w="273" w:type="dxa"/>
            <w:vMerge/>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0510B0">
        <w:tc>
          <w:tcPr>
            <w:tcW w:w="273"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p>
        </w:tc>
      </w:tr>
      <w:tr w:rsidR="000510B0">
        <w:tc>
          <w:tcPr>
            <w:tcW w:w="273"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0510B0">
        <w:tc>
          <w:tcPr>
            <w:tcW w:w="9645" w:type="dxa"/>
            <w:gridSpan w:val="7"/>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r>
      <w:tr w:rsidR="000510B0">
        <w:tc>
          <w:tcPr>
            <w:tcW w:w="567" w:type="dxa"/>
            <w:gridSpan w:val="2"/>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510B0" w:rsidRDefault="000510B0">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rsidR="000510B0" w:rsidRDefault="000510B0">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0510B0">
        <w:tc>
          <w:tcPr>
            <w:tcW w:w="534"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08"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rsidR="000510B0" w:rsidRDefault="000510B0">
            <w:pPr>
              <w:widowControl w:val="0"/>
              <w:autoSpaceDE w:val="0"/>
              <w:autoSpaceDN w:val="0"/>
              <w:adjustRightInd w:val="0"/>
              <w:spacing w:after="0" w:line="240" w:lineRule="auto"/>
              <w:ind w:left="108" w:right="94"/>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0510B0" w:rsidRDefault="000510B0">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0510B0" w:rsidRDefault="000510B0">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des</w:t>
            </w:r>
            <w:proofErr w:type="gramEnd"/>
            <w:r>
              <w:rPr>
                <w:rFonts w:ascii="Arial" w:hAnsi="Arial" w:cs="Arial"/>
                <w:b/>
                <w:bCs/>
                <w:color w:val="000000"/>
                <w:sz w:val="20"/>
                <w:szCs w:val="20"/>
              </w:rPr>
              <w:t xml:space="preserve"> membres du groupement (***)</w:t>
            </w:r>
          </w:p>
          <w:p w:rsidR="000510B0" w:rsidRDefault="000510B0">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0510B0" w:rsidRDefault="000510B0">
            <w:pPr>
              <w:keepNext/>
              <w:widowControl w:val="0"/>
              <w:autoSpaceDE w:val="0"/>
              <w:autoSpaceDN w:val="0"/>
              <w:adjustRightInd w:val="0"/>
              <w:spacing w:after="0" w:line="240" w:lineRule="auto"/>
              <w:ind w:left="113" w:right="94"/>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113" w:right="94"/>
              <w:rPr>
                <w:rFonts w:ascii="Times New Roman" w:hAnsi="Times New Roman"/>
                <w:color w:val="000000"/>
                <w:sz w:val="20"/>
                <w:szCs w:val="20"/>
              </w:rPr>
            </w:pPr>
          </w:p>
          <w:p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0510B0">
        <w:tc>
          <w:tcPr>
            <w:tcW w:w="534" w:type="dxa"/>
            <w:tcBorders>
              <w:top w:val="single" w:sz="4" w:space="0" w:color="000000"/>
              <w:left w:val="single" w:sz="4" w:space="0" w:color="000000"/>
              <w:bottom w:val="nil"/>
              <w:right w:val="single" w:sz="4" w:space="0" w:color="000000"/>
            </w:tcBorders>
            <w:shd w:val="clear" w:color="auto" w:fill="F2F2F2"/>
          </w:tcPr>
          <w:p w:rsidR="000510B0" w:rsidRDefault="000510B0">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c>
          <w:tcPr>
            <w:tcW w:w="534"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c>
          <w:tcPr>
            <w:tcW w:w="534"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r w:rsidR="000510B0">
        <w:tc>
          <w:tcPr>
            <w:tcW w:w="534"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rsidR="000510B0" w:rsidRDefault="000510B0">
            <w:pPr>
              <w:widowControl w:val="0"/>
              <w:autoSpaceDE w:val="0"/>
              <w:autoSpaceDN w:val="0"/>
              <w:adjustRightInd w:val="0"/>
              <w:spacing w:after="0" w:line="240" w:lineRule="auto"/>
              <w:ind w:left="122" w:right="83"/>
              <w:jc w:val="both"/>
              <w:rPr>
                <w:rFonts w:ascii="Arial" w:hAnsi="Arial" w:cs="Arial"/>
                <w:sz w:val="24"/>
                <w:szCs w:val="24"/>
              </w:rPr>
            </w:pPr>
          </w:p>
        </w:tc>
      </w:tr>
    </w:tbl>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Pour les groupements conjoints. Lorsque la candidature est présentée sous forme de groupement solidaire, le renseignement de cette rubrique est inutile.</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8" w:tgtFrame="_blank" w:history="1">
        <w:r>
          <w:rPr>
            <w:rFonts w:ascii="Arial" w:hAnsi="Arial" w:cs="Arial"/>
            <w:color w:val="0000FF"/>
            <w:sz w:val="18"/>
            <w:szCs w:val="18"/>
            <w:u w:val="single"/>
          </w:rPr>
          <w:t>ICD</w:t>
        </w:r>
      </w:hyperlink>
      <w:r>
        <w:rPr>
          <w:rFonts w:ascii="Arial" w:hAnsi="Arial" w:cs="Arial"/>
          <w:color w:val="000000"/>
          <w:sz w:val="18"/>
          <w:szCs w:val="18"/>
        </w:rPr>
        <w:t>.</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rsidR="000510B0" w:rsidRDefault="000510B0">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autre que de défense ou de sécurité, ne pas entrer dans l’un des cas d’exclusion prévus aux articles L. 2141-1 à</w:t>
      </w:r>
      <w:bookmarkStart w:id="0" w:name="_GoBack"/>
      <w:bookmarkEnd w:id="0"/>
      <w:r>
        <w:rPr>
          <w:rFonts w:ascii="Arial" w:hAnsi="Arial" w:cs="Arial"/>
          <w:color w:val="000000"/>
          <w:sz w:val="20"/>
          <w:szCs w:val="20"/>
        </w:rPr>
        <w:t xml:space="preserve"> L. 2141-5 ou aux articles L. 2141-7 à L. 2141-10 du code de la commande publique (*) ;</w:t>
      </w:r>
    </w:p>
    <w:p w:rsidR="000510B0" w:rsidRDefault="000510B0">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rsidR="000510B0" w:rsidRDefault="000510B0">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0510B0">
        <w:tc>
          <w:tcPr>
            <w:tcW w:w="9781" w:type="dxa"/>
            <w:vMerge w:val="restart"/>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08" w:right="107"/>
              <w:rPr>
                <w:rFonts w:ascii="Arial" w:hAnsi="Arial" w:cs="Arial"/>
                <w:sz w:val="24"/>
                <w:szCs w:val="24"/>
              </w:rPr>
            </w:pPr>
            <w:r>
              <w:rPr>
                <w:rFonts w:ascii="Arial" w:hAnsi="Arial"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autoSpaceDE w:val="0"/>
              <w:autoSpaceDN w:val="0"/>
              <w:adjustRightInd w:val="0"/>
              <w:spacing w:after="0" w:line="240" w:lineRule="auto"/>
              <w:ind w:left="108" w:right="107"/>
              <w:rPr>
                <w:rFonts w:ascii="Arial" w:hAnsi="Arial" w:cs="Arial"/>
                <w:sz w:val="24"/>
                <w:szCs w:val="24"/>
              </w:rPr>
            </w:pPr>
          </w:p>
        </w:tc>
      </w:tr>
      <w:tr w:rsidR="000510B0">
        <w:tc>
          <w:tcPr>
            <w:tcW w:w="9781" w:type="dxa"/>
            <w:vMerge/>
            <w:tcBorders>
              <w:top w:val="nil"/>
              <w:left w:val="nil"/>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lastRenderedPageBreak/>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hAnsi="Arial" w:cs="Arial"/>
          <w:color w:val="000000"/>
          <w:sz w:val="18"/>
          <w:szCs w:val="18"/>
        </w:rPr>
        <w:t>3  du</w:t>
      </w:r>
      <w:proofErr w:type="gramEnd"/>
      <w:r>
        <w:rPr>
          <w:rFonts w:ascii="Arial" w:hAnsi="Arial" w:cs="Arial"/>
          <w:color w:val="000000"/>
          <w:sz w:val="18"/>
          <w:szCs w:val="18"/>
        </w:rPr>
        <w:t xml:space="preserve"> code de la commande publique, il informe sans délai l'acheteur de ce changement de situation.</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0510B0">
        <w:tc>
          <w:tcPr>
            <w:tcW w:w="322"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rsidR="000510B0" w:rsidRDefault="000510B0">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0510B0">
        <w:tc>
          <w:tcPr>
            <w:tcW w:w="322"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r>
    </w:tbl>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510B0" w:rsidRDefault="000510B0">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510B0">
        <w:tc>
          <w:tcPr>
            <w:tcW w:w="10276" w:type="dxa"/>
            <w:tcBorders>
              <w:top w:val="nil"/>
              <w:left w:val="nil"/>
              <w:bottom w:val="nil"/>
              <w:right w:val="nil"/>
            </w:tcBorders>
            <w:shd w:val="clear" w:color="auto" w:fill="C6D9F1"/>
          </w:tcPr>
          <w:p w:rsidR="000510B0" w:rsidRDefault="000510B0">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Désignation du mandataire (en cas de groupement).</w:t>
            </w:r>
          </w:p>
        </w:tc>
      </w:tr>
    </w:tbl>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sz w:val="20"/>
            <w:szCs w:val="20"/>
            <w:u w:val="single"/>
          </w:rPr>
          <w:t>ICD</w:t>
        </w:r>
      </w:hyperlink>
      <w:r>
        <w:rPr>
          <w:rFonts w:ascii="Arial" w:hAnsi="Arial" w:cs="Arial"/>
          <w:color w:val="000000"/>
          <w:sz w:val="20"/>
          <w:szCs w:val="20"/>
        </w:rPr>
        <w:t> :</w:t>
      </w:r>
    </w:p>
    <w:p w:rsidR="000510B0" w:rsidRDefault="000510B0">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0510B0" w:rsidRDefault="000510B0">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rsidR="000510B0" w:rsidRDefault="000510B0">
      <w:pPr>
        <w:widowControl w:val="0"/>
        <w:autoSpaceDE w:val="0"/>
        <w:autoSpaceDN w:val="0"/>
        <w:adjustRightInd w:val="0"/>
        <w:spacing w:after="0" w:line="240" w:lineRule="auto"/>
        <w:ind w:left="111" w:right="104"/>
        <w:rPr>
          <w:rFonts w:ascii="Arial" w:hAnsi="Arial" w:cs="Arial"/>
          <w:color w:val="000000"/>
          <w:sz w:val="20"/>
          <w:szCs w:val="20"/>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Pr="00474525" w:rsidRDefault="00474525" w:rsidP="00474525">
      <w:pPr>
        <w:rPr>
          <w:rFonts w:ascii="Arial" w:hAnsi="Arial" w:cs="Arial"/>
          <w:sz w:val="24"/>
          <w:szCs w:val="24"/>
        </w:rPr>
      </w:pPr>
    </w:p>
    <w:p w:rsidR="00474525" w:rsidRDefault="00474525" w:rsidP="00474525">
      <w:pPr>
        <w:rPr>
          <w:rFonts w:ascii="Arial" w:hAnsi="Arial" w:cs="Arial"/>
          <w:sz w:val="24"/>
          <w:szCs w:val="24"/>
        </w:rPr>
      </w:pPr>
    </w:p>
    <w:p w:rsidR="000510B0" w:rsidRPr="00474525" w:rsidRDefault="000510B0" w:rsidP="00474525">
      <w:pPr>
        <w:jc w:val="center"/>
        <w:rPr>
          <w:rFonts w:ascii="Arial" w:hAnsi="Arial" w:cs="Arial"/>
          <w:sz w:val="24"/>
          <w:szCs w:val="24"/>
        </w:rPr>
      </w:pPr>
    </w:p>
    <w:sectPr w:rsidR="000510B0" w:rsidRPr="00474525">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A46" w:rsidRDefault="00092A46">
      <w:pPr>
        <w:spacing w:after="0" w:line="240" w:lineRule="auto"/>
      </w:pPr>
      <w:r>
        <w:separator/>
      </w:r>
    </w:p>
  </w:endnote>
  <w:endnote w:type="continuationSeparator" w:id="0">
    <w:p w:rsidR="00092A46" w:rsidRDefault="0009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0510B0">
      <w:tc>
        <w:tcPr>
          <w:tcW w:w="10345" w:type="dxa"/>
          <w:tcBorders>
            <w:top w:val="nil"/>
            <w:left w:val="nil"/>
            <w:bottom w:val="nil"/>
            <w:right w:val="nil"/>
          </w:tcBorders>
          <w:shd w:val="clear" w:color="auto" w:fill="F2F2F2"/>
        </w:tcPr>
        <w:p w:rsidR="000510B0" w:rsidRDefault="000510B0" w:rsidP="00AD709E">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w:t>
          </w:r>
          <w:r w:rsidR="00D1713B">
            <w:rPr>
              <w:rFonts w:ascii="Arial" w:hAnsi="Arial" w:cs="Arial"/>
              <w:color w:val="000000"/>
              <w:sz w:val="18"/>
              <w:szCs w:val="18"/>
            </w:rPr>
            <w:t>re</w:t>
          </w:r>
          <w:r w:rsidR="00B10BF2">
            <w:rPr>
              <w:rFonts w:ascii="Arial" w:hAnsi="Arial" w:cs="Arial"/>
              <w:color w:val="000000"/>
              <w:sz w:val="18"/>
              <w:szCs w:val="18"/>
            </w:rPr>
            <w:t xml:space="preserve"> de candidature</w:t>
          </w:r>
          <w:r w:rsidR="00B10BF2">
            <w:rPr>
              <w:rFonts w:ascii="Arial" w:hAnsi="Arial" w:cs="Arial"/>
              <w:color w:val="000000"/>
              <w:sz w:val="18"/>
              <w:szCs w:val="18"/>
            </w:rPr>
            <w:tab/>
            <w:t>2025S25001</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B10BF2">
            <w:rPr>
              <w:rFonts w:ascii="Arial" w:hAnsi="Arial" w:cs="Arial"/>
              <w:noProof/>
              <w:color w:val="000000"/>
              <w:sz w:val="18"/>
              <w:szCs w:val="18"/>
            </w:rPr>
            <w:t>4</w:t>
          </w:r>
          <w:r>
            <w:rPr>
              <w:rFonts w:ascii="Arial" w:hAnsi="Arial" w:cs="Arial"/>
              <w:color w:val="000000"/>
              <w:sz w:val="18"/>
              <w:szCs w:val="18"/>
            </w:rPr>
            <w:fldChar w:fldCharType="end"/>
          </w:r>
        </w:p>
      </w:tc>
    </w:tr>
  </w:tbl>
  <w:p w:rsidR="000510B0" w:rsidRDefault="000510B0">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B0" w:rsidRDefault="000510B0">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A46" w:rsidRDefault="00092A46">
      <w:pPr>
        <w:spacing w:after="0" w:line="240" w:lineRule="auto"/>
      </w:pPr>
      <w:r>
        <w:separator/>
      </w:r>
    </w:p>
  </w:footnote>
  <w:footnote w:type="continuationSeparator" w:id="0">
    <w:p w:rsidR="00092A46" w:rsidRDefault="00092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0510B0">
      <w:tc>
        <w:tcPr>
          <w:tcW w:w="1134"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p w:rsidR="000510B0" w:rsidRDefault="000510B0">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rsidR="000510B0" w:rsidRDefault="000510B0">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B0" w:rsidRDefault="00D94E6B">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sidRPr="00A61B54">
      <w:rPr>
        <w:rFonts w:ascii="Trebuchet MS" w:hAnsi="Trebuchet MS" w:cs="Arial"/>
        <w:noProof/>
        <w:sz w:val="24"/>
        <w:szCs w:val="24"/>
      </w:rPr>
      <w:drawing>
        <wp:inline distT="0" distB="0" distL="0" distR="0">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rsidR="000510B0" w:rsidRDefault="000510B0">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rsidR="000510B0" w:rsidRDefault="000510B0" w:rsidP="00244B46">
    <w:pPr>
      <w:widowControl w:val="0"/>
      <w:tabs>
        <w:tab w:val="center" w:pos="4644"/>
        <w:tab w:val="right" w:pos="9180"/>
      </w:tabs>
      <w:autoSpaceDE w:val="0"/>
      <w:autoSpaceDN w:val="0"/>
      <w:adjustRightInd w:val="0"/>
      <w:spacing w:after="0" w:line="240" w:lineRule="auto"/>
      <w:ind w:right="104"/>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46"/>
    <w:rsid w:val="000510B0"/>
    <w:rsid w:val="00092A46"/>
    <w:rsid w:val="00244B46"/>
    <w:rsid w:val="00286C56"/>
    <w:rsid w:val="00474525"/>
    <w:rsid w:val="004C06D8"/>
    <w:rsid w:val="00507F69"/>
    <w:rsid w:val="00532735"/>
    <w:rsid w:val="005D346E"/>
    <w:rsid w:val="006B3861"/>
    <w:rsid w:val="006B65BA"/>
    <w:rsid w:val="006C47D9"/>
    <w:rsid w:val="00743531"/>
    <w:rsid w:val="00A0132C"/>
    <w:rsid w:val="00A61B54"/>
    <w:rsid w:val="00A66D8E"/>
    <w:rsid w:val="00AD709E"/>
    <w:rsid w:val="00AE0BBA"/>
    <w:rsid w:val="00B10BF2"/>
    <w:rsid w:val="00B813F9"/>
    <w:rsid w:val="00CA237B"/>
    <w:rsid w:val="00D1713B"/>
    <w:rsid w:val="00D606DC"/>
    <w:rsid w:val="00D94E6B"/>
    <w:rsid w:val="00DD0ED3"/>
    <w:rsid w:val="00EC761D"/>
    <w:rsid w:val="00F24C81"/>
    <w:rsid w:val="00F902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46740B"/>
  <w14:defaultImageDpi w14:val="0"/>
  <w15:docId w15:val="{246A4BFB-0A18-41FC-B1FE-95A812E09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44B46"/>
    <w:pPr>
      <w:tabs>
        <w:tab w:val="center" w:pos="4536"/>
        <w:tab w:val="right" w:pos="9072"/>
      </w:tabs>
    </w:pPr>
  </w:style>
  <w:style w:type="character" w:customStyle="1" w:styleId="En-tteCar">
    <w:name w:val="En-tête Car"/>
    <w:basedOn w:val="Policepardfaut"/>
    <w:link w:val="En-tte"/>
    <w:uiPriority w:val="99"/>
    <w:locked/>
    <w:rsid w:val="00244B46"/>
    <w:rPr>
      <w:rFonts w:cs="Times New Roman"/>
    </w:rPr>
  </w:style>
  <w:style w:type="paragraph" w:styleId="Pieddepage">
    <w:name w:val="footer"/>
    <w:basedOn w:val="Normal"/>
    <w:link w:val="PieddepageCar"/>
    <w:uiPriority w:val="99"/>
    <w:unhideWhenUsed/>
    <w:rsid w:val="00244B46"/>
    <w:pPr>
      <w:tabs>
        <w:tab w:val="center" w:pos="4536"/>
        <w:tab w:val="right" w:pos="9072"/>
      </w:tabs>
    </w:pPr>
  </w:style>
  <w:style w:type="character" w:customStyle="1" w:styleId="PieddepageCar">
    <w:name w:val="Pied de page Car"/>
    <w:basedOn w:val="Policepardfaut"/>
    <w:link w:val="Pieddepage"/>
    <w:uiPriority w:val="99"/>
    <w:locked/>
    <w:rsid w:val="00244B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1081</Words>
  <Characters>6429</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Nicolas Greco</dc:creator>
  <cp:keywords/>
  <dc:description>Generated by Oracle BI Publisher 10.1.3.4.2</dc:description>
  <cp:lastModifiedBy>Nicolas Greco</cp:lastModifiedBy>
  <cp:revision>3</cp:revision>
  <dcterms:created xsi:type="dcterms:W3CDTF">2024-11-22T10:15:00Z</dcterms:created>
  <dcterms:modified xsi:type="dcterms:W3CDTF">2025-01-08T08:56:00Z</dcterms:modified>
</cp:coreProperties>
</file>