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C44" w:rsidRDefault="00F35C44" w:rsidP="00F35C44">
      <w:pPr>
        <w:shd w:val="clear" w:color="auto" w:fill="FFFFFF"/>
        <w:spacing w:after="120" w:line="240" w:lineRule="auto"/>
        <w:outlineLvl w:val="1"/>
        <w:rPr>
          <w:rFonts w:ascii="Arial" w:eastAsia="Times New Roman" w:hAnsi="Arial" w:cs="Arial"/>
          <w:bCs/>
          <w:color w:val="4A5E81"/>
          <w:sz w:val="21"/>
          <w:szCs w:val="21"/>
          <w:lang w:eastAsia="fr-FR"/>
        </w:rPr>
      </w:pPr>
      <w:r w:rsidRPr="00F35C44">
        <w:rPr>
          <w:rFonts w:ascii="Arial" w:eastAsia="Times New Roman" w:hAnsi="Arial" w:cs="Arial"/>
          <w:b/>
          <w:bCs/>
          <w:color w:val="4A5E81"/>
          <w:sz w:val="21"/>
          <w:szCs w:val="21"/>
          <w:lang w:eastAsia="fr-FR"/>
        </w:rPr>
        <w:t>Article R1222-6</w:t>
      </w:r>
      <w:r>
        <w:rPr>
          <w:rFonts w:ascii="Arial" w:eastAsia="Times New Roman" w:hAnsi="Arial" w:cs="Arial"/>
          <w:b/>
          <w:bCs/>
          <w:color w:val="4A5E81"/>
          <w:sz w:val="21"/>
          <w:szCs w:val="21"/>
          <w:lang w:eastAsia="fr-FR"/>
        </w:rPr>
        <w:t xml:space="preserve"> </w:t>
      </w:r>
      <w:hyperlink r:id="rId5" w:history="1">
        <w:r w:rsidRPr="004123B1">
          <w:rPr>
            <w:rStyle w:val="Lienhypertexte"/>
            <w:rFonts w:ascii="Arial" w:eastAsia="Times New Roman" w:hAnsi="Arial" w:cs="Arial"/>
            <w:bCs/>
            <w:sz w:val="21"/>
            <w:szCs w:val="21"/>
            <w:lang w:eastAsia="fr-FR"/>
          </w:rPr>
          <w:t>https://www.legifrance.gouv.fr/codes/article_lc/LEGIARTI000035333534</w:t>
        </w:r>
      </w:hyperlink>
    </w:p>
    <w:p w:rsidR="00F35C44" w:rsidRPr="00F35C44" w:rsidRDefault="00F35C44" w:rsidP="00F35C44">
      <w:pPr>
        <w:shd w:val="clear" w:color="auto" w:fill="FFFFFF"/>
        <w:spacing w:after="120" w:line="240" w:lineRule="auto"/>
        <w:outlineLvl w:val="1"/>
        <w:rPr>
          <w:rFonts w:ascii="Arial" w:eastAsia="Times New Roman" w:hAnsi="Arial" w:cs="Arial"/>
          <w:b/>
          <w:bCs/>
          <w:color w:val="4A5E81"/>
          <w:sz w:val="21"/>
          <w:szCs w:val="21"/>
          <w:lang w:eastAsia="fr-FR"/>
        </w:rPr>
      </w:pPr>
    </w:p>
    <w:p w:rsidR="00F35C44" w:rsidRPr="00F35C44" w:rsidRDefault="00F35C44" w:rsidP="00F35C44">
      <w:pPr>
        <w:shd w:val="clear" w:color="auto" w:fill="FFFFFF"/>
        <w:spacing w:after="120" w:line="240" w:lineRule="auto"/>
        <w:outlineLvl w:val="5"/>
        <w:rPr>
          <w:rFonts w:ascii="Arial" w:eastAsia="Times New Roman" w:hAnsi="Arial" w:cs="Arial"/>
          <w:b/>
          <w:bCs/>
          <w:color w:val="D51622"/>
          <w:sz w:val="21"/>
          <w:szCs w:val="21"/>
          <w:lang w:eastAsia="fr-FR"/>
        </w:rPr>
      </w:pPr>
      <w:r w:rsidRPr="00F35C44">
        <w:rPr>
          <w:rFonts w:ascii="Arial" w:eastAsia="Times New Roman" w:hAnsi="Arial" w:cs="Arial"/>
          <w:b/>
          <w:bCs/>
          <w:color w:val="D51622"/>
          <w:sz w:val="21"/>
          <w:szCs w:val="21"/>
          <w:lang w:eastAsia="fr-FR"/>
        </w:rPr>
        <w:t>Version en vigueur depuis le 30 juillet 2017</w:t>
      </w:r>
      <w:bookmarkStart w:id="0" w:name="_GoBack"/>
      <w:bookmarkEnd w:id="0"/>
    </w:p>
    <w:p w:rsidR="00F35C44" w:rsidRPr="00612516" w:rsidRDefault="00F35C44" w:rsidP="00612516">
      <w:pPr>
        <w:shd w:val="clear" w:color="auto" w:fill="FFFFFF"/>
        <w:spacing w:after="0" w:line="240" w:lineRule="auto"/>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br/>
      </w:r>
      <w:hyperlink r:id="rId6" w:history="1">
        <w:r w:rsidRPr="00F35C44">
          <w:rPr>
            <w:rFonts w:ascii="Arial" w:eastAsia="Times New Roman" w:hAnsi="Arial" w:cs="Arial"/>
            <w:b/>
            <w:bCs/>
            <w:color w:val="4A5E81"/>
            <w:sz w:val="21"/>
            <w:szCs w:val="21"/>
            <w:u w:val="single"/>
            <w:lang w:eastAsia="fr-FR"/>
          </w:rPr>
          <w:t>Modifié par Décret n°2017-1199 du 27 juillet 2017 - art. 3</w:t>
        </w:r>
        <w:r w:rsidRPr="00F35C44">
          <w:rPr>
            <w:rFonts w:ascii="Arial" w:eastAsia="Times New Roman" w:hAnsi="Arial" w:cs="Arial"/>
            <w:b/>
            <w:bCs/>
            <w:color w:val="4A5E81"/>
            <w:sz w:val="21"/>
            <w:szCs w:val="21"/>
            <w:u w:val="single"/>
            <w:lang w:eastAsia="fr-FR"/>
          </w:rPr>
          <w:br/>
        </w:r>
      </w:hyperlink>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Le conseil d'administration fixe les orientations générales de la politique de l'établissement, notamment celles concernant le déploiement des activités de l'établissement, la promotion du don et la politique médicale et de recherche. Il délibère en outre sur les matières suivantes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1° L'organisation générale de l'établissement et son règlement intérieur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1° bis Les modalités d'exercice des activités transfusionnelles et des autres activités mentionnées à l'article R. 1222-40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2° Le budget, le compte financier et l'affectation des résultats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3° Les orientations générales de la politique des ressources humaines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4° Les contrats d'objectifs et de moyens passés entre l'établissement et l'Etat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5</w:t>
      </w:r>
      <w:r w:rsidRPr="00F35C44">
        <w:rPr>
          <w:rFonts w:ascii="Arial" w:eastAsia="Times New Roman" w:hAnsi="Arial" w:cs="Arial"/>
          <w:color w:val="000000"/>
          <w:sz w:val="21"/>
          <w:szCs w:val="21"/>
          <w:highlight w:val="yellow"/>
          <w:lang w:eastAsia="fr-FR"/>
        </w:rPr>
        <w:t>° Les emprunts et encours maximaux des crédits de trésorerie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6° L'acceptation ou le refus de dons et legs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7° Les acquisitions, aliénations, échanges d'immeubles d'un montant supérieur à un seuil qu'il fixe ; les baux d'une durée et d'un montant supérieurs à un seuil qu'il fixe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8° Les participations de l'établissement à des groupements d'intérêt public, des groupements d'intérêt économique, la création de filiales, les prises de participations financières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9° Les règles relatives aux contrats et marchés ;</w:t>
      </w:r>
    </w:p>
    <w:p w:rsidR="00F35C44" w:rsidRP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10° Le rapport annuel d'activité mentionné au dernier alinéa de </w:t>
      </w:r>
      <w:hyperlink r:id="rId7" w:history="1">
        <w:r w:rsidRPr="00F35C44">
          <w:rPr>
            <w:rFonts w:ascii="Arial" w:eastAsia="Times New Roman" w:hAnsi="Arial" w:cs="Arial"/>
            <w:color w:val="4A5E81"/>
            <w:sz w:val="21"/>
            <w:szCs w:val="21"/>
            <w:u w:val="single"/>
            <w:lang w:eastAsia="fr-FR"/>
          </w:rPr>
          <w:t>l'article L. 1222-1</w:t>
        </w:r>
      </w:hyperlink>
      <w:r w:rsidRPr="00F35C44">
        <w:rPr>
          <w:rFonts w:ascii="Arial" w:eastAsia="Times New Roman" w:hAnsi="Arial" w:cs="Arial"/>
          <w:color w:val="000000"/>
          <w:sz w:val="21"/>
          <w:szCs w:val="21"/>
          <w:lang w:eastAsia="fr-FR"/>
        </w:rPr>
        <w:t> ;</w:t>
      </w:r>
    </w:p>
    <w:p w:rsidR="00F35C44" w:rsidRDefault="00F35C44" w:rsidP="00612516">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Le conseil d'administration peut déléguer au président les décisions mentionnées aux 6° et 7° du présent article.</w:t>
      </w:r>
    </w:p>
    <w:p w:rsidR="00F35C44" w:rsidRPr="00F35C44" w:rsidRDefault="00612516" w:rsidP="00612516">
      <w:pPr>
        <w:pStyle w:val="name-article"/>
        <w:shd w:val="clear" w:color="auto" w:fill="FFFFFF"/>
        <w:spacing w:before="0" w:beforeAutospacing="0" w:after="240" w:afterAutospacing="0"/>
        <w:jc w:val="both"/>
        <w:rPr>
          <w:rFonts w:ascii="Arial" w:hAnsi="Arial" w:cs="Arial"/>
          <w:bCs/>
          <w:color w:val="4A5E81"/>
          <w:sz w:val="21"/>
          <w:szCs w:val="21"/>
        </w:rPr>
      </w:pPr>
      <w:hyperlink r:id="rId8" w:history="1">
        <w:r w:rsidR="00F35C44">
          <w:rPr>
            <w:rStyle w:val="Lienhypertexte"/>
            <w:rFonts w:ascii="Arial" w:hAnsi="Arial" w:cs="Arial"/>
            <w:b/>
            <w:bCs/>
            <w:color w:val="4A5E81"/>
            <w:sz w:val="21"/>
            <w:szCs w:val="21"/>
          </w:rPr>
          <w:t>Article R1222-7</w:t>
        </w:r>
      </w:hyperlink>
      <w:r w:rsidR="00F35C44">
        <w:rPr>
          <w:rFonts w:ascii="Arial" w:hAnsi="Arial" w:cs="Arial"/>
          <w:b/>
          <w:bCs/>
          <w:color w:val="4A5E81"/>
          <w:sz w:val="21"/>
          <w:szCs w:val="21"/>
        </w:rPr>
        <w:t xml:space="preserve"> </w:t>
      </w:r>
      <w:hyperlink r:id="rId9" w:history="1">
        <w:r w:rsidR="00F35C44" w:rsidRPr="004123B1">
          <w:rPr>
            <w:rStyle w:val="Lienhypertexte"/>
            <w:rFonts w:ascii="Arial" w:hAnsi="Arial" w:cs="Arial"/>
            <w:bCs/>
            <w:sz w:val="21"/>
            <w:szCs w:val="21"/>
          </w:rPr>
          <w:t>https://www.legifrance.gouv.fr/codes/article_lc/LEGIARTI000035333516</w:t>
        </w:r>
      </w:hyperlink>
    </w:p>
    <w:p w:rsidR="00F35C44" w:rsidRDefault="00612516" w:rsidP="00612516">
      <w:pPr>
        <w:pStyle w:val="Date1"/>
        <w:shd w:val="clear" w:color="auto" w:fill="FFFFFF"/>
        <w:spacing w:before="0" w:beforeAutospacing="0" w:after="75" w:afterAutospacing="0"/>
        <w:jc w:val="both"/>
        <w:rPr>
          <w:rFonts w:ascii="Arial" w:hAnsi="Arial" w:cs="Arial"/>
          <w:b/>
          <w:bCs/>
          <w:color w:val="000000"/>
          <w:sz w:val="21"/>
          <w:szCs w:val="21"/>
        </w:rPr>
      </w:pPr>
      <w:hyperlink r:id="rId10" w:history="1">
        <w:r w:rsidR="00F35C44">
          <w:rPr>
            <w:rStyle w:val="Lienhypertexte"/>
            <w:rFonts w:ascii="Arial" w:hAnsi="Arial" w:cs="Arial"/>
            <w:b/>
            <w:bCs/>
            <w:color w:val="4A5E81"/>
            <w:sz w:val="21"/>
            <w:szCs w:val="21"/>
          </w:rPr>
          <w:t>Modifié par Décret n°2017-1199 du 27 juillet 2017 - art. 3</w:t>
        </w:r>
        <w:r w:rsidR="00F35C44">
          <w:rPr>
            <w:rFonts w:ascii="Arial" w:hAnsi="Arial" w:cs="Arial"/>
            <w:b/>
            <w:bCs/>
            <w:color w:val="4A5E81"/>
            <w:sz w:val="21"/>
            <w:szCs w:val="21"/>
            <w:u w:val="single"/>
          </w:rPr>
          <w:br/>
        </w:r>
      </w:hyperlink>
    </w:p>
    <w:p w:rsidR="00F35C44" w:rsidRDefault="00F35C44" w:rsidP="00612516">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Les délibérations du conseil d'administration sont transmises au ministre chargé de la santé. Les délibérations portant sur le budget et le compte financier sont exécutoires dans les conditions prévues par le titre III du </w:t>
      </w:r>
      <w:hyperlink r:id="rId11" w:history="1">
        <w:r>
          <w:rPr>
            <w:rStyle w:val="Lienhypertexte"/>
            <w:rFonts w:ascii="Arial" w:hAnsi="Arial" w:cs="Arial"/>
            <w:color w:val="4A5E81"/>
            <w:sz w:val="21"/>
            <w:szCs w:val="21"/>
          </w:rPr>
          <w:t>décret n° 2012-1246 du 7 novembre 2012 </w:t>
        </w:r>
      </w:hyperlink>
      <w:r>
        <w:rPr>
          <w:rFonts w:ascii="Arial" w:hAnsi="Arial" w:cs="Arial"/>
          <w:color w:val="000000"/>
          <w:sz w:val="21"/>
          <w:szCs w:val="21"/>
        </w:rPr>
        <w:t>relatif à la gestion budgétaire et comptable publique. Les autres délibérations sont exécutoires quinze jours après leur réception par le ministre à moins que ce dernier n'y ait fait opposition. En cas d'urgence, le ministre chargé de la santé peut autoriser l'exécution immédiate d'une délibération du conseil d'administration.</w:t>
      </w:r>
    </w:p>
    <w:p w:rsidR="00F35C44" w:rsidRDefault="00F35C44" w:rsidP="00612516">
      <w:pPr>
        <w:pStyle w:val="NormalWeb"/>
        <w:shd w:val="clear" w:color="auto" w:fill="FFFFFF"/>
        <w:spacing w:before="0" w:beforeAutospacing="0" w:after="240" w:afterAutospacing="0"/>
        <w:jc w:val="both"/>
        <w:rPr>
          <w:rFonts w:ascii="Arial" w:hAnsi="Arial" w:cs="Arial"/>
          <w:color w:val="000000"/>
          <w:sz w:val="21"/>
          <w:szCs w:val="21"/>
        </w:rPr>
      </w:pPr>
      <w:r w:rsidRPr="00612516">
        <w:rPr>
          <w:rFonts w:ascii="Arial" w:hAnsi="Arial" w:cs="Arial"/>
          <w:color w:val="000000"/>
          <w:sz w:val="21"/>
          <w:szCs w:val="21"/>
        </w:rPr>
        <w:t>Toutefois, les délibérations mentionnées aux 5°, 8° et 9° de </w:t>
      </w:r>
      <w:hyperlink r:id="rId12" w:history="1">
        <w:r w:rsidRPr="00612516">
          <w:rPr>
            <w:rStyle w:val="Lienhypertexte"/>
            <w:rFonts w:ascii="Arial" w:hAnsi="Arial" w:cs="Arial"/>
            <w:color w:val="4A5E81"/>
            <w:sz w:val="21"/>
            <w:szCs w:val="21"/>
          </w:rPr>
          <w:t>l'article R. 1222-6</w:t>
        </w:r>
      </w:hyperlink>
      <w:r w:rsidRPr="00612516">
        <w:rPr>
          <w:rFonts w:ascii="Arial" w:hAnsi="Arial" w:cs="Arial"/>
          <w:color w:val="000000"/>
          <w:sz w:val="21"/>
          <w:szCs w:val="21"/>
        </w:rPr>
        <w:t> doivent faire l'objet d'une approbation conjointe des ministres chargés du budget et de la santé dans le délai d'un mois à compter de leur réception. A l'expiration de ce délai, faute d'une approbation explicite, ces délibérations sont exécutoires.</w:t>
      </w:r>
    </w:p>
    <w:p w:rsidR="00612516" w:rsidRDefault="00612516" w:rsidP="00612516">
      <w:pPr>
        <w:pStyle w:val="NormalWeb"/>
        <w:shd w:val="clear" w:color="auto" w:fill="FFFFFF"/>
        <w:spacing w:before="0" w:beforeAutospacing="0" w:after="240" w:afterAutospacing="0"/>
        <w:jc w:val="both"/>
        <w:rPr>
          <w:rFonts w:ascii="Arial" w:hAnsi="Arial" w:cs="Arial"/>
          <w:color w:val="000000"/>
          <w:sz w:val="21"/>
          <w:szCs w:val="21"/>
        </w:rPr>
      </w:pPr>
    </w:p>
    <w:p w:rsidR="00F35C44" w:rsidRDefault="00612516" w:rsidP="00F35C44">
      <w:pPr>
        <w:pStyle w:val="name-article"/>
        <w:shd w:val="clear" w:color="auto" w:fill="FFFFFF"/>
        <w:spacing w:before="0" w:beforeAutospacing="0" w:after="240" w:afterAutospacing="0"/>
        <w:rPr>
          <w:rFonts w:ascii="Arial" w:hAnsi="Arial" w:cs="Arial"/>
          <w:bCs/>
          <w:color w:val="4A5E81"/>
          <w:sz w:val="21"/>
          <w:szCs w:val="21"/>
        </w:rPr>
      </w:pPr>
      <w:hyperlink r:id="rId13" w:history="1">
        <w:r w:rsidR="00F35C44">
          <w:rPr>
            <w:rStyle w:val="Lienhypertexte"/>
            <w:rFonts w:ascii="Arial" w:hAnsi="Arial" w:cs="Arial"/>
            <w:b/>
            <w:bCs/>
            <w:color w:val="4A5E81"/>
            <w:sz w:val="21"/>
            <w:szCs w:val="21"/>
          </w:rPr>
          <w:t>Article R1222-8</w:t>
        </w:r>
      </w:hyperlink>
      <w:r w:rsidR="00F35C44">
        <w:rPr>
          <w:rFonts w:ascii="Arial" w:hAnsi="Arial" w:cs="Arial"/>
          <w:b/>
          <w:bCs/>
          <w:color w:val="4A5E81"/>
          <w:sz w:val="21"/>
          <w:szCs w:val="21"/>
        </w:rPr>
        <w:t xml:space="preserve"> </w:t>
      </w:r>
      <w:hyperlink r:id="rId14" w:history="1">
        <w:r w:rsidR="00F35C44" w:rsidRPr="004123B1">
          <w:rPr>
            <w:rStyle w:val="Lienhypertexte"/>
            <w:rFonts w:ascii="Arial" w:hAnsi="Arial" w:cs="Arial"/>
            <w:bCs/>
            <w:sz w:val="21"/>
            <w:szCs w:val="21"/>
          </w:rPr>
          <w:t>https://www.legifrance.gouv.fr/codes/article_lc/LEGIARTI000035333534</w:t>
        </w:r>
      </w:hyperlink>
    </w:p>
    <w:p w:rsidR="00F35C44" w:rsidRDefault="00612516" w:rsidP="00F35C44">
      <w:pPr>
        <w:pStyle w:val="Date1"/>
        <w:shd w:val="clear" w:color="auto" w:fill="FFFFFF"/>
        <w:spacing w:before="0" w:beforeAutospacing="0" w:after="75" w:afterAutospacing="0"/>
        <w:rPr>
          <w:rFonts w:ascii="Arial" w:hAnsi="Arial" w:cs="Arial"/>
          <w:b/>
          <w:bCs/>
          <w:color w:val="000000"/>
          <w:sz w:val="21"/>
          <w:szCs w:val="21"/>
        </w:rPr>
      </w:pPr>
      <w:hyperlink r:id="rId15" w:history="1">
        <w:r w:rsidR="00F35C44">
          <w:rPr>
            <w:rStyle w:val="Lienhypertexte"/>
            <w:rFonts w:ascii="Arial" w:hAnsi="Arial" w:cs="Arial"/>
            <w:b/>
            <w:bCs/>
            <w:color w:val="4A5E81"/>
            <w:sz w:val="21"/>
            <w:szCs w:val="21"/>
          </w:rPr>
          <w:t>Modifié par Décret n°2017-1199 du 27 juillet 2017 - art. 3</w:t>
        </w:r>
        <w:r w:rsidR="00F35C44">
          <w:rPr>
            <w:rFonts w:ascii="Arial" w:hAnsi="Arial" w:cs="Arial"/>
            <w:b/>
            <w:bCs/>
            <w:color w:val="4A5E81"/>
            <w:sz w:val="21"/>
            <w:szCs w:val="21"/>
            <w:u w:val="single"/>
          </w:rPr>
          <w:br/>
        </w:r>
      </w:hyperlink>
    </w:p>
    <w:p w:rsidR="00F35C44" w:rsidRDefault="00F35C44" w:rsidP="00612516">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Le président de l'Etablissement français du sang est nommé par décret pour une durée de cinq ans. Son mandat peut être renouvelé pour une durée de trois ans.</w:t>
      </w:r>
    </w:p>
    <w:p w:rsidR="00F35C44" w:rsidRDefault="00F35C44" w:rsidP="00612516">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Il assure la direction de l'établissement dans le cadre des orientations définies par le conseil d'administration, conformément aux dispositions de </w:t>
      </w:r>
      <w:hyperlink r:id="rId16" w:history="1">
        <w:r>
          <w:rPr>
            <w:rStyle w:val="Lienhypertexte"/>
            <w:rFonts w:ascii="Arial" w:hAnsi="Arial" w:cs="Arial"/>
            <w:color w:val="4A5E81"/>
            <w:sz w:val="21"/>
            <w:szCs w:val="21"/>
          </w:rPr>
          <w:t>l'article L. 1222-5</w:t>
        </w:r>
      </w:hyperlink>
      <w:r>
        <w:rPr>
          <w:rFonts w:ascii="Arial" w:hAnsi="Arial" w:cs="Arial"/>
          <w:color w:val="000000"/>
          <w:sz w:val="21"/>
          <w:szCs w:val="21"/>
        </w:rPr>
        <w:t>. Il accomplit tous les actes qui ne sont pas réservés au conseil d'administration en vertu de </w:t>
      </w:r>
      <w:hyperlink r:id="rId17" w:tooltip="Code de la santé publique - art. R1222-6 (V)" w:history="1">
        <w:r>
          <w:rPr>
            <w:rStyle w:val="Lienhypertexte"/>
            <w:rFonts w:ascii="Arial" w:hAnsi="Arial" w:cs="Arial"/>
            <w:color w:val="4A5E81"/>
            <w:sz w:val="21"/>
            <w:szCs w:val="21"/>
          </w:rPr>
          <w:t>l'article R. 1222-6</w:t>
        </w:r>
      </w:hyperlink>
      <w:r>
        <w:rPr>
          <w:rFonts w:ascii="Arial" w:hAnsi="Arial" w:cs="Arial"/>
          <w:color w:val="000000"/>
          <w:sz w:val="21"/>
          <w:szCs w:val="21"/>
        </w:rPr>
        <w:t>.</w:t>
      </w:r>
    </w:p>
    <w:p w:rsidR="00F35C44" w:rsidRDefault="00F35C44" w:rsidP="00612516">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Il propose chaque année au conseil d'administration les orientations générales de la politique de l'établissement.</w:t>
      </w:r>
    </w:p>
    <w:p w:rsidR="00F35C44" w:rsidRDefault="00F35C44" w:rsidP="00612516">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Il prépare les délibérations du conseil d'administration et en assure l'exécution.</w:t>
      </w:r>
    </w:p>
    <w:p w:rsidR="00F35C44" w:rsidRDefault="00F35C44" w:rsidP="00612516">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Il prend les décisions relatives aux schémas régionaux d'organisation de la transfusion sanguine mentionnés à l'article R. 1222-48, dans le respect du schéma directeur national de la transfusion sanguine prévu à l'article </w:t>
      </w:r>
      <w:hyperlink r:id="rId18" w:history="1">
        <w:r>
          <w:rPr>
            <w:rStyle w:val="Lienhypertexte"/>
            <w:rFonts w:ascii="Arial" w:hAnsi="Arial" w:cs="Arial"/>
            <w:color w:val="4A5E81"/>
            <w:sz w:val="21"/>
            <w:szCs w:val="21"/>
          </w:rPr>
          <w:t>L. 1222-15</w:t>
        </w:r>
      </w:hyperlink>
      <w:r>
        <w:rPr>
          <w:rFonts w:ascii="Arial" w:hAnsi="Arial" w:cs="Arial"/>
          <w:color w:val="000000"/>
          <w:sz w:val="21"/>
          <w:szCs w:val="21"/>
        </w:rPr>
        <w:t>.</w:t>
      </w:r>
    </w:p>
    <w:p w:rsidR="00F35C44" w:rsidRDefault="00F35C44" w:rsidP="00612516">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Il recrute, nomme et gère les personnels de l'établissement. Il a autorité sur l'ensemble de ces personnels.</w:t>
      </w:r>
    </w:p>
    <w:p w:rsidR="00F35C44" w:rsidRDefault="00F35C44" w:rsidP="00612516">
      <w:pPr>
        <w:pStyle w:val="NormalWeb"/>
        <w:shd w:val="clear" w:color="auto" w:fill="FFFFFF"/>
        <w:spacing w:before="0" w:beforeAutospacing="0" w:after="240" w:afterAutospacing="0"/>
        <w:jc w:val="both"/>
        <w:rPr>
          <w:rFonts w:ascii="Arial" w:hAnsi="Arial" w:cs="Arial"/>
          <w:color w:val="000000"/>
          <w:sz w:val="21"/>
          <w:szCs w:val="21"/>
        </w:rPr>
      </w:pPr>
      <w:r w:rsidRPr="00612516">
        <w:rPr>
          <w:rFonts w:ascii="Arial" w:hAnsi="Arial" w:cs="Arial"/>
          <w:color w:val="000000"/>
          <w:sz w:val="21"/>
          <w:szCs w:val="21"/>
        </w:rPr>
        <w:t>Il peut ester en justice et transiger et en rend compte au conseil d'administration. Il représente l'établissement dans tous les actes de la vie civile. Il passe, au nom de l'établissement, les contrats, conventions et marchés ainsi que les actes d'acquisition et de vente, sous réserve des attributions du conseil d'administration mentionnées à l'article R. 1222-6.</w:t>
      </w:r>
    </w:p>
    <w:p w:rsidR="00F35C44" w:rsidRDefault="00F35C44" w:rsidP="00612516">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Le président peut déléguer une partie de ses pouvoirs ou sa signature aux cadres exerçant des fonctions de direction générale au sein de l'Etablissement français du sang. Il peut également déléguer une partie de ses pouvoirs ou de sa signature aux directeurs des établissements de transfusion sanguine pour l'exercice des activités de l'Etablissement français du sang dans le ressort géographique d'exercice de celles-ci. Il peut par ailleurs déléguer sa signature aux cadres exerçant des fonctions de direction au sein de l'établissement.</w:t>
      </w:r>
    </w:p>
    <w:p w:rsidR="003C2FA1" w:rsidRDefault="00612516"/>
    <w:sectPr w:rsidR="003C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61EC8"/>
    <w:multiLevelType w:val="multilevel"/>
    <w:tmpl w:val="24BA4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C44"/>
    <w:rsid w:val="00612516"/>
    <w:rsid w:val="006862B0"/>
    <w:rsid w:val="00806DD0"/>
    <w:rsid w:val="00F35C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038A1"/>
  <w15:chartTrackingRefBased/>
  <w15:docId w15:val="{79AB0A62-6022-40F0-9BA0-850E5BCE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F35C4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next w:val="Normal"/>
    <w:link w:val="Titre4Car"/>
    <w:uiPriority w:val="9"/>
    <w:semiHidden/>
    <w:unhideWhenUsed/>
    <w:qFormat/>
    <w:rsid w:val="00F35C4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6">
    <w:name w:val="heading 6"/>
    <w:basedOn w:val="Normal"/>
    <w:link w:val="Titre6Car"/>
    <w:uiPriority w:val="9"/>
    <w:qFormat/>
    <w:rsid w:val="00F35C44"/>
    <w:pPr>
      <w:spacing w:before="100" w:beforeAutospacing="1" w:after="100" w:afterAutospacing="1" w:line="240" w:lineRule="auto"/>
      <w:outlineLvl w:val="5"/>
    </w:pPr>
    <w:rPr>
      <w:rFonts w:ascii="Times New Roman" w:eastAsia="Times New Roman" w:hAnsi="Times New Roman" w:cs="Times New Roman"/>
      <w:b/>
      <w:bCs/>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35C44"/>
    <w:rPr>
      <w:rFonts w:ascii="Times New Roman" w:eastAsia="Times New Roman" w:hAnsi="Times New Roman" w:cs="Times New Roman"/>
      <w:b/>
      <w:bCs/>
      <w:sz w:val="36"/>
      <w:szCs w:val="36"/>
      <w:lang w:eastAsia="fr-FR"/>
    </w:rPr>
  </w:style>
  <w:style w:type="character" w:customStyle="1" w:styleId="Titre6Car">
    <w:name w:val="Titre 6 Car"/>
    <w:basedOn w:val="Policepardfaut"/>
    <w:link w:val="Titre6"/>
    <w:uiPriority w:val="9"/>
    <w:rsid w:val="00F35C44"/>
    <w:rPr>
      <w:rFonts w:ascii="Times New Roman" w:eastAsia="Times New Roman" w:hAnsi="Times New Roman" w:cs="Times New Roman"/>
      <w:b/>
      <w:bCs/>
      <w:sz w:val="15"/>
      <w:szCs w:val="15"/>
      <w:lang w:eastAsia="fr-FR"/>
    </w:rPr>
  </w:style>
  <w:style w:type="paragraph" w:customStyle="1" w:styleId="Date1">
    <w:name w:val="Date1"/>
    <w:basedOn w:val="Normal"/>
    <w:rsid w:val="00F35C4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35C44"/>
    <w:rPr>
      <w:color w:val="0000FF"/>
      <w:u w:val="single"/>
    </w:rPr>
  </w:style>
  <w:style w:type="paragraph" w:styleId="NormalWeb">
    <w:name w:val="Normal (Web)"/>
    <w:basedOn w:val="Normal"/>
    <w:uiPriority w:val="99"/>
    <w:semiHidden/>
    <w:unhideWhenUsed/>
    <w:rsid w:val="00F35C4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F35C44"/>
    <w:rPr>
      <w:color w:val="954F72" w:themeColor="followedHyperlink"/>
      <w:u w:val="single"/>
    </w:rPr>
  </w:style>
  <w:style w:type="character" w:customStyle="1" w:styleId="Titre4Car">
    <w:name w:val="Titre 4 Car"/>
    <w:basedOn w:val="Policepardfaut"/>
    <w:link w:val="Titre4"/>
    <w:uiPriority w:val="9"/>
    <w:semiHidden/>
    <w:rsid w:val="00F35C44"/>
    <w:rPr>
      <w:rFonts w:asciiTheme="majorHAnsi" w:eastAsiaTheme="majorEastAsia" w:hAnsiTheme="majorHAnsi" w:cstheme="majorBidi"/>
      <w:i/>
      <w:iCs/>
      <w:color w:val="2E74B5" w:themeColor="accent1" w:themeShade="BF"/>
    </w:rPr>
  </w:style>
  <w:style w:type="character" w:customStyle="1" w:styleId="print-title-summary">
    <w:name w:val="print-title-summary"/>
    <w:basedOn w:val="Policepardfaut"/>
    <w:rsid w:val="00F35C44"/>
  </w:style>
  <w:style w:type="paragraph" w:customStyle="1" w:styleId="name-article">
    <w:name w:val="name-article"/>
    <w:basedOn w:val="Normal"/>
    <w:rsid w:val="00F35C4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811005">
      <w:bodyDiv w:val="1"/>
      <w:marLeft w:val="0"/>
      <w:marRight w:val="0"/>
      <w:marTop w:val="0"/>
      <w:marBottom w:val="0"/>
      <w:divBdr>
        <w:top w:val="none" w:sz="0" w:space="0" w:color="auto"/>
        <w:left w:val="none" w:sz="0" w:space="0" w:color="auto"/>
        <w:bottom w:val="none" w:sz="0" w:space="0" w:color="auto"/>
        <w:right w:val="none" w:sz="0" w:space="0" w:color="auto"/>
      </w:divBdr>
      <w:divsChild>
        <w:div w:id="958728664">
          <w:marLeft w:val="0"/>
          <w:marRight w:val="0"/>
          <w:marTop w:val="0"/>
          <w:marBottom w:val="0"/>
          <w:divBdr>
            <w:top w:val="none" w:sz="0" w:space="0" w:color="auto"/>
            <w:left w:val="none" w:sz="0" w:space="0" w:color="auto"/>
            <w:bottom w:val="none" w:sz="0" w:space="0" w:color="auto"/>
            <w:right w:val="none" w:sz="0" w:space="0" w:color="auto"/>
          </w:divBdr>
        </w:div>
      </w:divsChild>
    </w:div>
    <w:div w:id="1183006919">
      <w:bodyDiv w:val="1"/>
      <w:marLeft w:val="0"/>
      <w:marRight w:val="0"/>
      <w:marTop w:val="0"/>
      <w:marBottom w:val="0"/>
      <w:divBdr>
        <w:top w:val="none" w:sz="0" w:space="0" w:color="auto"/>
        <w:left w:val="none" w:sz="0" w:space="0" w:color="auto"/>
        <w:bottom w:val="none" w:sz="0" w:space="0" w:color="auto"/>
        <w:right w:val="none" w:sz="0" w:space="0" w:color="auto"/>
      </w:divBdr>
    </w:div>
    <w:div w:id="1492911598">
      <w:bodyDiv w:val="1"/>
      <w:marLeft w:val="0"/>
      <w:marRight w:val="0"/>
      <w:marTop w:val="0"/>
      <w:marBottom w:val="0"/>
      <w:divBdr>
        <w:top w:val="none" w:sz="0" w:space="0" w:color="auto"/>
        <w:left w:val="none" w:sz="0" w:space="0" w:color="auto"/>
        <w:bottom w:val="none" w:sz="0" w:space="0" w:color="auto"/>
        <w:right w:val="none" w:sz="0" w:space="0" w:color="auto"/>
      </w:divBdr>
    </w:div>
    <w:div w:id="1572422103">
      <w:bodyDiv w:val="1"/>
      <w:marLeft w:val="0"/>
      <w:marRight w:val="0"/>
      <w:marTop w:val="0"/>
      <w:marBottom w:val="0"/>
      <w:divBdr>
        <w:top w:val="none" w:sz="0" w:space="0" w:color="auto"/>
        <w:left w:val="none" w:sz="0" w:space="0" w:color="auto"/>
        <w:bottom w:val="none" w:sz="0" w:space="0" w:color="auto"/>
        <w:right w:val="none" w:sz="0" w:space="0" w:color="auto"/>
      </w:divBdr>
      <w:divsChild>
        <w:div w:id="548301378">
          <w:marLeft w:val="0"/>
          <w:marRight w:val="0"/>
          <w:marTop w:val="0"/>
          <w:marBottom w:val="0"/>
          <w:divBdr>
            <w:top w:val="none" w:sz="0" w:space="0" w:color="auto"/>
            <w:left w:val="none" w:sz="0" w:space="0" w:color="auto"/>
            <w:bottom w:val="none" w:sz="0" w:space="0" w:color="auto"/>
            <w:right w:val="none" w:sz="0" w:space="0" w:color="auto"/>
          </w:divBdr>
        </w:div>
        <w:div w:id="537862445">
          <w:marLeft w:val="0"/>
          <w:marRight w:val="0"/>
          <w:marTop w:val="0"/>
          <w:marBottom w:val="0"/>
          <w:divBdr>
            <w:top w:val="none" w:sz="0" w:space="0" w:color="auto"/>
            <w:left w:val="none" w:sz="0" w:space="0" w:color="auto"/>
            <w:bottom w:val="none" w:sz="0" w:space="0" w:color="auto"/>
            <w:right w:val="none" w:sz="0" w:space="0" w:color="auto"/>
          </w:divBdr>
        </w:div>
      </w:divsChild>
    </w:div>
    <w:div w:id="1833834826">
      <w:bodyDiv w:val="1"/>
      <w:marLeft w:val="0"/>
      <w:marRight w:val="0"/>
      <w:marTop w:val="0"/>
      <w:marBottom w:val="0"/>
      <w:divBdr>
        <w:top w:val="none" w:sz="0" w:space="0" w:color="auto"/>
        <w:left w:val="none" w:sz="0" w:space="0" w:color="auto"/>
        <w:bottom w:val="none" w:sz="0" w:space="0" w:color="auto"/>
        <w:right w:val="none" w:sz="0" w:space="0" w:color="auto"/>
      </w:divBdr>
      <w:divsChild>
        <w:div w:id="1613434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35333527" TargetMode="External"/><Relationship Id="rId13" Type="http://schemas.openxmlformats.org/officeDocument/2006/relationships/hyperlink" Target="https://www.legifrance.gouv.fr/codes/article_lc/LEGIARTI000035333516" TargetMode="External"/><Relationship Id="rId18" Type="http://schemas.openxmlformats.org/officeDocument/2006/relationships/hyperlink" Target="https://www.legifrance.gouv.fr/affichCodeArticle.do?cidTexte=LEGITEXT000006072665&amp;idArticle=LEGIARTI000033281199&amp;dateTexte=&amp;categorieLien=cid" TargetMode="External"/><Relationship Id="rId3" Type="http://schemas.openxmlformats.org/officeDocument/2006/relationships/settings" Target="settings.xml"/><Relationship Id="rId7" Type="http://schemas.openxmlformats.org/officeDocument/2006/relationships/hyperlink" Target="https://www.legifrance.gouv.fr/affichCodeArticle.do?cidTexte=LEGITEXT000006072665&amp;idArticle=LEGIARTI000006686106&amp;dateTexte=&amp;categorieLien=cid" TargetMode="External"/><Relationship Id="rId12" Type="http://schemas.openxmlformats.org/officeDocument/2006/relationships/hyperlink" Target="https://www.legifrance.gouv.fr/affichCodeArticle.do?cidTexte=LEGITEXT000006072665&amp;idArticle=LEGIARTI000006908897&amp;dateTexte=&amp;categorieLien=cid" TargetMode="External"/><Relationship Id="rId17" Type="http://schemas.openxmlformats.org/officeDocument/2006/relationships/hyperlink" Target="https://www.legifrance.gouv.fr/affichCodeArticle.do?cidTexte=LEGITEXT000006072665&amp;idArticle=LEGIARTI000035333534&amp;dateTexte=&amp;categorieLien=id" TargetMode="External"/><Relationship Id="rId2" Type="http://schemas.openxmlformats.org/officeDocument/2006/relationships/styles" Target="styles.xml"/><Relationship Id="rId16" Type="http://schemas.openxmlformats.org/officeDocument/2006/relationships/hyperlink" Target="https://www.legifrance.gouv.fr/affichCodeArticle.do?cidTexte=LEGITEXT000006072665&amp;idArticle=LEGIARTI000006686112&amp;dateTexte=&amp;categorieLien=ci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egifrance.gouv.fr/loda/id/LEGIARTI000035318949/2017-07-30/" TargetMode="External"/><Relationship Id="rId11" Type="http://schemas.openxmlformats.org/officeDocument/2006/relationships/hyperlink" Target="https://www.legifrance.gouv.fr/affichTexte.do?cidTexte=JORFTEXT000026597003&amp;categorieLien=cid" TargetMode="External"/><Relationship Id="rId5" Type="http://schemas.openxmlformats.org/officeDocument/2006/relationships/hyperlink" Target="https://www.legifrance.gouv.fr/codes/article_lc/LEGIARTI000035333534" TargetMode="External"/><Relationship Id="rId15" Type="http://schemas.openxmlformats.org/officeDocument/2006/relationships/hyperlink" Target="https://www.legifrance.gouv.fr/loda/id/LEGIARTI000035318949/2017-07-30/" TargetMode="External"/><Relationship Id="rId10" Type="http://schemas.openxmlformats.org/officeDocument/2006/relationships/hyperlink" Target="https://www.legifrance.gouv.fr/loda/id/LEGIARTI000035318949/2017-07-3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codes/article_lc/LEGIARTI000035333516" TargetMode="External"/><Relationship Id="rId14" Type="http://schemas.openxmlformats.org/officeDocument/2006/relationships/hyperlink" Target="https://www.legifrance.gouv.fr/codes/article_lc/LEGIARTI00003533353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977</Words>
  <Characters>5378</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laurent.Vincent</dc:creator>
  <cp:keywords/>
  <dc:description/>
  <cp:lastModifiedBy>Maxime BROTHIER</cp:lastModifiedBy>
  <cp:revision>2</cp:revision>
  <dcterms:created xsi:type="dcterms:W3CDTF">2025-02-06T12:57:00Z</dcterms:created>
  <dcterms:modified xsi:type="dcterms:W3CDTF">2025-02-11T12:47:00Z</dcterms:modified>
</cp:coreProperties>
</file>