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2574850</wp:posOffset>
            </wp:positionH>
            <wp:positionV relativeFrom="margin">
              <wp:posOffset>-388447</wp:posOffset>
            </wp:positionV>
            <wp:extent cx="1709420" cy="694055"/>
            <wp:effectExtent l="0" t="0" r="5080" b="0"/>
            <wp:wrapTight wrapText="right">
              <wp:wrapPolygon edited="0">
                <wp:start x="0" y="0"/>
                <wp:lineTo x="0" y="20750"/>
                <wp:lineTo x="21423" y="20750"/>
                <wp:lineTo x="21423"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9420"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r>
        <w:rPr>
          <w:rFonts w:asciiTheme="minorHAnsi" w:hAnsiTheme="minorHAnsi" w:cs="Calibri"/>
          <w:noProof/>
          <w:szCs w:val="22"/>
        </w:rPr>
        <w:drawing>
          <wp:anchor distT="0" distB="0" distL="114300" distR="114300" simplePos="0" relativeHeight="251661312" behindDoc="1" locked="0" layoutInCell="1" allowOverlap="1">
            <wp:simplePos x="0" y="0"/>
            <wp:positionH relativeFrom="column">
              <wp:posOffset>100940</wp:posOffset>
            </wp:positionH>
            <wp:positionV relativeFrom="paragraph">
              <wp:posOffset>89626</wp:posOffset>
            </wp:positionV>
            <wp:extent cx="1200785" cy="389890"/>
            <wp:effectExtent l="0" t="0" r="0" b="0"/>
            <wp:wrapTight wrapText="bothSides">
              <wp:wrapPolygon edited="0">
                <wp:start x="0" y="0"/>
                <wp:lineTo x="0" y="20052"/>
                <wp:lineTo x="21246" y="20052"/>
                <wp:lineTo x="21246"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785" cy="389890"/>
                    </a:xfrm>
                    <a:prstGeom prst="rect">
                      <a:avLst/>
                    </a:prstGeom>
                    <a:noFill/>
                  </pic:spPr>
                </pic:pic>
              </a:graphicData>
            </a:graphic>
            <wp14:sizeRelH relativeFrom="page">
              <wp14:pctWidth>0</wp14:pctWidth>
            </wp14:sizeRelH>
            <wp14:sizeRelV relativeFrom="page">
              <wp14:pctHeight>0</wp14:pctHeight>
            </wp14:sizeRelV>
          </wp:anchor>
        </w:drawing>
      </w:r>
    </w:p>
    <w:p>
      <w:pPr>
        <w:rPr>
          <w:b/>
          <w:sz w:val="24"/>
        </w:rPr>
      </w:pPr>
    </w:p>
    <w:p>
      <w:pPr>
        <w:ind w:left="4254" w:firstLine="709"/>
        <w:jc w:val="center"/>
        <w:rPr>
          <w:b/>
          <w:sz w:val="24"/>
        </w:rPr>
      </w:pPr>
      <w:r>
        <w:rPr>
          <w:b/>
          <w:sz w:val="24"/>
        </w:rPr>
        <w:t>ATTRI1</w:t>
      </w:r>
    </w:p>
    <w:p>
      <w:pPr>
        <w:rPr>
          <w:b/>
          <w:sz w:val="24"/>
        </w:rPr>
      </w:pPr>
    </w:p>
    <w:p>
      <w:pPr>
        <w:rPr>
          <w:b/>
          <w:sz w:val="24"/>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right="411"/>
              <w:jc w:val="center"/>
              <w:rPr>
                <w:rFonts w:cs="Calibri"/>
                <w:b/>
                <w:bCs/>
              </w:rPr>
            </w:pPr>
            <w:proofErr w:type="spellStart"/>
            <w:r>
              <w:rPr>
                <w:rFonts w:cs="Calibri"/>
                <w:b/>
                <w:bCs/>
              </w:rPr>
              <w:t>A.E</w:t>
            </w:r>
            <w:proofErr w:type="spellEnd"/>
            <w:r>
              <w:rPr>
                <w:rFonts w:cs="Calibri"/>
                <w:b/>
                <w:bCs/>
              </w:rPr>
              <w:t>.</w:t>
            </w:r>
          </w:p>
          <w:p>
            <w:pPr>
              <w:ind w:right="411"/>
              <w:jc w:val="center"/>
              <w:rPr>
                <w:rFonts w:cs="Calibri"/>
                <w:b/>
                <w:bCs/>
              </w:rPr>
            </w:pPr>
            <w:r>
              <w:rPr>
                <w:rFonts w:cs="Calibri"/>
                <w:b/>
                <w:bCs/>
              </w:rPr>
              <w:t>ACTE D’ENGAGEMENT</w:t>
            </w:r>
          </w:p>
        </w:tc>
      </w:tr>
    </w:tbl>
    <w:p>
      <w:pPr>
        <w:ind w:left="0" w:right="411"/>
        <w:jc w:val="center"/>
        <w:rPr>
          <w:rFonts w:cs="Calibri"/>
          <w:b/>
          <w:bCs/>
          <w:sz w:val="20"/>
        </w:rPr>
      </w:pPr>
    </w:p>
    <w:p>
      <w:pPr>
        <w:ind w:right="411"/>
        <w:jc w:val="center"/>
        <w:rPr>
          <w:rFonts w:cs="Calibri"/>
          <w:b/>
          <w:bCs/>
          <w:sz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0" w:right="411"/>
              <w:jc w:val="center"/>
              <w:rPr>
                <w:rFonts w:cs="Calibri"/>
                <w:b/>
                <w:bCs/>
                <w:sz w:val="22"/>
              </w:rPr>
            </w:pPr>
            <w:r>
              <w:rPr>
                <w:rFonts w:cs="Calibri"/>
                <w:b/>
                <w:bCs/>
                <w:sz w:val="22"/>
              </w:rPr>
              <w:t>FOURNITURE DE FLUIDES MEDICAUX ET DE PRESTATIONS DE SERVICE ASSOCIEES</w:t>
            </w:r>
          </w:p>
        </w:tc>
      </w:tr>
    </w:tbl>
    <w:p>
      <w:pPr>
        <w:ind w:left="0" w:right="411"/>
        <w:rPr>
          <w:rFonts w:cs="Calibri"/>
          <w:b/>
          <w:sz w:val="20"/>
          <w:szCs w:val="20"/>
        </w:rPr>
      </w:pPr>
    </w:p>
    <w:p>
      <w:pPr>
        <w:rPr>
          <w:b/>
          <w:sz w:val="24"/>
        </w:rPr>
      </w:pPr>
    </w:p>
    <w:p>
      <w:pPr>
        <w:jc w:val="center"/>
        <w:rPr>
          <w:b/>
        </w:rPr>
      </w:pPr>
      <w:r>
        <w:rPr>
          <w:b/>
        </w:rPr>
        <w:t>La procédure est passée en application des dispositions du Code la commande publique (ci-après « le Code ») :</w:t>
      </w:r>
    </w:p>
    <w:p>
      <w:pPr>
        <w:jc w:val="center"/>
      </w:pPr>
    </w:p>
    <w:p>
      <w:pPr>
        <w:jc w:val="center"/>
      </w:pPr>
      <w:r>
        <w:t>Appel d’offres ouvert : articles L.2124-2 et R.2124-2-1° du Code ;</w:t>
      </w:r>
    </w:p>
    <w:p>
      <w:pPr>
        <w:jc w:val="center"/>
      </w:pPr>
    </w:p>
    <w:p>
      <w:pPr>
        <w:jc w:val="center"/>
      </w:pPr>
      <w:r>
        <w:t>Accord-cadre : article L.2124-1-1°) du Code ;</w:t>
      </w:r>
    </w:p>
    <w:p>
      <w:pPr>
        <w:jc w:val="center"/>
      </w:pPr>
      <w:r>
        <w:t>&amp;</w:t>
      </w:r>
    </w:p>
    <w:p>
      <w:pPr>
        <w:jc w:val="center"/>
      </w:pPr>
      <w:r>
        <w:t>Mono-attributaire : article R.2162-9 du code ;</w:t>
      </w:r>
    </w:p>
    <w:p>
      <w:pPr>
        <w:jc w:val="center"/>
      </w:pPr>
      <w:r>
        <w:t>&amp;</w:t>
      </w:r>
    </w:p>
    <w:p>
      <w:pPr>
        <w:jc w:val="center"/>
      </w:pPr>
      <w:r>
        <w:t>A bons de commandes : articles R. 2162-13 et R. 2162-14 du code ;</w:t>
      </w:r>
    </w:p>
    <w:p>
      <w:pPr>
        <w:jc w:val="center"/>
      </w:pPr>
    </w:p>
    <w:p>
      <w:pPr>
        <w:jc w:val="center"/>
      </w:pPr>
    </w:p>
    <w:p>
      <w:pPr>
        <w:jc w:val="center"/>
        <w:rPr>
          <w:b/>
        </w:rPr>
      </w:pPr>
      <w:r>
        <w:rPr>
          <w:b/>
        </w:rPr>
        <w:t>Pouvoir Adjudicateur</w:t>
      </w:r>
    </w:p>
    <w:p>
      <w:pPr>
        <w:jc w:val="center"/>
        <w:rPr>
          <w:b/>
        </w:rPr>
      </w:pPr>
    </w:p>
    <w:p>
      <w:pPr>
        <w:ind w:right="411" w:firstLine="709"/>
        <w:jc w:val="center"/>
        <w:rPr>
          <w:rFonts w:asciiTheme="minorHAnsi" w:hAnsiTheme="minorHAnsi" w:cstheme="minorHAnsi"/>
          <w:b/>
          <w:sz w:val="24"/>
        </w:rPr>
      </w:pPr>
      <w:r>
        <w:rPr>
          <w:rFonts w:asciiTheme="minorHAnsi" w:hAnsiTheme="minorHAnsi" w:cstheme="minorHAnsi"/>
          <w:b/>
          <w:sz w:val="24"/>
        </w:rPr>
        <w:t>CENTRE HOSPITALIER DE SAINT-DENIS</w:t>
      </w:r>
    </w:p>
    <w:p>
      <w:pPr>
        <w:ind w:left="1418" w:right="411"/>
        <w:jc w:val="center"/>
        <w:rPr>
          <w:rFonts w:asciiTheme="minorHAnsi" w:hAnsiTheme="minorHAnsi" w:cstheme="minorHAnsi"/>
          <w:bCs/>
        </w:rPr>
      </w:pPr>
      <w:r>
        <w:rPr>
          <w:rFonts w:asciiTheme="minorHAnsi" w:hAnsiTheme="minorHAnsi" w:cstheme="minorHAnsi"/>
          <w:bCs/>
        </w:rPr>
        <w:t xml:space="preserve">ETABLISSEMENT SUPPORT DU GHT PLAINE DE </w:t>
      </w:r>
      <w:r>
        <w:rPr>
          <w:bCs/>
        </w:rPr>
        <w:t>FRANCE</w:t>
      </w:r>
    </w:p>
    <w:p>
      <w:pPr>
        <w:ind w:right="411" w:firstLine="709"/>
        <w:jc w:val="center"/>
        <w:rPr>
          <w:rFonts w:asciiTheme="minorHAnsi" w:hAnsiTheme="minorHAnsi" w:cstheme="minorHAnsi"/>
          <w:sz w:val="24"/>
        </w:rPr>
      </w:pPr>
      <w:r>
        <w:rPr>
          <w:rFonts w:asciiTheme="minorHAnsi" w:hAnsiTheme="minorHAnsi" w:cstheme="minorHAnsi"/>
          <w:bCs/>
          <w:sz w:val="24"/>
        </w:rPr>
        <w:t>Direction des Achats</w:t>
      </w:r>
    </w:p>
    <w:p>
      <w:pPr>
        <w:ind w:right="411" w:firstLine="709"/>
        <w:jc w:val="center"/>
        <w:rPr>
          <w:rFonts w:asciiTheme="minorHAnsi" w:hAnsiTheme="minorHAnsi" w:cstheme="minorHAnsi"/>
          <w:sz w:val="24"/>
        </w:rPr>
      </w:pPr>
      <w:r>
        <w:rPr>
          <w:rFonts w:asciiTheme="minorHAnsi" w:hAnsiTheme="minorHAnsi" w:cstheme="minorHAnsi"/>
          <w:sz w:val="24"/>
        </w:rPr>
        <w:t>2, rue du Docteur Delafontaine</w:t>
      </w:r>
    </w:p>
    <w:p>
      <w:pPr>
        <w:ind w:right="411" w:firstLine="709"/>
        <w:jc w:val="center"/>
        <w:rPr>
          <w:rFonts w:asciiTheme="minorHAnsi" w:hAnsiTheme="minorHAnsi" w:cstheme="minorHAnsi"/>
          <w:sz w:val="24"/>
        </w:rPr>
      </w:pPr>
      <w:r>
        <w:rPr>
          <w:rFonts w:asciiTheme="minorHAnsi" w:hAnsiTheme="minorHAnsi" w:cstheme="minorHAnsi"/>
          <w:sz w:val="24"/>
        </w:rPr>
        <w:t xml:space="preserve">93200 SAINT-DENIS </w:t>
      </w:r>
    </w:p>
    <w:p>
      <w:pPr>
        <w:jc w:val="center"/>
      </w:pPr>
    </w:p>
    <w:p/>
    <w:p/>
    <w:p/>
    <w:p/>
    <w:p/>
    <w:p/>
    <w:p/>
    <w:p/>
    <w:p/>
    <w:p>
      <w:pPr>
        <w:spacing w:after="200" w:line="276" w:lineRule="auto"/>
      </w:pPr>
    </w:p>
    <w:p>
      <w:pPr>
        <w:spacing w:after="200" w:line="276" w:lineRule="auto"/>
      </w:pPr>
    </w:p>
    <w:p>
      <w:pPr>
        <w:spacing w:after="200" w:line="276" w:lineRule="auto"/>
      </w:pPr>
      <w:r>
        <w:br w:type="page"/>
      </w:r>
    </w:p>
    <w:p>
      <w:pPr>
        <w:pStyle w:val="Titre1"/>
        <w:ind w:left="357" w:hanging="357"/>
        <w:rPr>
          <w:rFonts w:cs="Calibri"/>
          <w:szCs w:val="22"/>
        </w:rPr>
      </w:pPr>
      <w:r>
        <w:rPr>
          <w:rFonts w:cs="Calibri"/>
          <w:szCs w:val="22"/>
        </w:rPr>
        <w:lastRenderedPageBreak/>
        <w:t>Objet dU MARCHE PUBLIC</w:t>
      </w:r>
    </w:p>
    <w:p>
      <w:r>
        <w:t>Le présent accord-cadre a pour objet la fourniture de fluides médicaux et des prestations associées ainsi que la maintenance des réseaux de fluides médicaux et des centrales de vide pour les besoins du Centre hospitalier de Saint Denis.</w:t>
      </w:r>
    </w:p>
    <w:p/>
    <w:p>
      <w:pPr>
        <w:rPr>
          <w:rFonts w:cs="Calibri"/>
          <w:color w:val="000000"/>
          <w:szCs w:val="22"/>
        </w:rPr>
      </w:pPr>
      <w:r>
        <w:rPr>
          <w:rFonts w:cs="Calibri"/>
          <w:color w:val="000000"/>
          <w:szCs w:val="22"/>
        </w:rPr>
        <w:t>Cet acte d'engagement correspond aux lots suivants :</w:t>
      </w:r>
    </w:p>
    <w:bookmarkStart w:id="0" w:name="_Hlk188452940"/>
    <w:p>
      <w:pPr>
        <w:numPr>
          <w:ilvl w:val="0"/>
          <w:numId w:val="26"/>
        </w:numPr>
      </w:pPr>
      <w:sdt>
        <w:sdtPr>
          <w:id w:val="776519712"/>
          <w14:checkbox>
            <w14:checked w14:val="0"/>
            <w14:checkedState w14:val="2612" w14:font="MS Gothic"/>
            <w14:uncheckedState w14:val="2610" w14:font="MS Gothic"/>
          </w14:checkbox>
        </w:sdtPr>
        <w:sdtContent>
          <w:r>
            <w:rPr>
              <w:rFonts w:ascii="MS Gothic" w:eastAsia="MS Gothic" w:hAnsi="MS Gothic" w:hint="eastAsia"/>
            </w:rPr>
            <w:t>☐</w:t>
          </w:r>
        </w:sdtContent>
      </w:sdt>
      <w:r>
        <w:t>Lot 1 : Gaz à usage médical en réseau</w:t>
      </w:r>
    </w:p>
    <w:p>
      <w:pPr>
        <w:numPr>
          <w:ilvl w:val="0"/>
          <w:numId w:val="26"/>
        </w:numPr>
      </w:pPr>
      <w:sdt>
        <w:sdtPr>
          <w:id w:val="-192648315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Lot 2 : Fourniture d'oxygène, Mélange équimolaire oxygène /protoxyde azote, protoxyde </w:t>
      </w:r>
    </w:p>
    <w:p>
      <w:pPr>
        <w:ind w:left="1429"/>
      </w:pPr>
      <w:r>
        <w:t xml:space="preserve">            </w:t>
      </w:r>
      <w:proofErr w:type="gramStart"/>
      <w:r>
        <w:t>d'azote</w:t>
      </w:r>
      <w:proofErr w:type="gramEnd"/>
      <w:r>
        <w:t xml:space="preserve"> médicinal, air médical, dioxyde de carbone, Monoxyde d'azote médical et d’azote liquide en bouteille</w:t>
      </w:r>
    </w:p>
    <w:p>
      <w:pPr>
        <w:numPr>
          <w:ilvl w:val="0"/>
          <w:numId w:val="26"/>
        </w:numPr>
        <w:rPr>
          <w:rFonts w:cs="Calibri"/>
          <w:b/>
          <w:szCs w:val="20"/>
        </w:rPr>
      </w:pPr>
      <w:sdt>
        <w:sdtPr>
          <w:id w:val="1425375157"/>
          <w14:checkbox>
            <w14:checked w14:val="0"/>
            <w14:checkedState w14:val="2612" w14:font="MS Gothic"/>
            <w14:uncheckedState w14:val="2610" w14:font="MS Gothic"/>
          </w14:checkbox>
        </w:sdtPr>
        <w:sdtContent>
          <w:r>
            <w:rPr>
              <w:rFonts w:ascii="MS Gothic" w:eastAsia="MS Gothic" w:hAnsi="MS Gothic" w:hint="eastAsia"/>
            </w:rPr>
            <w:t>☐</w:t>
          </w:r>
        </w:sdtContent>
      </w:sdt>
      <w:r>
        <w:t>Lot 3 Maintenance des réseaux primaires et secondaires des fluides médicaux</w:t>
      </w:r>
    </w:p>
    <w:bookmarkStart w:id="1" w:name="_Toc460064551"/>
    <w:bookmarkStart w:id="2" w:name="_Toc460750175"/>
    <w:bookmarkStart w:id="3" w:name="_Toc460835508"/>
    <w:bookmarkStart w:id="4" w:name="_Toc460990517"/>
    <w:bookmarkStart w:id="5" w:name="_Toc460995067"/>
    <w:bookmarkStart w:id="6" w:name="_Toc460995181"/>
    <w:p>
      <w:pPr>
        <w:pStyle w:val="Paragraphedeliste"/>
        <w:numPr>
          <w:ilvl w:val="0"/>
          <w:numId w:val="26"/>
        </w:numPr>
      </w:pPr>
      <w:sdt>
        <w:sdtPr>
          <w:rPr>
            <w:rFonts w:ascii="MS Gothic" w:eastAsia="MS Gothic" w:hAnsi="MS Gothic"/>
          </w:rPr>
          <w:id w:val="-149664840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Lot 4 : </w:t>
      </w:r>
      <w:bookmarkStart w:id="7" w:name="_Hlk190347566"/>
      <w:r>
        <w:t>Maintenance des groupes de vide</w:t>
      </w:r>
    </w:p>
    <w:bookmarkEnd w:id="0"/>
    <w:bookmarkEnd w:id="1"/>
    <w:bookmarkEnd w:id="2"/>
    <w:bookmarkEnd w:id="3"/>
    <w:bookmarkEnd w:id="4"/>
    <w:bookmarkEnd w:id="5"/>
    <w:bookmarkEnd w:id="6"/>
    <w:bookmarkEnd w:id="7"/>
    <w:p>
      <w:pPr>
        <w:ind w:left="1418"/>
        <w:rPr>
          <w:rFonts w:cs="Calibri"/>
          <w:color w:val="000000"/>
          <w:szCs w:val="22"/>
        </w:rPr>
      </w:pPr>
    </w:p>
    <w:p>
      <w:pPr>
        <w:rPr>
          <w:rFonts w:cs="Calibri"/>
          <w:color w:val="000000"/>
          <w:szCs w:val="22"/>
        </w:rPr>
      </w:pPr>
      <w:r>
        <w:rPr>
          <w:rFonts w:cs="Calibri"/>
          <w:color w:val="000000"/>
          <w:szCs w:val="22"/>
        </w:rPr>
        <w:t>2</w:t>
      </w:r>
      <w:sdt>
        <w:sdtPr>
          <w:rPr>
            <w:rFonts w:cs="Calibri"/>
            <w:color w:val="000000"/>
            <w:szCs w:val="22"/>
          </w:rPr>
          <w:id w:val="871497556"/>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t xml:space="preserve"> </w:t>
      </w:r>
      <w:r>
        <w:rPr>
          <w:rFonts w:cs="Calibri"/>
          <w:color w:val="000000"/>
          <w:szCs w:val="22"/>
        </w:rPr>
        <w:t xml:space="preserve">à l’offre de base </w:t>
      </w:r>
    </w:p>
    <w:p>
      <w:pPr>
        <w:rPr>
          <w:rFonts w:cs="Calibri"/>
          <w:color w:val="000000"/>
          <w:szCs w:val="22"/>
        </w:rPr>
      </w:pPr>
    </w:p>
    <w:p>
      <w:pPr>
        <w:ind w:left="851"/>
        <w:rPr>
          <w:rFonts w:cs="Calibri"/>
          <w:color w:val="000000"/>
          <w:szCs w:val="22"/>
        </w:rPr>
      </w:pPr>
      <w:sdt>
        <w:sdtPr>
          <w:id w:val="-1195533101"/>
          <w14:checkbox>
            <w14:checked w14:val="0"/>
            <w14:checkedState w14:val="2612" w14:font="MS Gothic"/>
            <w14:uncheckedState w14:val="2610" w14:font="MS Gothic"/>
          </w14:checkbox>
        </w:sdtPr>
        <w:sdtContent>
          <w:r>
            <w:rPr>
              <w:rFonts w:ascii="MS Gothic" w:eastAsia="MS Gothic" w:hAnsi="MS Gothic" w:hint="eastAsia"/>
            </w:rPr>
            <w:t>☐</w:t>
          </w:r>
        </w:sdtContent>
      </w:sdt>
      <w:r>
        <w:tab/>
      </w:r>
      <w:proofErr w:type="gramStart"/>
      <w:r>
        <w:rPr>
          <w:rFonts w:cs="Calibri"/>
          <w:color w:val="000000"/>
          <w:szCs w:val="22"/>
        </w:rPr>
        <w:t>à</w:t>
      </w:r>
      <w:proofErr w:type="gramEnd"/>
      <w:r>
        <w:rPr>
          <w:rFonts w:cs="Calibri"/>
          <w:color w:val="000000"/>
          <w:szCs w:val="22"/>
        </w:rPr>
        <w:t xml:space="preserve"> la variante suivante :</w:t>
      </w:r>
    </w:p>
    <w:p>
      <w:pPr>
        <w:ind w:left="1418"/>
        <w:rPr>
          <w:rFonts w:cs="Calibri"/>
          <w:color w:val="000000"/>
          <w:szCs w:val="22"/>
        </w:rPr>
      </w:pPr>
    </w:p>
    <w:p>
      <w:pPr>
        <w:ind w:left="1418"/>
        <w:rPr>
          <w:rFonts w:cs="Calibri"/>
          <w:color w:val="000000"/>
          <w:szCs w:val="22"/>
        </w:rPr>
      </w:pPr>
    </w:p>
    <w:p>
      <w:pPr>
        <w:ind w:left="1418"/>
        <w:rPr>
          <w:rFonts w:cs="Calibri"/>
          <w:color w:val="000000"/>
          <w:szCs w:val="22"/>
        </w:rPr>
      </w:pPr>
    </w:p>
    <w:p>
      <w:pPr>
        <w:rPr>
          <w:rFonts w:cs="Calibri"/>
          <w:color w:val="000000"/>
          <w:szCs w:val="22"/>
        </w:rPr>
      </w:pPr>
      <w:r>
        <w:rPr>
          <w:rFonts w:cs="Calibri"/>
          <w:color w:val="000000"/>
          <w:szCs w:val="22"/>
        </w:rPr>
        <w:t>3.</w:t>
      </w:r>
      <w:sdt>
        <w:sdtPr>
          <w:rPr>
            <w:rFonts w:cs="Calibri"/>
            <w:color w:val="000000"/>
            <w:szCs w:val="22"/>
          </w:rPr>
          <w:id w:val="-1576046815"/>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tab/>
      </w:r>
      <w:r>
        <w:rPr>
          <w:rFonts w:cs="Calibri"/>
          <w:color w:val="000000"/>
          <w:szCs w:val="22"/>
        </w:rPr>
        <w:t>avec les prestations supplémentaires suivantes :</w:t>
      </w:r>
    </w:p>
    <w:p>
      <w:pPr>
        <w:rPr>
          <w:rFonts w:cs="Calibri"/>
          <w:color w:val="000000"/>
          <w:szCs w:val="22"/>
          <w14:textOutline w14:w="6350" w14:cap="rnd" w14:cmpd="sng" w14:algn="ctr">
            <w14:solidFill>
              <w14:schemeClr w14:val="tx1"/>
            </w14:solidFill>
            <w14:prstDash w14:val="solid"/>
            <w14:bevel/>
          </w14:textOutline>
        </w:rPr>
      </w:pPr>
    </w:p>
    <w:p>
      <w:pPr>
        <w:ind w:left="1276"/>
      </w:pPr>
      <w:sdt>
        <w:sdtPr>
          <w:id w:val="-8517987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spellStart"/>
      <w:r>
        <w:t>PSE</w:t>
      </w:r>
      <w:proofErr w:type="spellEnd"/>
      <w:r>
        <w:t xml:space="preserve"> Obligatoire : Traçabilité de niveau 2</w:t>
      </w:r>
    </w:p>
    <w:p>
      <w:pPr>
        <w:ind w:left="1276"/>
      </w:pPr>
    </w:p>
    <w:p>
      <w:pPr>
        <w:ind w:left="1276"/>
      </w:pPr>
      <w:sdt>
        <w:sdtPr>
          <w:id w:val="-214418656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spellStart"/>
      <w:r>
        <w:t>PSE</w:t>
      </w:r>
      <w:proofErr w:type="spellEnd"/>
      <w:r>
        <w:t xml:space="preserve"> Facultative : Proposition d’une prestation de gestion des bouteilles</w:t>
      </w:r>
    </w:p>
    <w:p>
      <w:pPr>
        <w:rPr>
          <w:rFonts w:cs="Calibri"/>
          <w:color w:val="000000"/>
          <w:szCs w:val="22"/>
          <w14:textOutline w14:w="6350" w14:cap="rnd" w14:cmpd="sng" w14:algn="ctr">
            <w14:solidFill>
              <w14:schemeClr w14:val="tx1"/>
            </w14:solidFill>
            <w14:prstDash w14:val="solid"/>
            <w14:bevel/>
          </w14:textOutline>
        </w:rPr>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sdt>
        <w:sdtPr>
          <w:rPr>
            <w:rFonts w:cs="Calibri"/>
            <w:color w:val="000000"/>
            <w:szCs w:val="22"/>
          </w:rPr>
          <w:id w:val="-512998125"/>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CCAP </w:t>
      </w:r>
    </w:p>
    <w:p>
      <w:pPr>
        <w:spacing w:before="100" w:beforeAutospacing="1" w:after="100" w:afterAutospacing="1"/>
        <w:rPr>
          <w:rFonts w:cs="Calibri"/>
          <w:color w:val="000000"/>
          <w:szCs w:val="22"/>
        </w:rPr>
      </w:pPr>
      <w:sdt>
        <w:sdtPr>
          <w:rPr>
            <w:rFonts w:cs="Calibri"/>
            <w:color w:val="000000"/>
            <w:szCs w:val="22"/>
          </w:rPr>
          <w:id w:val="1096517478"/>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CCTP </w:t>
      </w:r>
    </w:p>
    <w:p>
      <w:pPr>
        <w:spacing w:before="100" w:beforeAutospacing="1" w:after="100" w:afterAutospacing="1"/>
        <w:rPr>
          <w:rFonts w:cs="Calibri"/>
          <w:color w:val="000000"/>
          <w:szCs w:val="22"/>
        </w:rPr>
      </w:pPr>
      <w:sdt>
        <w:sdtPr>
          <w:rPr>
            <w:rFonts w:cs="Calibri"/>
            <w:color w:val="000000"/>
            <w:szCs w:val="22"/>
          </w:rPr>
          <w:id w:val="-1396511019"/>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sdt>
        <w:sdtPr>
          <w:rPr>
            <w:rFonts w:cs="Calibri"/>
            <w:color w:val="000000"/>
            <w:szCs w:val="22"/>
          </w:rPr>
          <w:id w:val="-1136949056"/>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spacing w:before="100" w:beforeAutospacing="1" w:after="100" w:afterAutospacing="1"/>
        <w:ind w:left="1418"/>
        <w:rPr>
          <w:rFonts w:cs="Calibri"/>
          <w:color w:val="000000"/>
          <w:szCs w:val="22"/>
        </w:rPr>
      </w:pPr>
      <w:sdt>
        <w:sdtPr>
          <w:rPr>
            <w:rFonts w:cs="Calibri"/>
            <w:color w:val="000000"/>
            <w:szCs w:val="22"/>
          </w:rPr>
          <w:id w:val="-2016057837"/>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lastRenderedPageBreak/>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spacing w:before="100" w:beforeAutospacing="1"/>
        <w:ind w:left="1418"/>
        <w:rPr>
          <w:rFonts w:cs="Calibri"/>
          <w:color w:val="000000"/>
          <w:szCs w:val="22"/>
        </w:rPr>
      </w:pPr>
      <w:sdt>
        <w:sdtPr>
          <w:id w:val="-64389239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Pr>
          <w:rFonts w:cs="Calibri"/>
          <w:color w:val="000000"/>
          <w:szCs w:val="22"/>
        </w:rPr>
        <w:t xml:space="preserve"> </w:t>
      </w:r>
      <w:proofErr w:type="gramStart"/>
      <w:r>
        <w:rPr>
          <w:rFonts w:cs="Calibri"/>
          <w:color w:val="000000"/>
          <w:szCs w:val="22"/>
        </w:rPr>
        <w:t>s’engage</w:t>
      </w:r>
      <w:proofErr w:type="gramEnd"/>
      <w:r>
        <w:rPr>
          <w:rFonts w:cs="Calibri"/>
          <w:color w:val="000000"/>
          <w:szCs w:val="22"/>
        </w:rPr>
        <w:t>, sur la base de son offre et pour son propre compte ;</w:t>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sdt>
        <w:sdtPr>
          <w:rPr>
            <w:rFonts w:cs="Calibri"/>
            <w:color w:val="000000"/>
            <w:szCs w:val="22"/>
          </w:rPr>
          <w:id w:val="2112929279"/>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w:t>
      </w:r>
      <w:proofErr w:type="gramStart"/>
      <w:r>
        <w:rPr>
          <w:rFonts w:cs="Calibri"/>
          <w:color w:val="000000"/>
          <w:szCs w:val="22"/>
        </w:rPr>
        <w:t>engage</w:t>
      </w:r>
      <w:proofErr w:type="gramEnd"/>
      <w:r>
        <w:rPr>
          <w:rFonts w:cs="Calibri"/>
          <w:color w:val="000000"/>
          <w:szCs w:val="22"/>
        </w:rPr>
        <w:t xml:space="preserv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 w:val="16"/>
          <w:szCs w:val="22"/>
        </w:rPr>
      </w:pPr>
    </w:p>
    <w:p>
      <w:pPr>
        <w:ind w:left="1418"/>
        <w:rPr>
          <w:rFonts w:cs="Calibri"/>
          <w:color w:val="000000"/>
          <w:szCs w:val="22"/>
        </w:rPr>
      </w:pPr>
      <w:sdt>
        <w:sdtPr>
          <w:id w:val="86927462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Pr>
          <w:rFonts w:cs="Calibri"/>
          <w:color w:val="000000"/>
          <w:szCs w:val="22"/>
        </w:rPr>
        <w:t xml:space="preserve"> </w:t>
      </w:r>
      <w:proofErr w:type="gramStart"/>
      <w:r>
        <w:rPr>
          <w:rFonts w:cs="Calibri"/>
          <w:color w:val="000000"/>
          <w:szCs w:val="22"/>
        </w:rPr>
        <w:t>l’ensemble</w:t>
      </w:r>
      <w:proofErr w:type="gramEnd"/>
      <w:r>
        <w:rPr>
          <w:rFonts w:cs="Calibri"/>
          <w:color w:val="000000"/>
          <w:szCs w:val="22"/>
        </w:rPr>
        <w:t xml:space="preserve"> des membres du groupement s’engagent, sur la base de l’offre du groupement ;</w:t>
      </w:r>
    </w:p>
    <w:p>
      <w:pPr>
        <w:ind w:left="1418"/>
        <w:rPr>
          <w:rFonts w:cs="Calibri"/>
          <w:color w:val="000000"/>
          <w:sz w:val="16"/>
          <w:szCs w:val="22"/>
        </w:rPr>
      </w:pPr>
      <w:r>
        <w:rPr>
          <w:rFonts w:cs="Calibri"/>
          <w:color w:val="000000"/>
          <w:sz w:val="16"/>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sdt>
        <w:sdtPr>
          <w:id w:val="102783547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Pr>
          <w:rFonts w:cs="Calibri"/>
          <w:color w:val="000000"/>
          <w:szCs w:val="22"/>
        </w:rP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sdt>
        <w:sdtPr>
          <w:rPr>
            <w:rFonts w:cs="Calibri"/>
            <w:color w:val="000000"/>
            <w:szCs w:val="22"/>
          </w:rPr>
          <w:id w:val="-806615496"/>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w:t>
      </w:r>
      <w:proofErr w:type="gramStart"/>
      <w:r>
        <w:rPr>
          <w:rFonts w:cs="Calibri"/>
          <w:color w:val="000000"/>
          <w:szCs w:val="22"/>
        </w:rPr>
        <w:t>conjoint</w:t>
      </w:r>
      <w:proofErr w:type="gramEnd"/>
      <w:r>
        <w:rPr>
          <w:rFonts w:cs="Calibri"/>
          <w:color w:val="000000"/>
          <w:szCs w:val="22"/>
        </w:rPr>
        <w:t xml:space="preserve">    OU       </w:t>
      </w:r>
      <w:sdt>
        <w:sdtPr>
          <w:rPr>
            <w:rFonts w:cs="Calibri"/>
            <w:color w:val="000000"/>
            <w:szCs w:val="22"/>
          </w:rPr>
          <w:id w:val="-714280414"/>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p>
    <w:p>
      <w:pPr>
        <w:rPr>
          <w:rFonts w:cs="Calibri"/>
          <w:color w:val="000000"/>
          <w:szCs w:val="22"/>
        </w:rPr>
      </w:pPr>
      <w:r>
        <w:rPr>
          <w:rFonts w:cs="Calibri"/>
          <w:color w:val="000000"/>
          <w:szCs w:val="22"/>
        </w:rPr>
        <w:t xml:space="preserve">Je renonce au bénéfice de l'avance :                            </w:t>
      </w:r>
      <w:sdt>
        <w:sdtPr>
          <w:rPr>
            <w:rFonts w:cs="Calibri"/>
            <w:color w:val="000000"/>
            <w:szCs w:val="22"/>
          </w:rPr>
          <w:id w:val="1750773798"/>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Non                                             </w:t>
      </w:r>
      <w:sdt>
        <w:sdtPr>
          <w:rPr>
            <w:rFonts w:cs="Calibri"/>
            <w:color w:val="000000"/>
            <w:szCs w:val="22"/>
          </w:rPr>
          <w:id w:val="81257602"/>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rPr>
          <w:rFonts w:cs="Calibri"/>
          <w:color w:val="0D0D0D"/>
        </w:rPr>
      </w:pPr>
      <w:r>
        <w:rPr>
          <w:rFonts w:cs="Calibri"/>
          <w:color w:val="0D0D0D"/>
        </w:rPr>
        <w:lastRenderedPageBreak/>
        <w:t>L’accord-cadre est conclu pour une durée de 12 mois à compter 1</w:t>
      </w:r>
      <w:r>
        <w:rPr>
          <w:rFonts w:cs="Calibri"/>
          <w:color w:val="0D0D0D"/>
          <w:vertAlign w:val="superscript"/>
        </w:rPr>
        <w:t>er</w:t>
      </w:r>
      <w:r>
        <w:rPr>
          <w:rFonts w:cs="Calibri"/>
          <w:color w:val="0D0D0D"/>
        </w:rPr>
        <w:t xml:space="preserve"> mai 2025 (ou sa date de notification au Titulaire si elle est postérieure au 1er mai 2025) jusqu’au 30 avril 2026.</w:t>
      </w:r>
    </w:p>
    <w:p>
      <w:pPr>
        <w:rPr>
          <w:rFonts w:cs="Calibri"/>
          <w:color w:val="0D0D0D"/>
        </w:rPr>
      </w:pPr>
    </w:p>
    <w:p>
      <w:pPr>
        <w:rPr>
          <w:rFonts w:cs="Calibri"/>
          <w:color w:val="0D0D0D"/>
        </w:rPr>
      </w:pPr>
      <w:r>
        <w:rPr>
          <w:rFonts w:cs="Calibri"/>
          <w:color w:val="0D0D0D"/>
        </w:rPr>
        <w:t>L’accord-cadre est reconductible 3 fois pour une période de 12 mois par tacite reconduction et n’excèdera en aucun cas le 30 avril 2029.</w:t>
      </w:r>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highlight w:val="yellow"/>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r>
        <w:rPr>
          <w:rFonts w:cs="Calibri"/>
          <w:color w:val="000000"/>
          <w:sz w:val="18"/>
          <w:szCs w:val="22"/>
          <w:highlight w:val="yellow"/>
        </w:rPr>
        <w:t>.</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sdt>
        <w:sdtPr>
          <w:rPr>
            <w:rFonts w:cs="Calibri"/>
            <w:color w:val="000000"/>
            <w:szCs w:val="22"/>
          </w:rPr>
          <w:id w:val="-933200315"/>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w:t>
      </w:r>
      <w:proofErr w:type="gramStart"/>
      <w:r>
        <w:rPr>
          <w:rFonts w:cs="Calibri"/>
          <w:color w:val="000000"/>
          <w:szCs w:val="22"/>
        </w:rPr>
        <w:t>conjoint</w:t>
      </w:r>
      <w:proofErr w:type="gramEnd"/>
      <w:r>
        <w:rPr>
          <w:rFonts w:cs="Calibri"/>
          <w:color w:val="000000"/>
          <w:szCs w:val="22"/>
        </w:rPr>
        <w:t xml:space="preserve">                       OU                                    </w:t>
      </w:r>
      <w:sdt>
        <w:sdtPr>
          <w:rPr>
            <w:rFonts w:cs="Calibri"/>
            <w:color w:val="000000"/>
            <w:szCs w:val="22"/>
          </w:rPr>
          <w:id w:val="1424216372"/>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t xml:space="preserve"> </w:t>
      </w:r>
      <w:r>
        <w:rPr>
          <w:rFonts w:cs="Calibri"/>
          <w:color w:val="000000"/>
          <w:szCs w:val="22"/>
        </w:rPr>
        <w:t>solidaire</w:t>
      </w:r>
    </w:p>
    <w:p>
      <w:pPr>
        <w:rPr>
          <w:rFonts w:cs="Calibri"/>
          <w:color w:val="000000"/>
          <w:szCs w:val="22"/>
        </w:rPr>
      </w:pPr>
      <w:sdt>
        <w:sdtPr>
          <w:rPr>
            <w:rFonts w:cs="Calibri"/>
            <w:color w:val="000000"/>
            <w:szCs w:val="22"/>
          </w:rPr>
          <w:id w:val="727417194"/>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sdt>
        <w:sdtPr>
          <w:rPr>
            <w:rFonts w:cs="Calibri"/>
            <w:color w:val="000000"/>
            <w:szCs w:val="22"/>
          </w:rPr>
          <w:id w:val="1791170354"/>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proofErr w:type="gramStart"/>
      <w:r>
        <w:rPr>
          <w:rFonts w:cs="Calibri"/>
          <w:color w:val="000000"/>
          <w:szCs w:val="22"/>
        </w:rPr>
        <w:t>pour</w:t>
      </w:r>
      <w:proofErr w:type="gramEnd"/>
      <w:r>
        <w:rPr>
          <w:rFonts w:cs="Calibri"/>
          <w:color w:val="000000"/>
          <w:szCs w:val="22"/>
        </w:rPr>
        <w:t xml:space="preserve">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sdt>
        <w:sdtPr>
          <w:rPr>
            <w:rFonts w:cs="Calibri"/>
            <w:color w:val="000000"/>
            <w:szCs w:val="22"/>
          </w:rPr>
          <w:id w:val="792254528"/>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proofErr w:type="gramStart"/>
      <w:r>
        <w:rPr>
          <w:rFonts w:cs="Calibri"/>
          <w:color w:val="000000"/>
          <w:szCs w:val="22"/>
        </w:rPr>
        <w:t>pour</w:t>
      </w:r>
      <w:proofErr w:type="gramEnd"/>
      <w:r>
        <w:rPr>
          <w:rFonts w:cs="Calibri"/>
          <w:color w:val="000000"/>
          <w:szCs w:val="22"/>
        </w:rPr>
        <w:t xml:space="preserve"> signer, en leur nom et pour leur compte, les modifications ultérieures du marché public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sdt>
        <w:sdtPr>
          <w:rPr>
            <w:rFonts w:cs="Calibri"/>
            <w:color w:val="000000"/>
            <w:szCs w:val="22"/>
          </w:rPr>
          <w:id w:val="1747995253"/>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proofErr w:type="gramStart"/>
      <w:r>
        <w:rPr>
          <w:rFonts w:cs="Calibri"/>
          <w:color w:val="000000"/>
          <w:szCs w:val="22"/>
        </w:rPr>
        <w:t>ont</w:t>
      </w:r>
      <w:proofErr w:type="gramEnd"/>
      <w:r>
        <w:rPr>
          <w:rFonts w:cs="Calibri"/>
          <w:color w:val="000000"/>
          <w:szCs w:val="22"/>
        </w:rPr>
        <w:t xml:space="preserve"> donné mandat au mandataire dans les conditions définies par les pouvoirs joints en annexe.</w:t>
      </w:r>
    </w:p>
    <w:p>
      <w:pPr>
        <w:rPr>
          <w:rFonts w:cs="Calibri"/>
          <w:color w:val="000000"/>
          <w:sz w:val="18"/>
          <w:szCs w:val="22"/>
        </w:rPr>
      </w:pPr>
      <w:r>
        <w:rPr>
          <w:rFonts w:cs="Calibri"/>
          <w:color w:val="000000"/>
          <w:sz w:val="18"/>
          <w:szCs w:val="22"/>
        </w:rPr>
        <w:t>(</w:t>
      </w:r>
      <w:proofErr w:type="gramStart"/>
      <w:r>
        <w:rPr>
          <w:rFonts w:cs="Calibri"/>
          <w:color w:val="000000"/>
          <w:sz w:val="18"/>
          <w:szCs w:val="22"/>
        </w:rPr>
        <w:t>hors</w:t>
      </w:r>
      <w:proofErr w:type="gramEnd"/>
      <w:r>
        <w:rPr>
          <w:rFonts w:cs="Calibri"/>
          <w:color w:val="000000"/>
          <w:sz w:val="18"/>
          <w:szCs w:val="22"/>
        </w:rPr>
        <w:t xml:space="preserve"> cas des marchés de défense ou de sécurité dans lequel ces documents ont déjà été fournis).</w:t>
      </w:r>
    </w:p>
    <w:p>
      <w:pPr>
        <w:spacing w:before="100" w:beforeAutospacing="1"/>
        <w:rPr>
          <w:rFonts w:cs="Calibri"/>
          <w:color w:val="000000"/>
          <w:szCs w:val="22"/>
        </w:rPr>
      </w:pPr>
      <w:sdt>
        <w:sdtPr>
          <w:rPr>
            <w:rFonts w:cs="Calibri"/>
            <w:color w:val="000000"/>
            <w:szCs w:val="22"/>
          </w:rPr>
          <w:id w:val="-1382635371"/>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sdt>
        <w:sdtPr>
          <w:rPr>
            <w:rFonts w:cs="Calibri"/>
            <w:color w:val="000000"/>
            <w:szCs w:val="22"/>
          </w:rPr>
          <w:id w:val="-812630904"/>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proofErr w:type="gramStart"/>
      <w:r>
        <w:rPr>
          <w:rFonts w:cs="Calibri"/>
          <w:color w:val="000000"/>
          <w:szCs w:val="22"/>
        </w:rPr>
        <w:t>donnent</w:t>
      </w:r>
      <w:proofErr w:type="gramEnd"/>
      <w:r>
        <w:rPr>
          <w:rFonts w:cs="Calibri"/>
          <w:color w:val="000000"/>
          <w:szCs w:val="22"/>
        </w:rPr>
        <w:t xml:space="preserve"> mandat au mandataire, qui l’accepte, pour les représenter vis-à-vis de l’acheteur et pour coordonner l’ensemble des prestations ;</w:t>
      </w:r>
    </w:p>
    <w:p>
      <w:pPr>
        <w:spacing w:after="100" w:afterAutospacing="1"/>
        <w:ind w:firstLine="709"/>
        <w:rPr>
          <w:rFonts w:cs="Calibri"/>
          <w:color w:val="000000"/>
          <w:sz w:val="18"/>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lastRenderedPageBreak/>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pStyle w:val="Titre1"/>
      </w:pPr>
      <w:r>
        <w:t xml:space="preserve">Identification de l’acheteur. </w:t>
      </w:r>
    </w:p>
    <w:p>
      <w:pPr>
        <w:jc w:val="center"/>
        <w:rPr>
          <w:rFonts w:cs="Calibri"/>
          <w:b/>
          <w:color w:val="000000"/>
          <w:szCs w:val="22"/>
        </w:rPr>
      </w:pPr>
      <w:r>
        <w:rPr>
          <w:rFonts w:cs="Calibri"/>
          <w:b/>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Achats</w:t>
      </w:r>
    </w:p>
    <w:p>
      <w:pPr>
        <w:jc w:val="center"/>
        <w:rPr>
          <w:rFonts w:cs="Calibri"/>
          <w:color w:val="000000"/>
          <w:sz w:val="20"/>
          <w:szCs w:val="22"/>
        </w:rPr>
      </w:pPr>
      <w:r>
        <w:rPr>
          <w:rFonts w:cs="Calibri"/>
          <w:color w:val="000000"/>
          <w:sz w:val="20"/>
          <w:szCs w:val="22"/>
        </w:rPr>
        <w:t>GHT PLAINE DE France</w:t>
      </w:r>
    </w:p>
    <w:p>
      <w:pPr>
        <w:jc w:val="center"/>
        <w:rPr>
          <w:rFonts w:cs="Calibri"/>
          <w:color w:val="000000"/>
          <w:sz w:val="20"/>
          <w:szCs w:val="22"/>
        </w:rPr>
      </w:pPr>
    </w:p>
    <w:p>
      <w:pPr>
        <w:pStyle w:val="Paragraphedeliste"/>
        <w:numPr>
          <w:ilvl w:val="0"/>
          <w:numId w:val="25"/>
        </w:numPr>
        <w:ind w:hanging="357"/>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Achats</w:t>
      </w:r>
    </w:p>
    <w:p>
      <w:pPr>
        <w:jc w:val="center"/>
        <w:rPr>
          <w:rFonts w:cs="Calibri"/>
          <w:color w:val="000000"/>
          <w:sz w:val="20"/>
          <w:szCs w:val="22"/>
        </w:rPr>
      </w:pPr>
      <w:r>
        <w:rPr>
          <w:rFonts w:cs="Calibri"/>
          <w:color w:val="000000"/>
          <w:sz w:val="20"/>
          <w:szCs w:val="22"/>
        </w:rPr>
        <w:t>GHT PLAINE DE France</w:t>
      </w:r>
    </w:p>
    <w:p>
      <w:pPr>
        <w:jc w:val="center"/>
        <w:rPr>
          <w:rFonts w:cs="Calibri"/>
          <w:color w:val="000000"/>
          <w:sz w:val="20"/>
          <w:szCs w:val="22"/>
        </w:rPr>
      </w:pPr>
    </w:p>
    <w:p>
      <w:pPr>
        <w:pStyle w:val="Paragraphedeliste"/>
        <w:numPr>
          <w:ilvl w:val="0"/>
          <w:numId w:val="25"/>
        </w:numPr>
        <w:ind w:hanging="357"/>
        <w:rPr>
          <w:rFonts w:cs="Calibri"/>
          <w:color w:val="000000"/>
          <w:szCs w:val="22"/>
        </w:rPr>
      </w:pPr>
      <w:r>
        <w:rPr>
          <w:rFonts w:cs="Calibri"/>
          <w:color w:val="000000"/>
          <w:szCs w:val="22"/>
        </w:rPr>
        <w:t>Désignation, adresse, numéro de téléphone du comptable assignataire</w:t>
      </w:r>
    </w:p>
    <w:p>
      <w:pPr>
        <w:ind w:left="1418"/>
        <w:jc w:val="center"/>
        <w:rPr>
          <w:rFonts w:cs="Calibri"/>
          <w:b/>
          <w:color w:val="000000"/>
          <w:szCs w:val="22"/>
        </w:rPr>
      </w:pPr>
      <w:r>
        <w:rPr>
          <w:rFonts w:cs="Calibri"/>
          <w:b/>
          <w:color w:val="000000"/>
          <w:szCs w:val="22"/>
        </w:rPr>
        <w:t>Le comptable assignataire du Centre Hospitalier de Saint Denis</w:t>
      </w:r>
    </w:p>
    <w:p>
      <w:pPr>
        <w:shd w:val="clear" w:color="auto" w:fill="FFFFFF"/>
        <w:ind w:left="2127"/>
        <w:jc w:val="center"/>
        <w:rPr>
          <w:rFonts w:cs="Calibri"/>
          <w:color w:val="000000"/>
          <w:szCs w:val="22"/>
        </w:rPr>
      </w:pPr>
      <w:r>
        <w:rPr>
          <w:rFonts w:cs="Calibri"/>
          <w:color w:val="000000"/>
          <w:szCs w:val="22"/>
        </w:rPr>
        <w:t>2 Rue du Dr Delafontaine, 93200 Saint-Denis</w:t>
      </w:r>
    </w:p>
    <w:p>
      <w:pPr>
        <w:shd w:val="clear" w:color="auto" w:fill="FFFFFF"/>
        <w:ind w:left="2127"/>
        <w:jc w:val="center"/>
        <w:rPr>
          <w:rFonts w:cs="Calibri"/>
          <w:color w:val="000000"/>
          <w:szCs w:val="22"/>
        </w:rPr>
      </w:pPr>
      <w:hyperlink r:id="rId10" w:history="1">
        <w:r>
          <w:rPr>
            <w:rFonts w:cs="Calibri"/>
            <w:color w:val="000000"/>
            <w:szCs w:val="22"/>
          </w:rPr>
          <w:t>Téléphone</w:t>
        </w:r>
      </w:hyperlink>
      <w:r>
        <w:rPr>
          <w:rFonts w:cs="Calibri"/>
          <w:color w:val="000000"/>
          <w:szCs w:val="22"/>
        </w:rPr>
        <w:t> : 01 42 35 61 40</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pStyle w:val="Titre1"/>
      </w:pPr>
      <w:r>
        <w:t>DECISION De l’acheteur</w:t>
      </w:r>
    </w:p>
    <w:p>
      <w:pPr>
        <w:spacing w:before="100" w:beforeAutospacing="1"/>
        <w:rPr>
          <w:rFonts w:cs="Calibri"/>
          <w:color w:val="000000"/>
          <w:szCs w:val="22"/>
        </w:rPr>
      </w:pPr>
      <w:r>
        <w:rPr>
          <w:rFonts w:cs="Calibri"/>
          <w:color w:val="000000"/>
          <w:szCs w:val="22"/>
        </w:rPr>
        <w:t>La présente offre est attribuée à la société :              pour le ou les lots suivants</w:t>
      </w:r>
    </w:p>
    <w:p>
      <w:pPr>
        <w:spacing w:before="100" w:beforeAutospacing="1"/>
        <w:rPr>
          <w:rFonts w:cs="Calibri"/>
          <w:color w:val="000000"/>
          <w:szCs w:val="22"/>
        </w:rPr>
      </w:pPr>
      <w:bookmarkStart w:id="8" w:name="_GoBack"/>
      <w:bookmarkEnd w:id="8"/>
    </w:p>
    <w:p>
      <w:pPr>
        <w:numPr>
          <w:ilvl w:val="0"/>
          <w:numId w:val="26"/>
        </w:numPr>
      </w:pPr>
      <w:r>
        <w:rPr>
          <w:rFonts w:ascii="Segoe UI Symbol" w:hAnsi="Segoe UI Symbol" w:cs="Segoe UI Symbol"/>
        </w:rPr>
        <w:t>☐</w:t>
      </w:r>
      <w:r>
        <w:t xml:space="preserve">Lot 1 : Gaz </w:t>
      </w:r>
      <w:r>
        <w:rPr>
          <w:rFonts w:cs="Calibri"/>
        </w:rPr>
        <w:t>à</w:t>
      </w:r>
      <w:r>
        <w:t xml:space="preserve"> usage m</w:t>
      </w:r>
      <w:r>
        <w:rPr>
          <w:rFonts w:cs="Calibri"/>
        </w:rPr>
        <w:t>é</w:t>
      </w:r>
      <w:r>
        <w:t>dical en r</w:t>
      </w:r>
      <w:r>
        <w:rPr>
          <w:rFonts w:cs="Calibri"/>
        </w:rPr>
        <w:t>é</w:t>
      </w:r>
      <w:r>
        <w:t>seau</w:t>
      </w:r>
    </w:p>
    <w:p>
      <w:pPr>
        <w:numPr>
          <w:ilvl w:val="0"/>
          <w:numId w:val="26"/>
        </w:numPr>
      </w:pPr>
      <w:r>
        <w:rPr>
          <w:rFonts w:ascii="Segoe UI Symbol" w:hAnsi="Segoe UI Symbol" w:cs="Segoe UI Symbol"/>
        </w:rPr>
        <w:t>☐</w:t>
      </w:r>
      <w:r>
        <w:t>Lot 2 : Fourniture d'oxyg</w:t>
      </w:r>
      <w:r>
        <w:rPr>
          <w:rFonts w:cs="Calibri"/>
        </w:rPr>
        <w:t>è</w:t>
      </w:r>
      <w:r>
        <w:t>ne, M</w:t>
      </w:r>
      <w:r>
        <w:rPr>
          <w:rFonts w:cs="Calibri"/>
        </w:rPr>
        <w:t>é</w:t>
      </w:r>
      <w:r>
        <w:t xml:space="preserve">lange </w:t>
      </w:r>
      <w:r>
        <w:rPr>
          <w:rFonts w:cs="Calibri"/>
        </w:rPr>
        <w:t>é</w:t>
      </w:r>
      <w:r>
        <w:t>quimolaire oxyg</w:t>
      </w:r>
      <w:r>
        <w:rPr>
          <w:rFonts w:cs="Calibri"/>
        </w:rPr>
        <w:t>è</w:t>
      </w:r>
      <w:r>
        <w:t xml:space="preserve">ne /protoxyde azote, protoxyde </w:t>
      </w:r>
    </w:p>
    <w:p>
      <w:pPr>
        <w:numPr>
          <w:ilvl w:val="0"/>
          <w:numId w:val="26"/>
        </w:numPr>
      </w:pPr>
      <w:r>
        <w:t xml:space="preserve">            </w:t>
      </w:r>
      <w:proofErr w:type="gramStart"/>
      <w:r>
        <w:t>d'azote</w:t>
      </w:r>
      <w:proofErr w:type="gramEnd"/>
      <w:r>
        <w:t xml:space="preserve"> médicinal, air médical, dioxyde de carbone, Monoxyde d'azote médical et d’azote liquide en bouteille</w:t>
      </w:r>
    </w:p>
    <w:p>
      <w:pPr>
        <w:numPr>
          <w:ilvl w:val="0"/>
          <w:numId w:val="26"/>
        </w:numPr>
      </w:pPr>
      <w:r>
        <w:rPr>
          <w:rFonts w:ascii="Segoe UI Symbol" w:hAnsi="Segoe UI Symbol" w:cs="Segoe UI Symbol"/>
        </w:rPr>
        <w:t>☐</w:t>
      </w:r>
      <w:r>
        <w:t>Lot 3 Maintenance des réseaux primaires et secondaires des fluides médicaux</w:t>
      </w:r>
    </w:p>
    <w:p>
      <w:pPr>
        <w:numPr>
          <w:ilvl w:val="0"/>
          <w:numId w:val="26"/>
        </w:numPr>
      </w:pPr>
      <w:r>
        <w:rPr>
          <w:rFonts w:ascii="Segoe UI Symbol" w:hAnsi="Segoe UI Symbol" w:cs="Segoe UI Symbol"/>
        </w:rPr>
        <w:t>☐</w:t>
      </w:r>
      <w:r>
        <w:t>Lot 4 : Maintenance des groupes de vide</w:t>
      </w:r>
    </w:p>
    <w:p>
      <w:pPr>
        <w:ind w:left="1429"/>
      </w:pPr>
    </w:p>
    <w:p>
      <w:pPr>
        <w:spacing w:before="100" w:beforeAutospacing="1" w:after="100" w:afterAutospacing="1"/>
        <w:rPr>
          <w:rFonts w:cs="Calibri"/>
          <w:color w:val="000000"/>
          <w:szCs w:val="22"/>
          <w:highlight w:val="yellow"/>
        </w:rPr>
      </w:pPr>
      <w:r>
        <w:rPr>
          <w:rFonts w:cs="Calibri"/>
          <w:color w:val="000000"/>
          <w:szCs w:val="22"/>
        </w:rPr>
        <w:t>A Saint Denis, le ……………</w:t>
      </w:r>
    </w:p>
    <w:p>
      <w:pPr>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Achats</w:t>
      </w:r>
    </w:p>
    <w:p>
      <w:pPr>
        <w:jc w:val="right"/>
        <w:rPr>
          <w:rFonts w:cs="Calibri"/>
          <w:color w:val="000000"/>
          <w:sz w:val="20"/>
          <w:szCs w:val="22"/>
        </w:rPr>
      </w:pPr>
      <w:r>
        <w:rPr>
          <w:rFonts w:cs="Calibri"/>
          <w:color w:val="000000"/>
          <w:sz w:val="20"/>
          <w:szCs w:val="22"/>
        </w:rPr>
        <w:t>GHT PLAINE DE FRANCE</w:t>
      </w:r>
    </w:p>
    <w:sectPr>
      <w:footerReference w:type="default" r:id="rId11"/>
      <w:headerReference w:type="first" r:id="rId12"/>
      <w:footerReference w:type="first" r:id="rId13"/>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6"/>
        <w:szCs w:val="16"/>
      </w:rPr>
    </w:pPr>
    <w:r>
      <w:rPr>
        <w:rStyle w:val="Numrodepage"/>
      </w:rPr>
      <w:tab/>
    </w:r>
    <w:sdt>
      <w:sdtPr>
        <w:rPr>
          <w:rFonts w:asciiTheme="minorHAnsi" w:hAnsiTheme="minorHAnsi" w:cstheme="minorHAnsi"/>
          <w:sz w:val="16"/>
          <w:szCs w:val="16"/>
        </w:rPr>
        <w:id w:val="-994563573"/>
        <w:docPartObj>
          <w:docPartGallery w:val="Page Numbers (Bottom of Page)"/>
          <w:docPartUnique/>
        </w:docPartObj>
      </w:sdtPr>
      <w:sdtContent>
        <w:sdt>
          <w:sdtPr>
            <w:rPr>
              <w:rFonts w:asciiTheme="minorHAnsi" w:hAnsiTheme="minorHAnsi" w:cstheme="minorHAnsi"/>
              <w:sz w:val="16"/>
              <w:szCs w:val="16"/>
            </w:rPr>
            <w:id w:val="916440288"/>
            <w:docPartObj>
              <w:docPartGallery w:val="Page Numbers (Top of Page)"/>
              <w:docPartUnique/>
            </w:docPartObj>
          </w:sdtPr>
          <w:sdtContent>
            <w:r>
              <w:rPr>
                <w:rFonts w:asciiTheme="minorHAnsi" w:hAnsiTheme="minorHAnsi" w:cstheme="minorHAnsi"/>
                <w:sz w:val="16"/>
                <w:szCs w:val="16"/>
              </w:rPr>
              <w:tab/>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sdtContent>
        </w:sdt>
      </w:sdtContent>
    </w:sdt>
  </w:p>
  <w:p>
    <w:pPr>
      <w:jc w:val="center"/>
      <w:rPr>
        <w:sz w:val="18"/>
      </w:rPr>
    </w:pPr>
    <w:r>
      <w:rPr>
        <w:sz w:val="18"/>
      </w:rPr>
      <w:t>Acte d’engagement : Fluides médicaux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01.15pt;height:128.5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pStyle w:val="Titre1"/>
      <w:lvlText w:val="Article %1"/>
      <w:lvlJc w:val="left"/>
      <w:pPr>
        <w:ind w:left="2204" w:hanging="360"/>
      </w:pPr>
      <w:rPr>
        <w:rFonts w:ascii="Calibri" w:hAnsi="Calibri" w:hint="default"/>
        <w:b/>
        <w:i w:val="0"/>
        <w:sz w:val="22"/>
      </w:rPr>
    </w:lvl>
    <w:lvl w:ilvl="1">
      <w:start w:val="1"/>
      <w:numFmt w:val="decimal"/>
      <w:pStyle w:val="Titre2"/>
      <w:lvlText w:val="%1.%2"/>
      <w:lvlJc w:val="left"/>
      <w:pPr>
        <w:ind w:left="576" w:hanging="576"/>
      </w:pPr>
      <w:rPr>
        <w:rFonts w:ascii="Calibri" w:hAnsi="Calibri" w:hint="default"/>
        <w:b/>
        <w:i w:val="0"/>
        <w:sz w:val="22"/>
      </w:rPr>
    </w:lvl>
    <w:lvl w:ilvl="2">
      <w:start w:val="1"/>
      <w:numFmt w:val="decimal"/>
      <w:pStyle w:val="Titre3"/>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0206FA"/>
    <w:multiLevelType w:val="hybridMultilevel"/>
    <w:tmpl w:val="CC684BAA"/>
    <w:lvl w:ilvl="0" w:tplc="FFFFFFFF">
      <w:numFmt w:val="bullet"/>
      <w:lvlText w:val="-"/>
      <w:lvlJc w:val="left"/>
      <w:pPr>
        <w:ind w:left="1429" w:hanging="360"/>
      </w:p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9"/>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 w:numId="26">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386B707-9E18-42EE-A0DA-B8107006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numPr>
        <w:numId w:val="5"/>
      </w:numPr>
      <w:shd w:val="clear" w:color="auto" w:fill="CCB5C7"/>
      <w:spacing w:before="240" w:after="240"/>
      <w:ind w:left="360"/>
      <w:outlineLvl w:val="0"/>
    </w:pPr>
    <w:rPr>
      <w:rFonts w:eastAsiaTheme="minorHAnsi"/>
      <w:b/>
      <w:bCs/>
      <w:caps/>
      <w:kern w:val="32"/>
      <w:szCs w:val="32"/>
    </w:rPr>
  </w:style>
  <w:style w:type="paragraph" w:styleId="Titre2">
    <w:name w:val="heading 2"/>
    <w:basedOn w:val="Mtexte1"/>
    <w:next w:val="Titre3"/>
    <w:link w:val="Titre2Car"/>
    <w:uiPriority w:val="9"/>
    <w:qFormat/>
    <w:locked/>
    <w:pPr>
      <w:numPr>
        <w:ilvl w:val="1"/>
        <w:numId w:val="5"/>
      </w:numPr>
      <w:spacing w:before="240" w:after="120"/>
      <w:ind w:left="1569"/>
      <w:outlineLvl w:val="1"/>
    </w:pPr>
    <w:rPr>
      <w:b/>
    </w:rPr>
  </w:style>
  <w:style w:type="paragraph" w:styleId="Titre3">
    <w:name w:val="heading 3"/>
    <w:basedOn w:val="Normal"/>
    <w:next w:val="Normal"/>
    <w:link w:val="Titre3Car"/>
    <w:uiPriority w:val="9"/>
    <w:qFormat/>
    <w:locked/>
    <w:pPr>
      <w:keepNext/>
      <w:numPr>
        <w:ilvl w:val="2"/>
        <w:numId w:val="5"/>
      </w:numPr>
      <w:spacing w:before="240" w:after="6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shd w:val="clear" w:color="auto" w:fill="CCB5C7"/>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9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3B411-BCF2-41B0-ADFC-022830D4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1456</Words>
  <Characters>8009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TARAMELLI Guy</cp:lastModifiedBy>
  <cp:revision>6</cp:revision>
  <cp:lastPrinted>2020-09-29T16:24:00Z</cp:lastPrinted>
  <dcterms:created xsi:type="dcterms:W3CDTF">2020-12-17T17:28:00Z</dcterms:created>
  <dcterms:modified xsi:type="dcterms:W3CDTF">2025-02-13T13:00:00Z</dcterms:modified>
</cp:coreProperties>
</file>