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245" w:rsidRDefault="001F6DF9">
      <w:pPr>
        <w:tabs>
          <w:tab w:val="left" w:pos="3900"/>
        </w:tabs>
        <w:spacing w:before="57"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szCs w:val="20"/>
          <w:lang w:eastAsia="fr-FR"/>
        </w:rPr>
        <w:tab/>
      </w:r>
    </w:p>
    <w:p w:rsidR="006D7245" w:rsidRDefault="001F6DF9">
      <w:pPr>
        <w:spacing w:before="57"/>
        <w:jc w:val="center"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noProof/>
          <w:szCs w:val="20"/>
          <w:lang w:eastAsia="fr-FR"/>
        </w:rPr>
        <w:drawing>
          <wp:inline distT="0" distB="0" distL="0" distR="0">
            <wp:extent cx="2859405" cy="118872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245" w:rsidRDefault="006D7245">
      <w:pPr>
        <w:pStyle w:val="Standard"/>
        <w:rPr>
          <w:rFonts w:ascii="Arial" w:hAnsi="Arial"/>
          <w:sz w:val="22"/>
          <w:szCs w:val="22"/>
        </w:rPr>
      </w:pPr>
    </w:p>
    <w:p w:rsidR="006D7245" w:rsidRDefault="006D7245">
      <w:pPr>
        <w:pStyle w:val="Standard"/>
        <w:jc w:val="center"/>
        <w:rPr>
          <w:rFonts w:ascii="Arial" w:hAnsi="Arial"/>
          <w:sz w:val="22"/>
          <w:szCs w:val="22"/>
        </w:rPr>
      </w:pPr>
    </w:p>
    <w:p w:rsidR="006D7245" w:rsidRDefault="006D7245">
      <w:pPr>
        <w:pStyle w:val="Standard"/>
        <w:jc w:val="center"/>
        <w:rPr>
          <w:rFonts w:ascii="Arial" w:hAnsi="Arial"/>
          <w:sz w:val="22"/>
          <w:szCs w:val="22"/>
        </w:rPr>
      </w:pPr>
    </w:p>
    <w:p w:rsidR="006D7245" w:rsidRDefault="001F6DF9">
      <w:pPr>
        <w:widowControl w:val="0"/>
        <w:spacing w:before="63"/>
        <w:jc w:val="center"/>
        <w:textAlignment w:val="center"/>
        <w:rPr>
          <w:rFonts w:ascii="Myriad Pro" w:eastAsia="Andale Sans UI" w:hAnsi="Myriad Pro" w:cs="Tahoma"/>
          <w:b/>
          <w:smallCaps/>
          <w:color w:val="00A6A3"/>
          <w:kern w:val="2"/>
          <w:sz w:val="28"/>
          <w:szCs w:val="28"/>
          <w:lang w:eastAsia="ja-JP" w:bidi="fa-IR"/>
        </w:rPr>
      </w:pPr>
      <w:r>
        <w:rPr>
          <w:rFonts w:ascii="Myriad Pro" w:eastAsia="Times New Roman" w:hAnsi="Myriad Pro"/>
          <w:b/>
          <w:smallCaps/>
          <w:color w:val="00A6A3"/>
          <w:kern w:val="2"/>
          <w:sz w:val="28"/>
          <w:szCs w:val="28"/>
          <w:lang w:eastAsia="ja-JP" w:bidi="fa-IR"/>
        </w:rPr>
        <w:t>INRAE</w:t>
      </w:r>
    </w:p>
    <w:p w:rsidR="006D7245" w:rsidRDefault="001F6DF9">
      <w:pPr>
        <w:widowControl w:val="0"/>
        <w:spacing w:before="63"/>
        <w:jc w:val="center"/>
        <w:textAlignment w:val="center"/>
        <w:rPr>
          <w:rFonts w:ascii="Myriad Pro" w:eastAsia="Times New Roman" w:hAnsi="Myriad Pro"/>
          <w:b/>
          <w:smallCaps/>
          <w:color w:val="00A6A3"/>
          <w:kern w:val="2"/>
          <w:sz w:val="24"/>
          <w:szCs w:val="24"/>
          <w:lang w:eastAsia="ja-JP" w:bidi="fa-IR"/>
        </w:rPr>
      </w:pPr>
      <w:r>
        <w:rPr>
          <w:rFonts w:ascii="Myriad Pro" w:eastAsia="Andale Sans UI" w:hAnsi="Myriad Pro" w:cs="Tahoma"/>
          <w:b/>
          <w:smallCaps/>
          <w:color w:val="00A6A3"/>
          <w:kern w:val="2"/>
          <w:sz w:val="24"/>
          <w:szCs w:val="24"/>
          <w:lang w:eastAsia="ja-JP" w:bidi="fa-IR"/>
        </w:rPr>
        <w:t>Institut National de la recherche pour l’agriculture, l’alimentation et l’environnement</w:t>
      </w:r>
    </w:p>
    <w:p w:rsidR="006D7245" w:rsidRDefault="001F6DF9">
      <w:pPr>
        <w:widowControl w:val="0"/>
        <w:spacing w:before="1"/>
        <w:ind w:right="4"/>
        <w:jc w:val="center"/>
        <w:textAlignment w:val="center"/>
        <w:rPr>
          <w:rFonts w:ascii="Arial" w:eastAsia="Arial" w:hAnsi="Arial" w:cs="Arial"/>
          <w:kern w:val="2"/>
          <w:sz w:val="20"/>
          <w:szCs w:val="20"/>
          <w:lang w:eastAsia="ja-JP" w:bidi="fa-IR"/>
        </w:rPr>
      </w:pPr>
      <w:r>
        <w:rPr>
          <w:rFonts w:ascii="Arial" w:eastAsia="Arial" w:hAnsi="Arial" w:cs="Arial"/>
          <w:b/>
          <w:bCs/>
          <w:spacing w:val="-1"/>
          <w:kern w:val="2"/>
          <w:sz w:val="20"/>
          <w:szCs w:val="20"/>
          <w:lang w:eastAsia="ja-JP" w:bidi="fa-IR"/>
        </w:rPr>
        <w:t>É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ta</w:t>
      </w:r>
      <w:r>
        <w:rPr>
          <w:rFonts w:ascii="Arial" w:eastAsia="Arial" w:hAnsi="Arial" w:cs="Arial"/>
          <w:b/>
          <w:bCs/>
          <w:spacing w:val="-1"/>
          <w:kern w:val="2"/>
          <w:sz w:val="20"/>
          <w:szCs w:val="20"/>
          <w:lang w:eastAsia="ja-JP" w:bidi="fa-IR"/>
        </w:rPr>
        <w:t>b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lis</w:t>
      </w:r>
      <w:r>
        <w:rPr>
          <w:rFonts w:ascii="Arial" w:eastAsia="Arial" w:hAnsi="Arial" w:cs="Arial"/>
          <w:b/>
          <w:bCs/>
          <w:spacing w:val="-1"/>
          <w:kern w:val="2"/>
          <w:sz w:val="20"/>
          <w:szCs w:val="20"/>
          <w:lang w:eastAsia="ja-JP" w:bidi="fa-IR"/>
        </w:rPr>
        <w:t>s</w:t>
      </w:r>
      <w:r>
        <w:rPr>
          <w:rFonts w:ascii="Arial" w:eastAsia="Arial" w:hAnsi="Arial" w:cs="Arial"/>
          <w:b/>
          <w:bCs/>
          <w:spacing w:val="-3"/>
          <w:kern w:val="2"/>
          <w:sz w:val="20"/>
          <w:szCs w:val="20"/>
          <w:lang w:eastAsia="ja-JP" w:bidi="fa-IR"/>
        </w:rPr>
        <w:t>e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ment</w:t>
      </w:r>
      <w:r>
        <w:rPr>
          <w:rFonts w:ascii="Arial" w:eastAsia="Arial" w:hAnsi="Arial" w:cs="Arial"/>
          <w:b/>
          <w:bCs/>
          <w:spacing w:val="-1"/>
          <w:kern w:val="2"/>
          <w:sz w:val="20"/>
          <w:szCs w:val="20"/>
          <w:lang w:eastAsia="ja-JP" w:bidi="fa-IR"/>
        </w:rPr>
        <w:t xml:space="preserve"> 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p</w:t>
      </w:r>
      <w:r>
        <w:rPr>
          <w:rFonts w:ascii="Arial" w:eastAsia="Arial" w:hAnsi="Arial" w:cs="Arial"/>
          <w:b/>
          <w:bCs/>
          <w:spacing w:val="-2"/>
          <w:kern w:val="2"/>
          <w:sz w:val="20"/>
          <w:szCs w:val="20"/>
          <w:lang w:eastAsia="ja-JP" w:bidi="fa-IR"/>
        </w:rPr>
        <w:t>u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b</w:t>
      </w:r>
      <w:r>
        <w:rPr>
          <w:rFonts w:ascii="Arial" w:eastAsia="Arial" w:hAnsi="Arial" w:cs="Arial"/>
          <w:b/>
          <w:bCs/>
          <w:spacing w:val="-2"/>
          <w:kern w:val="2"/>
          <w:sz w:val="20"/>
          <w:szCs w:val="20"/>
          <w:lang w:eastAsia="ja-JP" w:bidi="fa-IR"/>
        </w:rPr>
        <w:t>l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ic</w:t>
      </w:r>
      <w:r>
        <w:rPr>
          <w:rFonts w:ascii="Arial" w:eastAsia="Arial" w:hAnsi="Arial" w:cs="Arial"/>
          <w:b/>
          <w:bCs/>
          <w:spacing w:val="-2"/>
          <w:kern w:val="2"/>
          <w:sz w:val="20"/>
          <w:szCs w:val="20"/>
          <w:lang w:eastAsia="ja-JP" w:bidi="fa-IR"/>
        </w:rPr>
        <w:t xml:space="preserve"> </w:t>
      </w:r>
      <w:r>
        <w:rPr>
          <w:rFonts w:ascii="Arial" w:eastAsia="Arial" w:hAnsi="Arial" w:cs="Arial"/>
          <w:b/>
          <w:bCs/>
          <w:spacing w:val="-3"/>
          <w:kern w:val="2"/>
          <w:sz w:val="20"/>
          <w:szCs w:val="20"/>
          <w:lang w:eastAsia="ja-JP" w:bidi="fa-IR"/>
        </w:rPr>
        <w:t>d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 xml:space="preserve">e </w:t>
      </w:r>
      <w:r>
        <w:rPr>
          <w:rFonts w:ascii="Arial" w:eastAsia="Arial" w:hAnsi="Arial" w:cs="Arial"/>
          <w:b/>
          <w:bCs/>
          <w:spacing w:val="1"/>
          <w:kern w:val="2"/>
          <w:sz w:val="20"/>
          <w:szCs w:val="20"/>
          <w:lang w:eastAsia="ja-JP" w:bidi="fa-IR"/>
        </w:rPr>
        <w:t>l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'</w:t>
      </w:r>
      <w:r>
        <w:rPr>
          <w:rFonts w:ascii="Arial" w:eastAsia="Arial" w:hAnsi="Arial" w:cs="Arial"/>
          <w:b/>
          <w:bCs/>
          <w:spacing w:val="-4"/>
          <w:kern w:val="2"/>
          <w:sz w:val="20"/>
          <w:szCs w:val="20"/>
          <w:lang w:eastAsia="ja-JP" w:bidi="fa-IR"/>
        </w:rPr>
        <w:t>É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tat</w:t>
      </w:r>
      <w:r>
        <w:rPr>
          <w:rFonts w:ascii="Arial" w:eastAsia="Arial" w:hAnsi="Arial" w:cs="Arial"/>
          <w:b/>
          <w:bCs/>
          <w:spacing w:val="-1"/>
          <w:kern w:val="2"/>
          <w:sz w:val="20"/>
          <w:szCs w:val="20"/>
          <w:lang w:eastAsia="ja-JP" w:bidi="fa-IR"/>
        </w:rPr>
        <w:t xml:space="preserve"> 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à c</w:t>
      </w:r>
      <w:r>
        <w:rPr>
          <w:rFonts w:ascii="Arial" w:eastAsia="Arial" w:hAnsi="Arial" w:cs="Arial"/>
          <w:b/>
          <w:bCs/>
          <w:spacing w:val="-3"/>
          <w:kern w:val="2"/>
          <w:sz w:val="20"/>
          <w:szCs w:val="20"/>
          <w:lang w:eastAsia="ja-JP" w:bidi="fa-IR"/>
        </w:rPr>
        <w:t>a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ractère</w:t>
      </w:r>
      <w:r>
        <w:rPr>
          <w:rFonts w:ascii="Arial" w:eastAsia="Arial" w:hAnsi="Arial" w:cs="Arial"/>
          <w:b/>
          <w:bCs/>
          <w:spacing w:val="-2"/>
          <w:kern w:val="2"/>
          <w:sz w:val="20"/>
          <w:szCs w:val="20"/>
          <w:lang w:eastAsia="ja-JP" w:bidi="fa-IR"/>
        </w:rPr>
        <w:t xml:space="preserve"> </w:t>
      </w:r>
      <w:r>
        <w:rPr>
          <w:rFonts w:ascii="Arial" w:eastAsia="Arial" w:hAnsi="Arial" w:cs="Arial"/>
          <w:b/>
          <w:bCs/>
          <w:spacing w:val="-1"/>
          <w:kern w:val="2"/>
          <w:sz w:val="20"/>
          <w:szCs w:val="20"/>
          <w:lang w:eastAsia="ja-JP" w:bidi="fa-IR"/>
        </w:rPr>
        <w:t>S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ci</w:t>
      </w:r>
      <w:r>
        <w:rPr>
          <w:rFonts w:ascii="Arial" w:eastAsia="Arial" w:hAnsi="Arial" w:cs="Arial"/>
          <w:b/>
          <w:bCs/>
          <w:spacing w:val="-3"/>
          <w:kern w:val="2"/>
          <w:sz w:val="20"/>
          <w:szCs w:val="20"/>
          <w:lang w:eastAsia="ja-JP" w:bidi="fa-IR"/>
        </w:rPr>
        <w:t>e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nt</w:t>
      </w:r>
      <w:r>
        <w:rPr>
          <w:rFonts w:ascii="Arial" w:eastAsia="Arial" w:hAnsi="Arial" w:cs="Arial"/>
          <w:b/>
          <w:bCs/>
          <w:spacing w:val="1"/>
          <w:kern w:val="2"/>
          <w:sz w:val="20"/>
          <w:szCs w:val="20"/>
          <w:lang w:eastAsia="ja-JP" w:bidi="fa-IR"/>
        </w:rPr>
        <w:t>i</w:t>
      </w:r>
      <w:r>
        <w:rPr>
          <w:rFonts w:ascii="Arial" w:eastAsia="Arial" w:hAnsi="Arial" w:cs="Arial"/>
          <w:b/>
          <w:bCs/>
          <w:spacing w:val="-2"/>
          <w:kern w:val="2"/>
          <w:sz w:val="20"/>
          <w:szCs w:val="20"/>
          <w:lang w:eastAsia="ja-JP" w:bidi="fa-IR"/>
        </w:rPr>
        <w:t>f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iq</w:t>
      </w:r>
      <w:r>
        <w:rPr>
          <w:rFonts w:ascii="Arial" w:eastAsia="Arial" w:hAnsi="Arial" w:cs="Arial"/>
          <w:b/>
          <w:bCs/>
          <w:spacing w:val="-2"/>
          <w:kern w:val="2"/>
          <w:sz w:val="20"/>
          <w:szCs w:val="20"/>
          <w:lang w:eastAsia="ja-JP" w:bidi="fa-IR"/>
        </w:rPr>
        <w:t>u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e</w:t>
      </w:r>
      <w:r>
        <w:rPr>
          <w:rFonts w:ascii="Arial" w:eastAsia="Arial" w:hAnsi="Arial" w:cs="Arial"/>
          <w:b/>
          <w:bCs/>
          <w:spacing w:val="-2"/>
          <w:kern w:val="2"/>
          <w:sz w:val="20"/>
          <w:szCs w:val="20"/>
          <w:lang w:eastAsia="ja-JP" w:bidi="fa-IR"/>
        </w:rPr>
        <w:t xml:space="preserve"> 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et</w:t>
      </w:r>
      <w:r>
        <w:rPr>
          <w:rFonts w:ascii="Arial" w:eastAsia="Arial" w:hAnsi="Arial" w:cs="Arial"/>
          <w:b/>
          <w:bCs/>
          <w:spacing w:val="-1"/>
          <w:kern w:val="2"/>
          <w:sz w:val="20"/>
          <w:szCs w:val="20"/>
          <w:lang w:eastAsia="ja-JP" w:bidi="fa-IR"/>
        </w:rPr>
        <w:t xml:space="preserve"> </w:t>
      </w:r>
      <w:r>
        <w:rPr>
          <w:rFonts w:ascii="Arial" w:eastAsia="Arial" w:hAnsi="Arial" w:cs="Arial"/>
          <w:b/>
          <w:bCs/>
          <w:spacing w:val="-3"/>
          <w:kern w:val="2"/>
          <w:sz w:val="20"/>
          <w:szCs w:val="20"/>
          <w:lang w:eastAsia="ja-JP" w:bidi="fa-IR"/>
        </w:rPr>
        <w:t>T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e</w:t>
      </w:r>
      <w:r>
        <w:rPr>
          <w:rFonts w:ascii="Arial" w:eastAsia="Arial" w:hAnsi="Arial" w:cs="Arial"/>
          <w:b/>
          <w:bCs/>
          <w:spacing w:val="-1"/>
          <w:kern w:val="2"/>
          <w:sz w:val="20"/>
          <w:szCs w:val="20"/>
          <w:lang w:eastAsia="ja-JP" w:bidi="fa-IR"/>
        </w:rPr>
        <w:t>c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h</w:t>
      </w:r>
      <w:r>
        <w:rPr>
          <w:rFonts w:ascii="Arial" w:eastAsia="Arial" w:hAnsi="Arial" w:cs="Arial"/>
          <w:b/>
          <w:bCs/>
          <w:spacing w:val="-2"/>
          <w:kern w:val="2"/>
          <w:sz w:val="20"/>
          <w:szCs w:val="20"/>
          <w:lang w:eastAsia="ja-JP" w:bidi="fa-IR"/>
        </w:rPr>
        <w:t>n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ologi</w:t>
      </w:r>
      <w:r>
        <w:rPr>
          <w:rFonts w:ascii="Arial" w:eastAsia="Arial" w:hAnsi="Arial" w:cs="Arial"/>
          <w:b/>
          <w:bCs/>
          <w:spacing w:val="-3"/>
          <w:kern w:val="2"/>
          <w:sz w:val="20"/>
          <w:szCs w:val="20"/>
          <w:lang w:eastAsia="ja-JP" w:bidi="fa-IR"/>
        </w:rPr>
        <w:t>q</w:t>
      </w:r>
      <w:r>
        <w:rPr>
          <w:rFonts w:ascii="Arial" w:eastAsia="Arial" w:hAnsi="Arial" w:cs="Arial"/>
          <w:b/>
          <w:bCs/>
          <w:kern w:val="2"/>
          <w:sz w:val="20"/>
          <w:szCs w:val="20"/>
          <w:lang w:eastAsia="ja-JP" w:bidi="fa-IR"/>
        </w:rPr>
        <w:t>ue</w:t>
      </w:r>
    </w:p>
    <w:p w:rsidR="006D7245" w:rsidRDefault="006D7245">
      <w:pPr>
        <w:pStyle w:val="Standard"/>
        <w:rPr>
          <w:rFonts w:ascii="Arial" w:hAnsi="Arial"/>
          <w:sz w:val="22"/>
          <w:szCs w:val="22"/>
        </w:rPr>
      </w:pPr>
    </w:p>
    <w:p w:rsidR="006D7245" w:rsidRDefault="001F6DF9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:rsidR="006D7245" w:rsidRDefault="006D7245">
      <w:pPr>
        <w:pStyle w:val="Standard"/>
        <w:rPr>
          <w:rFonts w:ascii="Arial" w:hAnsi="Arial"/>
          <w:sz w:val="22"/>
          <w:szCs w:val="22"/>
        </w:rPr>
      </w:pPr>
    </w:p>
    <w:tbl>
      <w:tblPr>
        <w:tblW w:w="9649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9"/>
      </w:tblGrid>
      <w:tr w:rsidR="006D7245">
        <w:trPr>
          <w:trHeight w:val="180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245" w:rsidRDefault="006D724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D7245" w:rsidRDefault="001F6DF9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aps/>
              </w:rPr>
              <w:t xml:space="preserve">ACCORD-CADRE </w:t>
            </w:r>
            <w:r>
              <w:rPr>
                <w:rFonts w:ascii="Arial" w:hAnsi="Arial" w:cs="Arial"/>
                <w:b/>
                <w:bCs/>
              </w:rPr>
              <w:t>RELATIF A LA FOURNITURE ET L’ACHEMINEMENT</w:t>
            </w:r>
          </w:p>
          <w:p w:rsidR="006D7245" w:rsidRDefault="001F6DF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DE GAZ NATUREL POUR LA PERIODE DU 01/07/2025 AU 31/12/2025</w:t>
            </w:r>
          </w:p>
        </w:tc>
      </w:tr>
    </w:tbl>
    <w:p w:rsidR="006D7245" w:rsidRDefault="006D7245">
      <w:pPr>
        <w:pStyle w:val="Standard"/>
        <w:rPr>
          <w:rFonts w:ascii="Arial" w:hAnsi="Arial"/>
          <w:sz w:val="22"/>
          <w:szCs w:val="22"/>
        </w:rPr>
      </w:pPr>
    </w:p>
    <w:p w:rsidR="006D7245" w:rsidRDefault="006D7245">
      <w:pPr>
        <w:pStyle w:val="Standard"/>
        <w:rPr>
          <w:rFonts w:ascii="Arial" w:hAnsi="Arial"/>
          <w:sz w:val="22"/>
          <w:szCs w:val="22"/>
        </w:rPr>
      </w:pPr>
    </w:p>
    <w:p w:rsidR="006D7245" w:rsidRDefault="006D7245">
      <w:pPr>
        <w:pStyle w:val="Standard"/>
        <w:rPr>
          <w:rFonts w:ascii="Arial" w:hAnsi="Arial"/>
          <w:sz w:val="22"/>
          <w:szCs w:val="22"/>
        </w:rPr>
      </w:pPr>
    </w:p>
    <w:p w:rsidR="006D7245" w:rsidRDefault="006D7245">
      <w:pPr>
        <w:pStyle w:val="Standard"/>
        <w:rPr>
          <w:rFonts w:ascii="Arial" w:hAnsi="Arial"/>
          <w:sz w:val="22"/>
          <w:szCs w:val="22"/>
        </w:rPr>
      </w:pPr>
    </w:p>
    <w:p w:rsidR="006D7245" w:rsidRDefault="006D7245">
      <w:pPr>
        <w:pStyle w:val="Standard"/>
        <w:rPr>
          <w:rFonts w:ascii="Arial" w:hAnsi="Arial"/>
          <w:sz w:val="22"/>
          <w:szCs w:val="22"/>
        </w:rPr>
      </w:pPr>
    </w:p>
    <w:p w:rsidR="006D7245" w:rsidRDefault="001F6DF9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-9884</wp:posOffset>
                </wp:positionH>
                <wp:positionV relativeFrom="paragraph">
                  <wp:posOffset>47653</wp:posOffset>
                </wp:positionV>
                <wp:extent cx="6106243" cy="652007"/>
                <wp:effectExtent l="0" t="0" r="2794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6243" cy="65200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637176CF" id="Rectangle 3" o:spid="_x0000_s1026" style="position:absolute;margin-left:-.8pt;margin-top:3.75pt;width:480.8pt;height:51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" filled="f" strokecolor="black [3213]"/>
            </w:pict>
          </mc:Fallback>
        </mc:AlternateContent>
      </w:r>
    </w:p>
    <w:p w:rsidR="006D7245" w:rsidRDefault="001F6DF9">
      <w:pPr>
        <w:jc w:val="center"/>
        <w:rPr>
          <w:b/>
          <w:bCs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>ANNEXE 1 AU REGLEMENT DE CONSULTATION</w:t>
      </w:r>
      <w:r>
        <w:rPr>
          <w:b/>
          <w:bCs/>
          <w:sz w:val="24"/>
          <w:szCs w:val="24"/>
        </w:rPr>
        <w:t xml:space="preserve"> </w:t>
      </w:r>
    </w:p>
    <w:p w:rsidR="006D7245" w:rsidRDefault="001F6DF9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CADRE DE REPONSE POUR LE MEMOIRE TECHNIQUE</w:t>
      </w:r>
    </w:p>
    <w:p w:rsidR="006D7245" w:rsidRDefault="006D7245">
      <w:pPr>
        <w:pStyle w:val="Standard"/>
        <w:jc w:val="center"/>
        <w:rPr>
          <w:rFonts w:ascii="Arial" w:hAnsi="Arial"/>
          <w:sz w:val="22"/>
          <w:szCs w:val="22"/>
        </w:rPr>
      </w:pPr>
    </w:p>
    <w:p w:rsidR="006D7245" w:rsidRDefault="006D7245">
      <w:pPr>
        <w:spacing w:before="57"/>
        <w:rPr>
          <w:rFonts w:eastAsia="Times New Roman" w:cs="Arial"/>
          <w:szCs w:val="20"/>
          <w:lang w:eastAsia="fr-FR"/>
        </w:rPr>
      </w:pPr>
    </w:p>
    <w:p w:rsidR="006D7245" w:rsidRDefault="006D7245">
      <w:pPr>
        <w:spacing w:before="57"/>
        <w:rPr>
          <w:rFonts w:eastAsia="Times New Roman" w:cs="Arial"/>
          <w:szCs w:val="20"/>
          <w:lang w:eastAsia="fr-FR"/>
        </w:rPr>
      </w:pPr>
    </w:p>
    <w:p w:rsidR="006D7245" w:rsidRDefault="001F6DF9">
      <w:pPr>
        <w:tabs>
          <w:tab w:val="left" w:pos="5896"/>
        </w:tabs>
        <w:spacing w:before="57"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szCs w:val="20"/>
          <w:lang w:eastAsia="fr-FR"/>
        </w:rPr>
        <w:tab/>
      </w:r>
    </w:p>
    <w:p w:rsidR="006D7245" w:rsidRDefault="001F6DF9">
      <w:r>
        <w:t xml:space="preserve">Numéro de consultation : </w:t>
      </w:r>
      <w:r>
        <w:rPr>
          <w:b/>
          <w:lang w:eastAsia="fr-FR"/>
        </w:rPr>
        <w:t>INRAE-GAZ-2025</w:t>
      </w:r>
    </w:p>
    <w:p w:rsidR="006D7245" w:rsidRDefault="006D7245"/>
    <w:p w:rsidR="006D7245" w:rsidRDefault="001F6DF9">
      <w:r>
        <w:rPr>
          <w:bCs/>
        </w:rPr>
        <w:t>Procédure de passation :</w:t>
      </w:r>
      <w:r>
        <w:t xml:space="preserve"> </w:t>
      </w:r>
      <w:r>
        <w:rPr>
          <w:b/>
        </w:rPr>
        <w:t>Appel d’offres</w:t>
      </w:r>
      <w:r>
        <w:t xml:space="preserve"> </w:t>
      </w:r>
      <w:r>
        <w:rPr>
          <w:b/>
        </w:rPr>
        <w:t>ouvert</w:t>
      </w:r>
    </w:p>
    <w:p w:rsidR="006D7245" w:rsidRDefault="006D7245">
      <w:pPr>
        <w:spacing w:before="57"/>
        <w:rPr>
          <w:rFonts w:eastAsia="Times New Roman" w:cs="Arial"/>
          <w:szCs w:val="20"/>
          <w:lang w:eastAsia="fr-FR"/>
        </w:rPr>
      </w:pPr>
    </w:p>
    <w:p w:rsidR="006D7245" w:rsidRDefault="006D7245">
      <w:pPr>
        <w:spacing w:before="57"/>
        <w:rPr>
          <w:rFonts w:eastAsia="Times New Roman" w:cs="Arial"/>
          <w:szCs w:val="20"/>
          <w:lang w:eastAsia="fr-FR"/>
        </w:rPr>
      </w:pPr>
    </w:p>
    <w:p w:rsidR="006D7245" w:rsidRDefault="006D7245">
      <w:pPr>
        <w:jc w:val="center"/>
        <w:rPr>
          <w:b/>
          <w:bCs/>
          <w:sz w:val="26"/>
          <w:szCs w:val="26"/>
        </w:rPr>
      </w:pPr>
    </w:p>
    <w:p w:rsidR="006D7245" w:rsidRDefault="006D7245">
      <w:pPr>
        <w:jc w:val="center"/>
        <w:rPr>
          <w:b/>
          <w:bCs/>
          <w:sz w:val="26"/>
          <w:szCs w:val="26"/>
        </w:rPr>
      </w:pPr>
    </w:p>
    <w:p w:rsidR="006D7245" w:rsidRDefault="006D7245">
      <w:pPr>
        <w:jc w:val="center"/>
        <w:rPr>
          <w:b/>
          <w:bCs/>
          <w:sz w:val="26"/>
          <w:szCs w:val="26"/>
        </w:rPr>
      </w:pPr>
    </w:p>
    <w:p w:rsidR="006D7245" w:rsidRDefault="006D7245">
      <w:pPr>
        <w:jc w:val="center"/>
        <w:rPr>
          <w:b/>
          <w:bCs/>
          <w:sz w:val="26"/>
          <w:szCs w:val="26"/>
        </w:rPr>
      </w:pPr>
    </w:p>
    <w:p w:rsidR="006D7245" w:rsidRDefault="006D7245">
      <w:pPr>
        <w:pStyle w:val="NormalWeb"/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6D7245" w:rsidRDefault="006D7245">
      <w:pPr>
        <w:pStyle w:val="NormalWeb"/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6D7245" w:rsidRDefault="006D7245">
      <w:pPr>
        <w:pStyle w:val="NormalWeb"/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6D7245" w:rsidRDefault="006D7245">
      <w:pPr>
        <w:pStyle w:val="NormalWeb"/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6D7245" w:rsidRDefault="006D7245">
      <w:pPr>
        <w:pStyle w:val="NormalWeb"/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6D7245" w:rsidRDefault="006D7245">
      <w:pPr>
        <w:pStyle w:val="NormalWeb"/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6D7245" w:rsidRDefault="006D7245">
      <w:pPr>
        <w:pStyle w:val="NormalWeb"/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6D7245" w:rsidRDefault="006D7245">
      <w:pPr>
        <w:pStyle w:val="NormalWeb"/>
        <w:spacing w:before="240" w:after="0"/>
        <w:rPr>
          <w:rFonts w:ascii="Arial" w:hAnsi="Arial" w:cs="Arial"/>
          <w:b/>
          <w:bCs/>
          <w:sz w:val="21"/>
          <w:szCs w:val="21"/>
        </w:rPr>
      </w:pPr>
    </w:p>
    <w:p w:rsidR="006D7245" w:rsidRDefault="006D7245">
      <w:pPr>
        <w:pStyle w:val="NormalWeb"/>
        <w:spacing w:before="0" w:after="0"/>
        <w:rPr>
          <w:rFonts w:ascii="Arial" w:hAnsi="Arial" w:cs="Arial"/>
          <w:b/>
          <w:bCs/>
          <w:sz w:val="21"/>
          <w:szCs w:val="21"/>
        </w:rPr>
      </w:pPr>
    </w:p>
    <w:tbl>
      <w:tblPr>
        <w:tblStyle w:val="Grilledutableau"/>
        <w:tblW w:w="9924" w:type="dxa"/>
        <w:tblInd w:w="-431" w:type="dxa"/>
        <w:tblLook w:val="04A0" w:firstRow="1" w:lastRow="0" w:firstColumn="1" w:lastColumn="0" w:noHBand="0" w:noVBand="1"/>
      </w:tblPr>
      <w:tblGrid>
        <w:gridCol w:w="4112"/>
        <w:gridCol w:w="5812"/>
      </w:tblGrid>
      <w:tr w:rsidR="006D7245">
        <w:trPr>
          <w:trHeight w:val="397"/>
        </w:trPr>
        <w:tc>
          <w:tcPr>
            <w:tcW w:w="4112" w:type="dxa"/>
            <w:vAlign w:val="center"/>
          </w:tcPr>
          <w:p w:rsidR="006D7245" w:rsidRDefault="001F6DF9">
            <w:pPr>
              <w:pStyle w:val="NormalWeb"/>
              <w:spacing w:before="0" w:after="0"/>
              <w:ind w:left="2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Société :</w:t>
            </w:r>
          </w:p>
        </w:tc>
        <w:tc>
          <w:tcPr>
            <w:tcW w:w="5812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pStyle w:val="NormalWeb"/>
              <w:spacing w:before="0" w:after="0"/>
              <w:rPr>
                <w:rFonts w:ascii="Arial Gras" w:hAnsi="Arial Gras" w:cs="Arial" w:hint="eastAsia"/>
                <w:b/>
                <w:bCs/>
                <w:sz w:val="21"/>
                <w:szCs w:val="21"/>
              </w:rPr>
            </w:pPr>
          </w:p>
        </w:tc>
      </w:tr>
      <w:tr w:rsidR="006D7245">
        <w:trPr>
          <w:trHeight w:val="397"/>
        </w:trPr>
        <w:tc>
          <w:tcPr>
            <w:tcW w:w="4112" w:type="dxa"/>
            <w:vAlign w:val="center"/>
          </w:tcPr>
          <w:p w:rsidR="006D7245" w:rsidRDefault="001F6DF9">
            <w:pPr>
              <w:pStyle w:val="NormalWeb"/>
              <w:spacing w:before="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Personne en charge de l’exécution :</w:t>
            </w:r>
          </w:p>
        </w:tc>
        <w:tc>
          <w:tcPr>
            <w:tcW w:w="5812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pStyle w:val="NormalWeb"/>
              <w:spacing w:before="0" w:after="0"/>
              <w:rPr>
                <w:rFonts w:ascii="Arial Gras" w:hAnsi="Arial Gras" w:cs="Arial" w:hint="eastAsia"/>
                <w:b/>
                <w:bCs/>
                <w:sz w:val="21"/>
                <w:szCs w:val="21"/>
              </w:rPr>
            </w:pPr>
          </w:p>
        </w:tc>
      </w:tr>
      <w:tr w:rsidR="006D7245">
        <w:trPr>
          <w:trHeight w:val="397"/>
        </w:trPr>
        <w:tc>
          <w:tcPr>
            <w:tcW w:w="4112" w:type="dxa"/>
            <w:vAlign w:val="center"/>
          </w:tcPr>
          <w:p w:rsidR="006D7245" w:rsidRDefault="001F6DF9">
            <w:pPr>
              <w:pStyle w:val="NormalWeb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E-mail :</w:t>
            </w:r>
          </w:p>
        </w:tc>
        <w:tc>
          <w:tcPr>
            <w:tcW w:w="5812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pStyle w:val="NormalWeb"/>
              <w:spacing w:before="0" w:after="0"/>
              <w:rPr>
                <w:rFonts w:ascii="Arial Gras" w:hAnsi="Arial Gras" w:cs="Arial" w:hint="eastAsia"/>
                <w:b/>
                <w:bCs/>
                <w:sz w:val="21"/>
                <w:szCs w:val="21"/>
              </w:rPr>
            </w:pPr>
          </w:p>
        </w:tc>
      </w:tr>
      <w:tr w:rsidR="006D7245">
        <w:trPr>
          <w:trHeight w:val="397"/>
        </w:trPr>
        <w:tc>
          <w:tcPr>
            <w:tcW w:w="4112" w:type="dxa"/>
            <w:vAlign w:val="center"/>
          </w:tcPr>
          <w:p w:rsidR="006D7245" w:rsidRDefault="001F6DF9">
            <w:pPr>
              <w:pStyle w:val="NormalWeb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Tél. bureau / portable :</w:t>
            </w:r>
          </w:p>
        </w:tc>
        <w:tc>
          <w:tcPr>
            <w:tcW w:w="5812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pStyle w:val="NormalWeb"/>
              <w:spacing w:before="0" w:after="0"/>
              <w:rPr>
                <w:rFonts w:ascii="Arial Gras" w:hAnsi="Arial Gras" w:cs="Arial" w:hint="eastAsia"/>
                <w:b/>
                <w:bCs/>
                <w:sz w:val="21"/>
                <w:szCs w:val="21"/>
              </w:rPr>
            </w:pPr>
          </w:p>
        </w:tc>
      </w:tr>
    </w:tbl>
    <w:p w:rsidR="006D7245" w:rsidRDefault="006D7245">
      <w:pPr>
        <w:pStyle w:val="NormalWeb"/>
        <w:spacing w:before="0" w:after="120"/>
        <w:rPr>
          <w:rFonts w:ascii="Arial" w:hAnsi="Arial" w:cs="Arial"/>
          <w:b/>
          <w:bCs/>
          <w:sz w:val="21"/>
          <w:szCs w:val="21"/>
        </w:rPr>
      </w:pPr>
    </w:p>
    <w:tbl>
      <w:tblPr>
        <w:tblStyle w:val="Grilledutableau"/>
        <w:tblW w:w="9927" w:type="dxa"/>
        <w:jc w:val="center"/>
        <w:tblLayout w:type="fixed"/>
        <w:tblLook w:val="04A0" w:firstRow="1" w:lastRow="0" w:firstColumn="1" w:lastColumn="0" w:noHBand="0" w:noVBand="1"/>
      </w:tblPr>
      <w:tblGrid>
        <w:gridCol w:w="4114"/>
        <w:gridCol w:w="5813"/>
      </w:tblGrid>
      <w:tr w:rsidR="006D7245">
        <w:trPr>
          <w:trHeight w:val="454"/>
          <w:tblHeader/>
          <w:jc w:val="center"/>
        </w:trPr>
        <w:tc>
          <w:tcPr>
            <w:tcW w:w="4114" w:type="dxa"/>
            <w:shd w:val="clear" w:color="auto" w:fill="A6A6A6" w:themeFill="background1" w:themeFillShade="A6"/>
            <w:vAlign w:val="center"/>
          </w:tcPr>
          <w:p w:rsidR="006D7245" w:rsidRDefault="001F6DF9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Points à expliciter (selon article 7.1 du RC)</w:t>
            </w:r>
          </w:p>
        </w:tc>
        <w:tc>
          <w:tcPr>
            <w:tcW w:w="5813" w:type="dxa"/>
            <w:shd w:val="clear" w:color="auto" w:fill="A6A6A6" w:themeFill="background1" w:themeFillShade="A6"/>
            <w:vAlign w:val="center"/>
          </w:tcPr>
          <w:p w:rsidR="006D7245" w:rsidRDefault="001F6DF9">
            <w:pPr>
              <w:jc w:val="center"/>
              <w:rPr>
                <w:rFonts w:ascii="Arial" w:hAnsi="Arial" w:cs="Arial"/>
                <w:b/>
                <w:bCs/>
                <w:i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Réponses du candidat</w:t>
            </w:r>
          </w:p>
        </w:tc>
      </w:tr>
      <w:tr w:rsidR="006D7245">
        <w:trPr>
          <w:trHeight w:val="454"/>
          <w:jc w:val="center"/>
        </w:trPr>
        <w:tc>
          <w:tcPr>
            <w:tcW w:w="9927" w:type="dxa"/>
            <w:gridSpan w:val="2"/>
            <w:shd w:val="clear" w:color="auto" w:fill="D9D9D9" w:themeFill="background1" w:themeFillShade="D9"/>
            <w:vAlign w:val="center"/>
          </w:tcPr>
          <w:p w:rsidR="006D7245" w:rsidRDefault="001F6DF9">
            <w:pPr>
              <w:pStyle w:val="NormalWeb"/>
              <w:spacing w:before="0"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kern w:val="0"/>
                <w:sz w:val="21"/>
                <w:szCs w:val="21"/>
                <w:lang w:eastAsia="fr-FR"/>
              </w:rPr>
              <w:t>M</w:t>
            </w:r>
            <w:r>
              <w:rPr>
                <w:rFonts w:ascii="Arial" w:hAnsi="Arial" w:cs="Arial"/>
                <w:b/>
                <w:sz w:val="21"/>
                <w:szCs w:val="21"/>
              </w:rPr>
              <w:t>odalités d’exécution des prestations (selon article a/)</w:t>
            </w:r>
          </w:p>
        </w:tc>
      </w:tr>
      <w:tr w:rsidR="006D7245">
        <w:trPr>
          <w:trHeight w:val="1417"/>
          <w:jc w:val="center"/>
        </w:trPr>
        <w:tc>
          <w:tcPr>
            <w:tcW w:w="4114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Informations nécessaires pour le traitement et la reprise des données techniques et de facturation</w:t>
            </w:r>
          </w:p>
        </w:tc>
        <w:tc>
          <w:tcPr>
            <w:tcW w:w="5813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14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Description des démarches à réaliser auprès du gestionnaire du réseau de transport ou de distribution et délais associés</w:t>
            </w:r>
          </w:p>
        </w:tc>
        <w:tc>
          <w:tcPr>
            <w:tcW w:w="5813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14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Démarches réalisées par le candidat (service de facturation, relation clientèle) pour la reprise des contrats étape par étape en précisant les délais associés (joindre un planning prévisionnel)</w:t>
            </w:r>
          </w:p>
        </w:tc>
        <w:tc>
          <w:tcPr>
            <w:tcW w:w="5813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454"/>
          <w:jc w:val="center"/>
        </w:trPr>
        <w:tc>
          <w:tcPr>
            <w:tcW w:w="9927" w:type="dxa"/>
            <w:gridSpan w:val="2"/>
            <w:shd w:val="clear" w:color="auto" w:fill="D9D9D9" w:themeFill="background1" w:themeFillShade="D9"/>
            <w:vAlign w:val="center"/>
          </w:tcPr>
          <w:p w:rsidR="006D7245" w:rsidRDefault="001F6DF9">
            <w:pPr>
              <w:pStyle w:val="NormalWeb"/>
              <w:spacing w:before="0" w:after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Facturation et modalités de facturation et paiement (selon article b/)</w:t>
            </w:r>
          </w:p>
        </w:tc>
      </w:tr>
      <w:tr w:rsidR="006D7245">
        <w:trPr>
          <w:trHeight w:val="1417"/>
          <w:jc w:val="center"/>
        </w:trPr>
        <w:tc>
          <w:tcPr>
            <w:tcW w:w="4114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Modèle de facture (et son annexe) concernant un unique point de livraison dématérialisée visualisable sur l’espace client (à placer en annexe)</w:t>
            </w:r>
          </w:p>
        </w:tc>
        <w:tc>
          <w:tcPr>
            <w:tcW w:w="5813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14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Exemple de facture multi-sites concernant un regroupement de points de livraison (et son annexe) dématérialisée visualisable sur l’espace client (à placer en annexe)</w:t>
            </w:r>
          </w:p>
        </w:tc>
        <w:tc>
          <w:tcPr>
            <w:tcW w:w="5813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14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Modalités de régularisation des factures en cas d’erreur (modalités de suivi, information des bénéficiaires,…) : suivi et contrôles internes, information du service bénéficiaire,…</w:t>
            </w:r>
          </w:p>
        </w:tc>
        <w:tc>
          <w:tcPr>
            <w:tcW w:w="5813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14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Mode de transmission des factures par voie dématérialisée </w:t>
            </w:r>
          </w:p>
        </w:tc>
        <w:tc>
          <w:tcPr>
            <w:tcW w:w="5813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</w:tbl>
    <w:p w:rsidR="006D7245" w:rsidRDefault="006D7245"/>
    <w:p w:rsidR="006D7245" w:rsidRDefault="006D7245"/>
    <w:tbl>
      <w:tblPr>
        <w:tblStyle w:val="Grilledutableau"/>
        <w:tblW w:w="9927" w:type="dxa"/>
        <w:jc w:val="center"/>
        <w:tblLayout w:type="fixed"/>
        <w:tblLook w:val="04A0" w:firstRow="1" w:lastRow="0" w:firstColumn="1" w:lastColumn="0" w:noHBand="0" w:noVBand="1"/>
      </w:tblPr>
      <w:tblGrid>
        <w:gridCol w:w="4106"/>
        <w:gridCol w:w="5821"/>
      </w:tblGrid>
      <w:tr w:rsidR="006D7245">
        <w:trPr>
          <w:trHeight w:val="454"/>
          <w:tblHeader/>
          <w:jc w:val="center"/>
        </w:trPr>
        <w:tc>
          <w:tcPr>
            <w:tcW w:w="4106" w:type="dxa"/>
            <w:shd w:val="clear" w:color="auto" w:fill="A6A6A6" w:themeFill="background1" w:themeFillShade="A6"/>
            <w:vAlign w:val="center"/>
          </w:tcPr>
          <w:p w:rsidR="006D7245" w:rsidRDefault="001F6DF9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Points à expliciter</w:t>
            </w:r>
          </w:p>
        </w:tc>
        <w:tc>
          <w:tcPr>
            <w:tcW w:w="5821" w:type="dxa"/>
            <w:shd w:val="clear" w:color="auto" w:fill="A6A6A6" w:themeFill="background1" w:themeFillShade="A6"/>
            <w:vAlign w:val="center"/>
          </w:tcPr>
          <w:p w:rsidR="006D7245" w:rsidRDefault="001F6DF9">
            <w:pPr>
              <w:jc w:val="center"/>
              <w:rPr>
                <w:rFonts w:ascii="Arial" w:hAnsi="Arial" w:cs="Arial"/>
                <w:b/>
                <w:bCs/>
                <w:i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Réponses du candidat</w:t>
            </w:r>
          </w:p>
        </w:tc>
      </w:tr>
      <w:tr w:rsidR="006D7245">
        <w:trPr>
          <w:trHeight w:val="454"/>
          <w:jc w:val="center"/>
        </w:trPr>
        <w:tc>
          <w:tcPr>
            <w:tcW w:w="9927" w:type="dxa"/>
            <w:gridSpan w:val="2"/>
            <w:shd w:val="clear" w:color="auto" w:fill="D9D9D9" w:themeFill="background1" w:themeFillShade="D9"/>
            <w:vAlign w:val="center"/>
          </w:tcPr>
          <w:p w:rsidR="006D7245" w:rsidRDefault="001F6DF9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eastAsia="zh-CN"/>
              </w:rPr>
              <w:t>Outil de suivi en ligne, fichiers de restitutions de données (selon article c/)</w:t>
            </w: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Présentation des fonctionnalités de l’outil (joindre une présentation de l’outil avec copies d’écrans et en annexe ou accès test à l’espace client de démonstration), y compris en termes d’exports (</w:t>
            </w:r>
            <w:r>
              <w:t>modalités selon lesquelles les données de facturation peuvent être extraites sur un seul fichier contenant les données financières et physiques)</w:t>
            </w: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Présentation du service d'alerte de dérives de consommation, a minima pour le site T4 en </w:t>
            </w:r>
            <w:proofErr w:type="gramStart"/>
            <w:r>
              <w:rPr>
                <w:rFonts w:ascii="Arial" w:eastAsia="Times New Roman" w:hAnsi="Arial" w:cs="Arial"/>
                <w:sz w:val="20"/>
              </w:rPr>
              <w:t>gaz;</w:t>
            </w:r>
            <w:proofErr w:type="gramEnd"/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Liste des données de facturation disponibles dans l’outil / Délai de mise à disposition des informations</w:t>
            </w: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Modalités et suivi des demandes clients exprimées via l’espace clients ou la relation clientèle / Traçabilité des échanges</w:t>
            </w: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Modalités d’accompagnement des services bénéficiaires dans la prise en main des outils mis en place (joindre en annexe un support pour la prise en main de l’outil)</w:t>
            </w: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454"/>
          <w:jc w:val="center"/>
        </w:trPr>
        <w:tc>
          <w:tcPr>
            <w:tcW w:w="9927" w:type="dxa"/>
            <w:gridSpan w:val="2"/>
            <w:shd w:val="clear" w:color="auto" w:fill="D9D9D9" w:themeFill="background1" w:themeFillShade="D9"/>
            <w:vAlign w:val="center"/>
          </w:tcPr>
          <w:p w:rsidR="006D7245" w:rsidRDefault="001F6DF9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eastAsia="zh-CN"/>
              </w:rPr>
              <w:t>Réunions de déploiement et réunions de bilan (selon article d/)</w:t>
            </w: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Fréquence et modalités d’organisation des réunions de déploiement et de bilan /moyens dédiés à ces réunions</w:t>
            </w: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454"/>
          <w:jc w:val="center"/>
        </w:trPr>
        <w:tc>
          <w:tcPr>
            <w:tcW w:w="9927" w:type="dxa"/>
            <w:gridSpan w:val="2"/>
            <w:shd w:val="clear" w:color="auto" w:fill="D9D9D9" w:themeFill="background1" w:themeFillShade="D9"/>
            <w:vAlign w:val="center"/>
          </w:tcPr>
          <w:p w:rsidR="006D7245" w:rsidRDefault="001F6DF9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  <w:t>R</w:t>
            </w:r>
            <w:r>
              <w:rPr>
                <w:rFonts w:ascii="Arial" w:hAnsi="Arial" w:cs="Arial"/>
                <w:b/>
                <w:sz w:val="21"/>
                <w:szCs w:val="21"/>
                <w:lang w:eastAsia="zh-CN"/>
              </w:rPr>
              <w:t>elation clientèle (selon article e/)</w:t>
            </w: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Moyens mis en œuvre pour assurer la relation clientèle : organisation du service clients, moyens humains pour assurer le suivi des factures et les réponses aux réclamations</w:t>
            </w: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Identification des interlocuteurs mis à disposition de l’acheteur et des bénéficiaires  (nom / ligne directe, courriel) / Moyens d’assistance (assistance téléphonique spécialisée, adresse mail fonctionnelle,…)</w:t>
            </w: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lastRenderedPageBreak/>
              <w:t>Disponibilité de l’interlocuteur (plages horaires auxquelles il peut être contacté) / Délais de réponses</w:t>
            </w:r>
            <w:r>
              <w:rPr>
                <w:rFonts w:ascii="Arial" w:eastAsia="Times New Roman" w:hAnsi="Arial" w:cs="Arial"/>
                <w:sz w:val="20"/>
              </w:rPr>
              <w:tab/>
            </w: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Suivi et traçabilité du traitement des demandes client sur l’espace en ligne</w:t>
            </w: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454"/>
          <w:jc w:val="center"/>
        </w:trPr>
        <w:tc>
          <w:tcPr>
            <w:tcW w:w="9927" w:type="dxa"/>
            <w:gridSpan w:val="2"/>
            <w:shd w:val="clear" w:color="auto" w:fill="D9D9D9" w:themeFill="background1" w:themeFillShade="D9"/>
            <w:vAlign w:val="center"/>
          </w:tcPr>
          <w:p w:rsidR="006D7245" w:rsidRDefault="001F6DF9">
            <w:pPr>
              <w:pStyle w:val="western"/>
              <w:ind w:left="0"/>
              <w:jc w:val="left"/>
              <w:rPr>
                <w:rFonts w:eastAsia="Arial Unicode MS"/>
                <w:b/>
                <w:kern w:val="3"/>
                <w:sz w:val="21"/>
                <w:szCs w:val="21"/>
                <w:lang w:eastAsia="zh-CN"/>
              </w:rPr>
            </w:pPr>
            <w:r>
              <w:rPr>
                <w:rFonts w:eastAsia="Arial Unicode MS"/>
                <w:b/>
                <w:kern w:val="3"/>
                <w:sz w:val="21"/>
                <w:szCs w:val="21"/>
                <w:lang w:eastAsia="zh-CN"/>
              </w:rPr>
              <w:t>Suivi et alertes pour dépassement de CJS (site T4) (selon article f/)</w:t>
            </w: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Description du service d’alerte de dérives de consommations et de dépassement de puissances souscrites / de capacité journalière souscrite (CJS) </w:t>
            </w: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1417"/>
          <w:jc w:val="center"/>
        </w:trPr>
        <w:tc>
          <w:tcPr>
            <w:tcW w:w="4106" w:type="dxa"/>
            <w:vAlign w:val="center"/>
          </w:tcPr>
          <w:p w:rsidR="006D7245" w:rsidRDefault="001F6DF9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Solutions proposées en cas de dépassement de puissances souscrites ou de CJS</w:t>
            </w: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454"/>
          <w:jc w:val="center"/>
        </w:trPr>
        <w:tc>
          <w:tcPr>
            <w:tcW w:w="9927" w:type="dxa"/>
            <w:gridSpan w:val="2"/>
            <w:shd w:val="clear" w:color="auto" w:fill="D9D9D9" w:themeFill="background1" w:themeFillShade="D9"/>
            <w:vAlign w:val="center"/>
          </w:tcPr>
          <w:p w:rsidR="006D7245" w:rsidRDefault="001F6DF9">
            <w:pPr>
              <w:pStyle w:val="western"/>
              <w:ind w:left="0"/>
              <w:jc w:val="left"/>
              <w:rPr>
                <w:rFonts w:eastAsia="Arial Unicode MS"/>
                <w:b/>
                <w:kern w:val="3"/>
                <w:sz w:val="21"/>
                <w:szCs w:val="21"/>
                <w:lang w:eastAsia="zh-CN"/>
              </w:rPr>
            </w:pPr>
            <w:r>
              <w:rPr>
                <w:rFonts w:eastAsia="Arial Unicode MS"/>
                <w:b/>
                <w:kern w:val="3"/>
                <w:sz w:val="21"/>
                <w:szCs w:val="21"/>
                <w:lang w:eastAsia="zh-CN"/>
              </w:rPr>
              <w:t>Prise en compte des sites sur territoires d’ELD (REGAZ et VIALIS) (</w:t>
            </w:r>
            <w:proofErr w:type="spellStart"/>
            <w:r>
              <w:rPr>
                <w:rFonts w:eastAsia="Arial Unicode MS"/>
                <w:b/>
                <w:kern w:val="3"/>
                <w:sz w:val="21"/>
                <w:szCs w:val="21"/>
                <w:lang w:eastAsia="zh-CN"/>
              </w:rPr>
              <w:t>cf</w:t>
            </w:r>
            <w:proofErr w:type="spellEnd"/>
            <w:r>
              <w:rPr>
                <w:rFonts w:eastAsia="Arial Unicode MS"/>
                <w:b/>
                <w:kern w:val="3"/>
                <w:sz w:val="21"/>
                <w:szCs w:val="21"/>
                <w:lang w:eastAsia="zh-CN"/>
              </w:rPr>
              <w:t xml:space="preserve"> article g/)</w:t>
            </w:r>
          </w:p>
        </w:tc>
      </w:tr>
      <w:tr w:rsidR="006D7245">
        <w:trPr>
          <w:trHeight w:val="1793"/>
          <w:jc w:val="center"/>
        </w:trPr>
        <w:tc>
          <w:tcPr>
            <w:tcW w:w="4106" w:type="dxa"/>
            <w:vAlign w:val="center"/>
          </w:tcPr>
          <w:p w:rsidR="006D7245" w:rsidRDefault="006D7245">
            <w:pPr>
              <w:pStyle w:val="Paragraphedeliste"/>
              <w:ind w:left="462"/>
              <w:rPr>
                <w:rFonts w:ascii="Arial" w:eastAsia="Times New Roman" w:hAnsi="Arial" w:cs="Arial"/>
                <w:sz w:val="20"/>
              </w:rPr>
            </w:pPr>
          </w:p>
          <w:p w:rsidR="006D7245" w:rsidRDefault="006D7245">
            <w:pPr>
              <w:pStyle w:val="Paragraphedeliste"/>
              <w:ind w:left="462"/>
              <w:rPr>
                <w:rFonts w:ascii="Arial" w:eastAsia="Times New Roman" w:hAnsi="Arial" w:cs="Arial"/>
                <w:sz w:val="20"/>
              </w:rPr>
            </w:pPr>
          </w:p>
          <w:p w:rsidR="006D7245" w:rsidRDefault="001F6DF9">
            <w:pPr>
              <w:pStyle w:val="Paragraphedeliste"/>
              <w:ind w:left="462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Confirmer ici que votre entreprise dispose des capacités à alimenter des sites sur ces 2 territoires</w:t>
            </w:r>
          </w:p>
          <w:p w:rsidR="006D7245" w:rsidRDefault="006D7245">
            <w:pPr>
              <w:rPr>
                <w:rFonts w:ascii="Arial" w:eastAsia="Times New Roman" w:hAnsi="Arial" w:cs="Arial"/>
                <w:sz w:val="20"/>
              </w:rPr>
            </w:pPr>
          </w:p>
          <w:p w:rsidR="006D7245" w:rsidRDefault="006D7245">
            <w:pPr>
              <w:rPr>
                <w:rFonts w:ascii="Arial" w:eastAsia="Times New Roman" w:hAnsi="Arial" w:cs="Arial"/>
                <w:sz w:val="20"/>
              </w:rPr>
            </w:pPr>
          </w:p>
          <w:p w:rsidR="006D7245" w:rsidRDefault="006D7245">
            <w:pPr>
              <w:rPr>
                <w:rFonts w:ascii="Arial" w:eastAsia="Times New Roman" w:hAnsi="Arial" w:cs="Arial"/>
                <w:sz w:val="20"/>
              </w:rPr>
            </w:pPr>
          </w:p>
          <w:p w:rsidR="006D7245" w:rsidRDefault="006D7245">
            <w:pPr>
              <w:rPr>
                <w:rFonts w:ascii="Arial" w:eastAsia="Times New Roman" w:hAnsi="Arial" w:cs="Arial"/>
                <w:sz w:val="20"/>
              </w:rPr>
            </w:pPr>
          </w:p>
          <w:p w:rsidR="006D7245" w:rsidRDefault="006D7245">
            <w:pPr>
              <w:rPr>
                <w:rFonts w:ascii="Arial" w:eastAsia="Times New Roman" w:hAnsi="Arial" w:cs="Arial"/>
                <w:sz w:val="20"/>
              </w:rPr>
            </w:pPr>
          </w:p>
          <w:p w:rsidR="006D7245" w:rsidRDefault="006D7245">
            <w:pPr>
              <w:rPr>
                <w:rFonts w:ascii="Arial" w:eastAsia="Times New Roman" w:hAnsi="Arial" w:cs="Arial"/>
                <w:sz w:val="20"/>
              </w:rPr>
            </w:pPr>
          </w:p>
          <w:p w:rsidR="006D7245" w:rsidRDefault="006D7245">
            <w:pPr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5821" w:type="dxa"/>
            <w:shd w:val="clear" w:color="auto" w:fill="EAF1DD" w:themeFill="accent3" w:themeFillTint="33"/>
            <w:vAlign w:val="center"/>
          </w:tcPr>
          <w:p w:rsidR="006D7245" w:rsidRDefault="006D7245">
            <w:pPr>
              <w:rPr>
                <w:rFonts w:ascii="Arial" w:hAnsi="Arial" w:cs="Arial"/>
                <w:bCs/>
              </w:rPr>
            </w:pPr>
          </w:p>
        </w:tc>
      </w:tr>
      <w:tr w:rsidR="006D7245">
        <w:trPr>
          <w:trHeight w:val="454"/>
          <w:jc w:val="center"/>
        </w:trPr>
        <w:tc>
          <w:tcPr>
            <w:tcW w:w="9927" w:type="dxa"/>
            <w:gridSpan w:val="2"/>
            <w:shd w:val="clear" w:color="auto" w:fill="D9D9D9" w:themeFill="background1" w:themeFillShade="D9"/>
            <w:vAlign w:val="center"/>
          </w:tcPr>
          <w:p w:rsidR="006D7245" w:rsidRDefault="001F6DF9">
            <w:pPr>
              <w:pStyle w:val="Standard"/>
              <w:autoSpaceDE w:val="0"/>
              <w:snapToGrid w:val="0"/>
              <w:ind w:left="99" w:right="-4"/>
              <w:rPr>
                <w:rFonts w:ascii="Arial" w:hAnsi="Arial" w:cs="Arial"/>
                <w:bCs/>
                <w:sz w:val="21"/>
                <w:szCs w:val="21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1"/>
                <w:szCs w:val="21"/>
                <w:u w:val="single"/>
              </w:rPr>
              <w:t>Facteurs de différenciation de votre offre</w:t>
            </w:r>
          </w:p>
        </w:tc>
      </w:tr>
      <w:tr w:rsidR="006D7245">
        <w:trPr>
          <w:jc w:val="center"/>
        </w:trPr>
        <w:tc>
          <w:tcPr>
            <w:tcW w:w="9927" w:type="dxa"/>
            <w:gridSpan w:val="2"/>
            <w:shd w:val="clear" w:color="auto" w:fill="EAF1DD" w:themeFill="accent3" w:themeFillTint="33"/>
          </w:tcPr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  <w:p w:rsidR="006D7245" w:rsidRDefault="006D7245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6D7245" w:rsidRDefault="006D7245">
      <w:pPr>
        <w:jc w:val="center"/>
        <w:rPr>
          <w:b/>
          <w:bCs/>
          <w:noProof/>
          <w:lang w:eastAsia="fr-FR"/>
        </w:rPr>
      </w:pPr>
    </w:p>
    <w:p w:rsidR="006D7245" w:rsidRDefault="006D7245">
      <w:pPr>
        <w:jc w:val="center"/>
        <w:rPr>
          <w:b/>
          <w:bCs/>
          <w:noProof/>
          <w:lang w:eastAsia="fr-FR"/>
        </w:rPr>
      </w:pPr>
    </w:p>
    <w:p w:rsidR="001F6DF9" w:rsidRDefault="001F6DF9">
      <w:pPr>
        <w:jc w:val="center"/>
        <w:rPr>
          <w:b/>
          <w:bCs/>
          <w:noProof/>
          <w:lang w:eastAsia="fr-FR"/>
        </w:rPr>
      </w:pPr>
    </w:p>
    <w:p w:rsidR="001F6DF9" w:rsidRDefault="001F6DF9">
      <w:pPr>
        <w:jc w:val="center"/>
        <w:rPr>
          <w:b/>
          <w:bCs/>
          <w:noProof/>
          <w:lang w:eastAsia="fr-FR"/>
        </w:rPr>
      </w:pPr>
    </w:p>
    <w:p w:rsidR="006D7245" w:rsidRDefault="006D7245">
      <w:pPr>
        <w:jc w:val="center"/>
        <w:rPr>
          <w:b/>
          <w:bCs/>
          <w:noProof/>
          <w:lang w:eastAsia="fr-FR"/>
        </w:rPr>
      </w:pPr>
    </w:p>
    <w:p w:rsidR="006D7245" w:rsidRDefault="001F6DF9">
      <w:pPr>
        <w:jc w:val="center"/>
        <w:rPr>
          <w:b/>
          <w:bCs/>
          <w:noProof/>
          <w:lang w:eastAsia="fr-FR"/>
        </w:rPr>
      </w:pPr>
      <w:r>
        <w:rPr>
          <w:b/>
          <w:bCs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-246380</wp:posOffset>
                </wp:positionH>
                <wp:positionV relativeFrom="paragraph">
                  <wp:posOffset>30811</wp:posOffset>
                </wp:positionV>
                <wp:extent cx="6225871" cy="405516"/>
                <wp:effectExtent l="0" t="0" r="2286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871" cy="40551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0D0D5E06" id="Rectangle 1" o:spid="_x0000_s1026" style="position:absolute;margin-left:-19.4pt;margin-top:2.45pt;width:490.25pt;height:31.9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" filled="f" strokecolor="#404040 [2429]" strokeweight="2pt"/>
            </w:pict>
          </mc:Fallback>
        </mc:AlternateContent>
      </w:r>
    </w:p>
    <w:p w:rsidR="006D7245" w:rsidRDefault="001F6DF9">
      <w:pPr>
        <w:jc w:val="center"/>
        <w:rPr>
          <w:b/>
          <w:bCs/>
        </w:rPr>
      </w:pPr>
      <w:r>
        <w:rPr>
          <w:b/>
          <w:bCs/>
        </w:rPr>
        <w:t>ANNEXES A JOINDRE A MINIMA</w:t>
      </w:r>
    </w:p>
    <w:p w:rsidR="006D7245" w:rsidRDefault="006D7245">
      <w:pPr>
        <w:jc w:val="both"/>
        <w:rPr>
          <w:b/>
          <w:bCs/>
        </w:rPr>
      </w:pPr>
    </w:p>
    <w:p w:rsidR="006D7245" w:rsidRDefault="006D7245">
      <w:pPr>
        <w:jc w:val="both"/>
        <w:rPr>
          <w:b/>
          <w:bCs/>
        </w:rPr>
      </w:pPr>
    </w:p>
    <w:p w:rsidR="006D7245" w:rsidRDefault="006D7245">
      <w:pPr>
        <w:jc w:val="both"/>
        <w:rPr>
          <w:rFonts w:ascii="Arial" w:eastAsia="Times New Roman" w:hAnsi="Arial" w:cs="Arial"/>
          <w:b/>
          <w:sz w:val="20"/>
        </w:rPr>
      </w:pPr>
    </w:p>
    <w:p w:rsidR="006D7245" w:rsidRDefault="001F6DF9">
      <w:pPr>
        <w:jc w:val="both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  <w:u w:val="single"/>
        </w:rPr>
        <w:t>Annexe 1</w:t>
      </w:r>
      <w:r>
        <w:rPr>
          <w:rFonts w:ascii="Arial" w:eastAsia="Times New Roman" w:hAnsi="Arial" w:cs="Arial"/>
          <w:b/>
          <w:sz w:val="20"/>
        </w:rPr>
        <w:t xml:space="preserve"> : </w:t>
      </w:r>
    </w:p>
    <w:p w:rsidR="006D7245" w:rsidRDefault="006D7245">
      <w:pPr>
        <w:jc w:val="both"/>
        <w:rPr>
          <w:rFonts w:ascii="Arial" w:eastAsia="Times New Roman" w:hAnsi="Arial" w:cs="Arial"/>
          <w:sz w:val="20"/>
        </w:rPr>
      </w:pPr>
    </w:p>
    <w:p w:rsidR="006D7245" w:rsidRDefault="001F6DF9">
      <w:pPr>
        <w:pStyle w:val="Paragraphedeliste"/>
        <w:numPr>
          <w:ilvl w:val="0"/>
          <w:numId w:val="11"/>
        </w:numPr>
        <w:ind w:left="709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Modèle de facture (et son annexe) concernant un unique point de livraison dématérialisée visualisable sur l’espace client</w:t>
      </w:r>
    </w:p>
    <w:p w:rsidR="006D7245" w:rsidRDefault="006D7245">
      <w:pPr>
        <w:ind w:left="709"/>
        <w:jc w:val="both"/>
        <w:rPr>
          <w:rFonts w:ascii="Arial" w:eastAsia="Times New Roman" w:hAnsi="Arial" w:cs="Arial"/>
          <w:sz w:val="20"/>
        </w:rPr>
      </w:pPr>
    </w:p>
    <w:p w:rsidR="006D7245" w:rsidRDefault="001F6DF9">
      <w:pPr>
        <w:pStyle w:val="Paragraphedeliste"/>
        <w:numPr>
          <w:ilvl w:val="0"/>
          <w:numId w:val="11"/>
        </w:numPr>
        <w:ind w:left="709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Exemple de facture </w:t>
      </w:r>
      <w:proofErr w:type="spellStart"/>
      <w:r>
        <w:rPr>
          <w:rFonts w:ascii="Arial" w:eastAsia="Times New Roman" w:hAnsi="Arial" w:cs="Arial"/>
          <w:sz w:val="20"/>
        </w:rPr>
        <w:t>multi-sites</w:t>
      </w:r>
      <w:proofErr w:type="spellEnd"/>
      <w:r>
        <w:rPr>
          <w:rFonts w:ascii="Arial" w:eastAsia="Times New Roman" w:hAnsi="Arial" w:cs="Arial"/>
          <w:sz w:val="20"/>
        </w:rPr>
        <w:t xml:space="preserve"> (et son annexe) dématérialisée visualisable sur l’espace client</w:t>
      </w:r>
    </w:p>
    <w:p w:rsidR="006D7245" w:rsidRDefault="006D7245">
      <w:pPr>
        <w:jc w:val="both"/>
        <w:rPr>
          <w:rFonts w:ascii="Arial" w:eastAsia="Times New Roman" w:hAnsi="Arial" w:cs="Arial"/>
          <w:sz w:val="20"/>
        </w:rPr>
      </w:pPr>
    </w:p>
    <w:p w:rsidR="006D7245" w:rsidRDefault="006D7245">
      <w:pPr>
        <w:jc w:val="both"/>
        <w:rPr>
          <w:rFonts w:ascii="Arial" w:eastAsia="Times New Roman" w:hAnsi="Arial" w:cs="Arial"/>
          <w:sz w:val="20"/>
        </w:rPr>
      </w:pPr>
    </w:p>
    <w:p w:rsidR="006D7245" w:rsidRDefault="001F6DF9">
      <w:pPr>
        <w:jc w:val="both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  <w:u w:val="single"/>
        </w:rPr>
        <w:t>Annexe 2</w:t>
      </w:r>
      <w:r>
        <w:rPr>
          <w:rFonts w:ascii="Arial" w:eastAsia="Times New Roman" w:hAnsi="Arial" w:cs="Arial"/>
          <w:b/>
          <w:sz w:val="20"/>
        </w:rPr>
        <w:t xml:space="preserve"> : </w:t>
      </w:r>
    </w:p>
    <w:p w:rsidR="006D7245" w:rsidRDefault="006D7245">
      <w:pPr>
        <w:jc w:val="both"/>
        <w:rPr>
          <w:rFonts w:ascii="Arial" w:eastAsia="Times New Roman" w:hAnsi="Arial" w:cs="Arial"/>
          <w:sz w:val="20"/>
        </w:rPr>
      </w:pPr>
    </w:p>
    <w:p w:rsidR="006D7245" w:rsidRDefault="001F6DF9">
      <w:pPr>
        <w:pStyle w:val="Paragraphedeliste"/>
        <w:numPr>
          <w:ilvl w:val="0"/>
          <w:numId w:val="15"/>
        </w:numPr>
        <w:jc w:val="both"/>
        <w:rPr>
          <w:b/>
          <w:bCs/>
        </w:rPr>
      </w:pPr>
      <w:r>
        <w:rPr>
          <w:rFonts w:ascii="Arial" w:eastAsia="Times New Roman" w:hAnsi="Arial" w:cs="Arial"/>
          <w:sz w:val="20"/>
        </w:rPr>
        <w:t>Présentation des fonctionnalités de l’outil de suivi en ligne avec copies d’écrans (ou renvoi à un lien pour un espace client de démonstration)</w:t>
      </w:r>
    </w:p>
    <w:p w:rsidR="006D7245" w:rsidRDefault="006D7245">
      <w:pPr>
        <w:pStyle w:val="Paragraphedeliste"/>
        <w:jc w:val="both"/>
        <w:rPr>
          <w:b/>
          <w:bCs/>
        </w:rPr>
      </w:pPr>
    </w:p>
    <w:p w:rsidR="006D7245" w:rsidRDefault="001F6DF9">
      <w:pPr>
        <w:pStyle w:val="Paragraphedeliste"/>
        <w:numPr>
          <w:ilvl w:val="0"/>
          <w:numId w:val="15"/>
        </w:numPr>
        <w:ind w:left="714" w:hanging="357"/>
        <w:jc w:val="both"/>
        <w:rPr>
          <w:b/>
          <w:bCs/>
        </w:rPr>
      </w:pPr>
      <w:r>
        <w:rPr>
          <w:rFonts w:ascii="Arial" w:eastAsia="Times New Roman" w:hAnsi="Arial" w:cs="Arial"/>
          <w:sz w:val="20"/>
        </w:rPr>
        <w:t>Support pour la prise en main de l’outil de suivi en ligne</w:t>
      </w:r>
    </w:p>
    <w:p w:rsidR="006D7245" w:rsidRDefault="006D7245">
      <w:pPr>
        <w:pStyle w:val="Paragraphedeliste"/>
        <w:rPr>
          <w:b/>
          <w:bCs/>
        </w:rPr>
      </w:pPr>
    </w:p>
    <w:p w:rsidR="006D7245" w:rsidRDefault="001F6DF9">
      <w:pPr>
        <w:jc w:val="both"/>
        <w:rPr>
          <w:b/>
          <w:bCs/>
        </w:rPr>
      </w:pPr>
      <w:r>
        <w:rPr>
          <w:b/>
          <w:bCs/>
        </w:rPr>
        <w:t xml:space="preserve">Annexe 3 : </w:t>
      </w:r>
    </w:p>
    <w:p w:rsidR="006D7245" w:rsidRPr="001F6DF9" w:rsidRDefault="001F6DF9" w:rsidP="001F6DF9">
      <w:pPr>
        <w:pStyle w:val="Paragraphedeliste"/>
        <w:numPr>
          <w:ilvl w:val="0"/>
          <w:numId w:val="15"/>
        </w:numPr>
        <w:jc w:val="both"/>
        <w:rPr>
          <w:b/>
          <w:bCs/>
        </w:rPr>
      </w:pPr>
      <w:r>
        <w:rPr>
          <w:b/>
          <w:bCs/>
        </w:rPr>
        <w:t>Calendrier prévisionnel des opérations à réaliser en vue de la bascule des sites au 1</w:t>
      </w:r>
      <w:r w:rsidRPr="001F6DF9">
        <w:rPr>
          <w:b/>
          <w:bCs/>
          <w:vertAlign w:val="superscript"/>
        </w:rPr>
        <w:t>er</w:t>
      </w:r>
      <w:r>
        <w:rPr>
          <w:b/>
          <w:bCs/>
        </w:rPr>
        <w:t xml:space="preserve"> juillet 202</w:t>
      </w:r>
      <w:bookmarkStart w:id="0" w:name="_GoBack"/>
      <w:bookmarkEnd w:id="0"/>
      <w:r>
        <w:rPr>
          <w:b/>
          <w:bCs/>
        </w:rPr>
        <w:t>5</w:t>
      </w:r>
    </w:p>
    <w:p w:rsidR="006D7245" w:rsidRDefault="006D7245">
      <w:pPr>
        <w:jc w:val="both"/>
        <w:rPr>
          <w:rFonts w:ascii="Arial" w:eastAsia="Times New Roman" w:hAnsi="Arial" w:cs="Arial"/>
          <w:sz w:val="20"/>
          <w:u w:val="single"/>
        </w:rPr>
      </w:pPr>
    </w:p>
    <w:p w:rsidR="006D7245" w:rsidRDefault="006D7245">
      <w:pPr>
        <w:jc w:val="both"/>
        <w:rPr>
          <w:rFonts w:ascii="Arial" w:eastAsia="Times New Roman" w:hAnsi="Arial" w:cs="Arial"/>
          <w:sz w:val="20"/>
          <w:u w:val="single"/>
        </w:rPr>
      </w:pPr>
    </w:p>
    <w:p w:rsidR="006D7245" w:rsidRDefault="001F6DF9">
      <w:pPr>
        <w:jc w:val="both"/>
        <w:rPr>
          <w:rFonts w:ascii="Arial" w:eastAsia="Times New Roman" w:hAnsi="Arial" w:cs="Arial"/>
          <w:b/>
          <w:sz w:val="20"/>
          <w:u w:val="single"/>
        </w:rPr>
      </w:pPr>
      <w:r>
        <w:rPr>
          <w:rFonts w:ascii="Arial" w:eastAsia="Times New Roman" w:hAnsi="Arial" w:cs="Arial"/>
          <w:b/>
          <w:sz w:val="20"/>
          <w:u w:val="single"/>
        </w:rPr>
        <w:t>Autres annexes</w:t>
      </w:r>
      <w:r>
        <w:rPr>
          <w:rFonts w:ascii="Arial" w:eastAsia="Times New Roman" w:hAnsi="Arial" w:cs="Arial"/>
          <w:b/>
          <w:sz w:val="20"/>
        </w:rPr>
        <w:t> (à lister le cas échéant)</w:t>
      </w:r>
    </w:p>
    <w:sectPr w:rsidR="006D7245">
      <w:footerReference w:type="default" r:id="rId9"/>
      <w:pgSz w:w="11907" w:h="16839" w:code="9"/>
      <w:pgMar w:top="426" w:right="1418" w:bottom="1418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245" w:rsidRDefault="001F6DF9">
      <w:r>
        <w:separator/>
      </w:r>
    </w:p>
  </w:endnote>
  <w:endnote w:type="continuationSeparator" w:id="0">
    <w:p w:rsidR="006D7245" w:rsidRDefault="001F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2329812"/>
      <w:docPartObj>
        <w:docPartGallery w:val="Page Numbers (Bottom of Page)"/>
        <w:docPartUnique/>
      </w:docPartObj>
    </w:sdtPr>
    <w:sdtEndPr/>
    <w:sdtContent>
      <w:sdt>
        <w:sdtPr>
          <w:id w:val="1146783943"/>
          <w:docPartObj>
            <w:docPartGallery w:val="Page Numbers (Top of Page)"/>
            <w:docPartUnique/>
          </w:docPartObj>
        </w:sdtPr>
        <w:sdtEndPr/>
        <w:sdtContent>
          <w:p w:rsidR="006D7245" w:rsidRDefault="001F6DF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7245" w:rsidRDefault="006D72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245" w:rsidRDefault="001F6DF9">
      <w:r>
        <w:separator/>
      </w:r>
    </w:p>
  </w:footnote>
  <w:footnote w:type="continuationSeparator" w:id="0">
    <w:p w:rsidR="006D7245" w:rsidRDefault="001F6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A168A"/>
    <w:multiLevelType w:val="hybridMultilevel"/>
    <w:tmpl w:val="DE34FE4A"/>
    <w:lvl w:ilvl="0" w:tplc="B84CEEB2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1F497D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65C8D"/>
    <w:multiLevelType w:val="hybridMultilevel"/>
    <w:tmpl w:val="70364D7A"/>
    <w:lvl w:ilvl="0" w:tplc="C1568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7A87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C68D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A82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EDB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E684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5A9D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74F7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8403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605D90"/>
    <w:multiLevelType w:val="hybridMultilevel"/>
    <w:tmpl w:val="53AA1720"/>
    <w:lvl w:ilvl="0" w:tplc="C15684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256872"/>
    <w:multiLevelType w:val="hybridMultilevel"/>
    <w:tmpl w:val="4A0E55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B1633"/>
    <w:multiLevelType w:val="hybridMultilevel"/>
    <w:tmpl w:val="759082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31F16"/>
    <w:multiLevelType w:val="hybridMultilevel"/>
    <w:tmpl w:val="3A7CF9FE"/>
    <w:lvl w:ilvl="0" w:tplc="0D303576">
      <w:numFmt w:val="bullet"/>
      <w:lvlText w:val="-"/>
      <w:lvlJc w:val="left"/>
      <w:pPr>
        <w:ind w:left="1077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5B01290"/>
    <w:multiLevelType w:val="hybridMultilevel"/>
    <w:tmpl w:val="B83ED04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73C29"/>
    <w:multiLevelType w:val="hybridMultilevel"/>
    <w:tmpl w:val="46FA38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2732D"/>
    <w:multiLevelType w:val="hybridMultilevel"/>
    <w:tmpl w:val="3D404434"/>
    <w:lvl w:ilvl="0" w:tplc="EBB88290">
      <w:numFmt w:val="bullet"/>
      <w:lvlText w:val=""/>
      <w:lvlJc w:val="left"/>
      <w:pPr>
        <w:ind w:left="720" w:hanging="360"/>
      </w:pPr>
      <w:rPr>
        <w:rFonts w:ascii="Wingdings" w:eastAsia="Andale Sans UI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D77C1"/>
    <w:multiLevelType w:val="hybridMultilevel"/>
    <w:tmpl w:val="982E87CE"/>
    <w:lvl w:ilvl="0" w:tplc="1BB8B06C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997F84"/>
    <w:multiLevelType w:val="hybridMultilevel"/>
    <w:tmpl w:val="5A4ED1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5506C"/>
    <w:multiLevelType w:val="hybridMultilevel"/>
    <w:tmpl w:val="F7D2C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C25DA"/>
    <w:multiLevelType w:val="hybridMultilevel"/>
    <w:tmpl w:val="299A4D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392546"/>
    <w:multiLevelType w:val="hybridMultilevel"/>
    <w:tmpl w:val="70364D7A"/>
    <w:lvl w:ilvl="0" w:tplc="C1568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7A87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C68D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A82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EDB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E684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5A9D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74F7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8403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2538F9"/>
    <w:multiLevelType w:val="hybridMultilevel"/>
    <w:tmpl w:val="F134EA30"/>
    <w:lvl w:ilvl="0" w:tplc="59AA3298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80C6F45"/>
    <w:multiLevelType w:val="hybridMultilevel"/>
    <w:tmpl w:val="E214C77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5422C0"/>
    <w:multiLevelType w:val="hybridMultilevel"/>
    <w:tmpl w:val="A39046AE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FD917CB"/>
    <w:multiLevelType w:val="hybridMultilevel"/>
    <w:tmpl w:val="D234A94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8F77CC"/>
    <w:multiLevelType w:val="hybridMultilevel"/>
    <w:tmpl w:val="5CB4B7B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"/>
  </w:num>
  <w:num w:numId="4">
    <w:abstractNumId w:val="2"/>
  </w:num>
  <w:num w:numId="5">
    <w:abstractNumId w:val="17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  <w:num w:numId="11">
    <w:abstractNumId w:val="12"/>
  </w:num>
  <w:num w:numId="12">
    <w:abstractNumId w:val="4"/>
  </w:num>
  <w:num w:numId="13">
    <w:abstractNumId w:val="18"/>
  </w:num>
  <w:num w:numId="14">
    <w:abstractNumId w:val="15"/>
  </w:num>
  <w:num w:numId="15">
    <w:abstractNumId w:val="11"/>
  </w:num>
  <w:num w:numId="16">
    <w:abstractNumId w:val="10"/>
  </w:num>
  <w:num w:numId="17">
    <w:abstractNumId w:val="8"/>
  </w:num>
  <w:num w:numId="18">
    <w:abstractNumId w:val="16"/>
  </w:num>
  <w:num w:numId="19">
    <w:abstractNumId w:val="1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245"/>
    <w:rsid w:val="001F6DF9"/>
    <w:rsid w:val="006D7245"/>
    <w:rsid w:val="00EE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43957B"/>
  <w15:docId w15:val="{AB0FD2F7-DE91-4D85-80DD-2FA4E277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paragraph" w:customStyle="1" w:styleId="Standard">
    <w:name w:val="Standard"/>
    <w:link w:val="StandardCar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Web">
    <w:name w:val="Normal (Web)"/>
    <w:basedOn w:val="Standard"/>
    <w:uiPriority w:val="99"/>
    <w:pPr>
      <w:spacing w:before="280" w:after="280"/>
    </w:pPr>
    <w:rPr>
      <w:rFonts w:ascii="Arial Unicode MS" w:eastAsia="Arial Unicode MS" w:hAnsi="Arial Unicode MS" w:cs="Arial Unicode MS"/>
    </w:rPr>
  </w:style>
  <w:style w:type="character" w:customStyle="1" w:styleId="StandardCar">
    <w:name w:val="Standard Car"/>
    <w:link w:val="Standard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customStyle="1" w:styleId="western">
    <w:name w:val="western"/>
    <w:basedOn w:val="Normal"/>
    <w:pPr>
      <w:ind w:left="567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autoRedefine/>
    <w:pPr>
      <w:keepLines/>
      <w:widowControl w:val="0"/>
      <w:spacing w:before="60" w:after="60"/>
      <w:ind w:left="709"/>
      <w:jc w:val="both"/>
      <w:textAlignment w:val="center"/>
    </w:pPr>
    <w:rPr>
      <w:rFonts w:ascii="Arial" w:eastAsia="Andale Sans UI" w:hAnsi="Arial" w:cs="Tahoma"/>
      <w:kern w:val="2"/>
      <w:sz w:val="18"/>
      <w:szCs w:val="18"/>
      <w:lang w:eastAsia="zh-CN" w:bidi="fa-IR"/>
    </w:rPr>
  </w:style>
  <w:style w:type="character" w:customStyle="1" w:styleId="CorpsdetexteCar">
    <w:name w:val="Corps de texte Car"/>
    <w:basedOn w:val="Policepardfaut"/>
    <w:link w:val="Corpsdetexte"/>
    <w:rPr>
      <w:rFonts w:ascii="Arial" w:eastAsia="Andale Sans UI" w:hAnsi="Arial" w:cs="Tahoma"/>
      <w:kern w:val="2"/>
      <w:sz w:val="18"/>
      <w:szCs w:val="18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92A55-A145-43F9-996E-5CAE4CD7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723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SOLER Patrick</dc:creator>
  <cp:lastModifiedBy>Sonia Dobie</cp:lastModifiedBy>
  <cp:revision>15</cp:revision>
  <cp:lastPrinted>2015-02-06T18:15:00Z</cp:lastPrinted>
  <dcterms:created xsi:type="dcterms:W3CDTF">2025-03-02T11:19:00Z</dcterms:created>
  <dcterms:modified xsi:type="dcterms:W3CDTF">2025-03-03T14:34:00Z</dcterms:modified>
</cp:coreProperties>
</file>