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06D10" w:rsidRDefault="00B06D10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</w:t>
      </w:r>
      <w:r w:rsidR="00B80166">
        <w:rPr>
          <w:rFonts w:ascii="Tahoma" w:hAnsi="Tahoma" w:cs="Tahoma"/>
          <w:b/>
        </w:rPr>
        <w:t>°</w:t>
      </w:r>
      <w:r w:rsidR="00B80166" w:rsidRPr="00B80166">
        <w:rPr>
          <w:rFonts w:ascii="Tahoma" w:hAnsi="Tahoma" w:cs="Tahoma"/>
          <w:b/>
        </w:rPr>
        <w:t>2025DTA0005</w:t>
      </w:r>
    </w:p>
    <w:p w:rsidR="00B06D10" w:rsidRDefault="00B06D10" w:rsidP="00B06D10">
      <w:pPr>
        <w:rPr>
          <w:rFonts w:ascii="Tahoma" w:hAnsi="Tahoma" w:cs="Tahoma"/>
          <w:b/>
        </w:rPr>
      </w:pPr>
    </w:p>
    <w:p w:rsidR="00B80166" w:rsidRDefault="00B80166" w:rsidP="00B8016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</w:t>
      </w:r>
      <w:r w:rsidRPr="00264FC3">
        <w:rPr>
          <w:rFonts w:ascii="Tahoma" w:hAnsi="Tahoma" w:cs="Tahoma"/>
          <w:b/>
        </w:rPr>
        <w:t>2025DTA0005</w:t>
      </w:r>
    </w:p>
    <w:p w:rsidR="00B80166" w:rsidRDefault="00B80166" w:rsidP="00B80166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 xml:space="preserve">CHU DE BREST </w:t>
      </w:r>
      <w:r>
        <w:rPr>
          <w:rFonts w:ascii="Tahoma" w:hAnsi="Tahoma" w:cs="Tahoma"/>
          <w:b/>
        </w:rPr>
        <w:t>– CAVALE BLANCHE</w:t>
      </w:r>
    </w:p>
    <w:p w:rsidR="00B80166" w:rsidRDefault="00B80166" w:rsidP="00B80166">
      <w:pPr>
        <w:rPr>
          <w:rFonts w:ascii="Tahoma" w:hAnsi="Tahoma" w:cs="Tahoma"/>
          <w:b/>
        </w:rPr>
      </w:pPr>
      <w:r w:rsidRPr="00264FC3">
        <w:rPr>
          <w:rFonts w:ascii="Tahoma" w:hAnsi="Tahoma" w:cs="Tahoma"/>
          <w:b/>
        </w:rPr>
        <w:t xml:space="preserve">CHU de Brest </w:t>
      </w:r>
      <w:r>
        <w:rPr>
          <w:rFonts w:ascii="Tahoma" w:hAnsi="Tahoma" w:cs="Tahoma"/>
          <w:b/>
        </w:rPr>
        <w:t xml:space="preserve">- Restructuration et Extension </w:t>
      </w:r>
      <w:r w:rsidRPr="00264FC3">
        <w:rPr>
          <w:rFonts w:ascii="Tahoma" w:hAnsi="Tahoma" w:cs="Tahoma"/>
          <w:b/>
        </w:rPr>
        <w:t>du Plateau Technique du site de la Cavale Blanche</w:t>
      </w:r>
    </w:p>
    <w:p w:rsidR="00B80166" w:rsidRPr="00F267A7" w:rsidRDefault="00B80166" w:rsidP="00B80166">
      <w:pPr>
        <w:pStyle w:val="Paragraphedeliste"/>
        <w:numPr>
          <w:ilvl w:val="0"/>
          <w:numId w:val="12"/>
        </w:numPr>
        <w:rPr>
          <w:rFonts w:ascii="Tahoma" w:hAnsi="Tahoma" w:cs="Tahoma"/>
          <w:b/>
        </w:rPr>
      </w:pPr>
      <w:r w:rsidRPr="00F267A7">
        <w:rPr>
          <w:rFonts w:ascii="Tahoma" w:hAnsi="Tahoma" w:cs="Tahoma"/>
          <w:b/>
        </w:rPr>
        <w:t>Lot n° 01 : Contrôle Technique</w:t>
      </w:r>
    </w:p>
    <w:p w:rsidR="00B80166" w:rsidRPr="00F267A7" w:rsidRDefault="00B80166" w:rsidP="00B80166">
      <w:pPr>
        <w:pStyle w:val="Paragraphedeliste"/>
        <w:numPr>
          <w:ilvl w:val="0"/>
          <w:numId w:val="12"/>
        </w:numPr>
        <w:rPr>
          <w:rFonts w:ascii="Tahoma" w:hAnsi="Tahoma" w:cs="Tahoma"/>
          <w:b/>
        </w:rPr>
      </w:pPr>
      <w:r w:rsidRPr="00F267A7">
        <w:rPr>
          <w:rFonts w:ascii="Tahoma" w:hAnsi="Tahoma" w:cs="Tahoma"/>
          <w:b/>
        </w:rPr>
        <w:t>Lot n° 02 : Coordination Sécurité et Protection de la Santé</w:t>
      </w:r>
    </w:p>
    <w:p w:rsidR="00B2407A" w:rsidRDefault="00B2407A" w:rsidP="0007015C">
      <w:pPr>
        <w:rPr>
          <w:rFonts w:ascii="Tahoma" w:hAnsi="Tahoma" w:cs="Tahoma"/>
          <w:b/>
          <w:bCs/>
        </w:rPr>
      </w:pPr>
    </w:p>
    <w:p w:rsidR="00B80166" w:rsidRDefault="00B80166" w:rsidP="0007015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PPI-2017-001-IT</w:t>
      </w:r>
    </w:p>
    <w:p w:rsidR="00B80166" w:rsidRDefault="00B80166" w:rsidP="0007015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PPI-2022-942-IT</w:t>
      </w:r>
    </w:p>
    <w:p w:rsidR="00B80166" w:rsidRDefault="00B80166" w:rsidP="0007015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PPI-2023-001-IT</w:t>
      </w:r>
    </w:p>
    <w:p w:rsidR="00B80166" w:rsidRPr="00FC66A7" w:rsidRDefault="00B80166" w:rsidP="0007015C">
      <w:pPr>
        <w:rPr>
          <w:rFonts w:ascii="Tahoma" w:hAnsi="Tahoma" w:cs="Tahoma"/>
          <w:b/>
          <w:bCs/>
        </w:rPr>
      </w:pPr>
    </w:p>
    <w:p w:rsidR="009B1CD0" w:rsidRPr="00B80166" w:rsidRDefault="009B1CD0" w:rsidP="00B80166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:rsidR="00B80166" w:rsidRPr="00A2106F" w:rsidRDefault="00B80166" w:rsidP="00B80166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B80166" w:rsidRPr="00A2106F" w:rsidRDefault="00B80166" w:rsidP="00B80166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l’ensemble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de non allotissement) </w:t>
      </w:r>
      <w:r w:rsidRPr="00A2106F">
        <w:rPr>
          <w:rFonts w:ascii="Tahoma" w:hAnsi="Tahoma" w:cs="Tahoma"/>
          <w:iCs/>
        </w:rPr>
        <w:t>;</w:t>
      </w:r>
    </w:p>
    <w:p w:rsidR="00B80166" w:rsidRPr="00A2106F" w:rsidRDefault="00B80166" w:rsidP="00B80166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0166" w:rsidRDefault="00B80166" w:rsidP="00B80166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au</w:t>
      </w:r>
      <w:proofErr w:type="gramEnd"/>
      <w:r>
        <w:rPr>
          <w:rFonts w:ascii="Tahoma" w:hAnsi="Tahoma" w:cs="Tahoma"/>
        </w:rPr>
        <w:t xml:space="preserve">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>
        <w:rPr>
          <w:rFonts w:ascii="Tahoma" w:hAnsi="Tahoma" w:cs="Tahoma"/>
        </w:rPr>
        <w:t> :</w:t>
      </w:r>
    </w:p>
    <w:p w:rsidR="00B80166" w:rsidRDefault="00B80166" w:rsidP="00B80166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1921"/>
        <w:gridCol w:w="1933"/>
        <w:gridCol w:w="5489"/>
      </w:tblGrid>
      <w:tr w:rsidR="00B80166" w:rsidTr="00B37087">
        <w:tc>
          <w:tcPr>
            <w:tcW w:w="1951" w:type="dxa"/>
          </w:tcPr>
          <w:p w:rsidR="00B80166" w:rsidRPr="00264FC3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</w:rPr>
            </w:pPr>
            <w:r w:rsidRPr="00264FC3">
              <w:rPr>
                <w:rFonts w:ascii="Tahoma" w:hAnsi="Tahoma" w:cs="Tahoma"/>
                <w:b/>
                <w:highlight w:val="yellow"/>
              </w:rPr>
              <w:t>COCHER</w:t>
            </w:r>
          </w:p>
        </w:tc>
        <w:tc>
          <w:tcPr>
            <w:tcW w:w="1984" w:type="dxa"/>
          </w:tcPr>
          <w:p w:rsidR="00B80166" w:rsidRPr="00264FC3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</w:rPr>
            </w:pPr>
            <w:r w:rsidRPr="00264FC3">
              <w:rPr>
                <w:rFonts w:ascii="Tahoma" w:hAnsi="Tahoma" w:cs="Tahoma"/>
                <w:b/>
              </w:rPr>
              <w:t xml:space="preserve">N° du lot </w:t>
            </w:r>
          </w:p>
        </w:tc>
        <w:tc>
          <w:tcPr>
            <w:tcW w:w="5634" w:type="dxa"/>
          </w:tcPr>
          <w:p w:rsidR="00B80166" w:rsidRPr="00264FC3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</w:rPr>
            </w:pPr>
            <w:r w:rsidRPr="00264FC3">
              <w:rPr>
                <w:rFonts w:ascii="Tahoma" w:hAnsi="Tahoma" w:cs="Tahoma"/>
                <w:b/>
              </w:rPr>
              <w:t>Intitulé du lot</w:t>
            </w:r>
          </w:p>
        </w:tc>
      </w:tr>
      <w:tr w:rsidR="00B80166" w:rsidTr="00B37087">
        <w:tc>
          <w:tcPr>
            <w:tcW w:w="1951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634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  <w:r w:rsidRPr="00264FC3">
              <w:rPr>
                <w:rFonts w:ascii="Tahoma" w:hAnsi="Tahoma" w:cs="Tahoma"/>
              </w:rPr>
              <w:t>Contrôle Technique</w:t>
            </w:r>
          </w:p>
        </w:tc>
      </w:tr>
      <w:tr w:rsidR="00B80166" w:rsidTr="00B37087">
        <w:tc>
          <w:tcPr>
            <w:tcW w:w="1951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634" w:type="dxa"/>
          </w:tcPr>
          <w:p w:rsidR="00B80166" w:rsidRDefault="00B80166" w:rsidP="00B37087">
            <w:pPr>
              <w:pStyle w:val="fcasegauche"/>
              <w:tabs>
                <w:tab w:val="left" w:pos="851"/>
              </w:tabs>
              <w:ind w:left="0" w:firstLine="0"/>
              <w:rPr>
                <w:rFonts w:ascii="Tahoma" w:hAnsi="Tahoma" w:cs="Tahoma"/>
              </w:rPr>
            </w:pPr>
            <w:r w:rsidRPr="00264FC3">
              <w:rPr>
                <w:rFonts w:ascii="Tahoma" w:hAnsi="Tahoma" w:cs="Tahoma"/>
              </w:rPr>
              <w:t>Coordination Sécurité et Protection de la Santé</w:t>
            </w:r>
          </w:p>
        </w:tc>
      </w:tr>
    </w:tbl>
    <w:p w:rsidR="00B80166" w:rsidRPr="00A2106F" w:rsidRDefault="00B80166" w:rsidP="00B80166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B80166" w:rsidRPr="00A655A2" w:rsidRDefault="00B80166" w:rsidP="00B80166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l’offre de base.</w:t>
      </w:r>
    </w:p>
    <w:p w:rsidR="00B80166" w:rsidRPr="00A517FF" w:rsidRDefault="00B80166" w:rsidP="00B80166">
      <w:pPr>
        <w:pStyle w:val="fcasegauche"/>
        <w:tabs>
          <w:tab w:val="left" w:pos="851"/>
        </w:tabs>
        <w:rPr>
          <w:rFonts w:ascii="Tahoma" w:hAnsi="Tahoma" w:cs="Tahoma"/>
          <w:highlight w:val="yellow"/>
        </w:rPr>
      </w:pPr>
    </w:p>
    <w:p w:rsidR="00B80166" w:rsidRDefault="00B80166" w:rsidP="00B80166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la variante suivante :</w:t>
      </w:r>
    </w:p>
    <w:p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</w:t>
      </w:r>
      <w:r w:rsidR="00B80166">
        <w:rPr>
          <w:rFonts w:ascii="Tahoma" w:hAnsi="Tahoma" w:cs="Tahoma"/>
        </w:rPr>
        <w:t>°2025DTA0005</w:t>
      </w:r>
    </w:p>
    <w:p w:rsidR="009B1CD0" w:rsidRPr="00F9087E" w:rsidRDefault="00B2407A" w:rsidP="00B8016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</w:t>
      </w:r>
      <w:r w:rsidR="00B80166">
        <w:rPr>
          <w:rFonts w:ascii="Tahoma" w:hAnsi="Tahoma" w:cs="Tahoma"/>
        </w:rPr>
        <w:t>°2025DTA0005</w:t>
      </w:r>
    </w:p>
    <w:p w:rsidR="00B80166" w:rsidRPr="00F9087E" w:rsidRDefault="00B2407A" w:rsidP="00B8016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</w:t>
      </w:r>
      <w:r w:rsidR="00B80166">
        <w:rPr>
          <w:rFonts w:ascii="Tahoma" w:hAnsi="Tahoma" w:cs="Tahoma"/>
        </w:rPr>
        <w:t>°2025DTA0005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Pr="00A2106F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 xml:space="preserve">Date d’effet </w:t>
      </w:r>
      <w:r w:rsidR="00B80166">
        <w:t>du marché</w:t>
      </w:r>
      <w:r w:rsidRPr="001F2397">
        <w:t xml:space="preserve"> : </w:t>
      </w:r>
      <w:r w:rsidR="00B80166">
        <w:t>le marché</w:t>
      </w:r>
      <w:r w:rsidRPr="001F2397">
        <w:t xml:space="preserve"> prend effet conformément à la date indiquée sur la lettre de notification.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Default="00B80166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  <w:r>
        <w:rPr>
          <w:rFonts w:ascii="Tahoma" w:eastAsia="Andale Sans UI" w:hAnsi="Tahoma" w:cs="Tahoma"/>
          <w:bCs/>
          <w:kern w:val="3"/>
          <w:lang w:eastAsia="ja-JP"/>
        </w:rPr>
        <w:t>La durée</w:t>
      </w:r>
      <w:r w:rsidRPr="00B80166">
        <w:rPr>
          <w:rFonts w:ascii="Tahoma" w:eastAsia="Andale Sans UI" w:hAnsi="Tahoma" w:cs="Tahoma"/>
          <w:bCs/>
          <w:kern w:val="3"/>
          <w:lang w:eastAsia="ja-JP"/>
        </w:rPr>
        <w:t xml:space="preserve"> prévisionnelle des travaux de 5 ans dont 2 m</w:t>
      </w:r>
      <w:r>
        <w:rPr>
          <w:rFonts w:ascii="Tahoma" w:eastAsia="Andale Sans UI" w:hAnsi="Tahoma" w:cs="Tahoma"/>
          <w:bCs/>
          <w:kern w:val="3"/>
          <w:lang w:eastAsia="ja-JP"/>
        </w:rPr>
        <w:t xml:space="preserve">ois de préparation de chantier soit </w:t>
      </w:r>
      <w:r w:rsidRPr="00B80166">
        <w:rPr>
          <w:rFonts w:ascii="Tahoma" w:eastAsia="Andale Sans UI" w:hAnsi="Tahoma" w:cs="Tahoma"/>
          <w:bCs/>
          <w:kern w:val="3"/>
          <w:lang w:eastAsia="ja-JP"/>
        </w:rPr>
        <w:t>60 mois</w:t>
      </w:r>
      <w:r>
        <w:rPr>
          <w:rFonts w:ascii="Tahoma" w:eastAsia="Andale Sans UI" w:hAnsi="Tahoma" w:cs="Tahoma"/>
          <w:bCs/>
          <w:kern w:val="3"/>
          <w:lang w:eastAsia="ja-JP"/>
        </w:rPr>
        <w:t xml:space="preserve"> auxquels il faut ajouter 12 mois de Garantie de Parfait Achèvement.</w:t>
      </w: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80166" w:rsidRDefault="00B80166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B80166" w:rsidRDefault="00C63047" w:rsidP="00B80166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B80166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</w:t>
      </w:r>
    </w:p>
    <w:p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F87D32" w:rsidRDefault="00F87D32" w:rsidP="00C63047"/>
    <w:p w:rsidR="00F87D32" w:rsidRPr="00B80166" w:rsidRDefault="00F87D32" w:rsidP="00B80166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B80166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B80166">
        <w:rPr>
          <w:rFonts w:ascii="Tahoma" w:hAnsi="Tahoma" w:cs="Tahoma"/>
          <w:b w:val="0"/>
          <w:bCs/>
          <w:iCs/>
        </w:rPr>
        <w:t xml:space="preserve"> </w:t>
      </w:r>
      <w:r w:rsidR="00B80166" w:rsidRPr="00B80166">
        <w:rPr>
          <w:rFonts w:ascii="Tahoma" w:hAnsi="Tahoma" w:cs="Tahoma"/>
          <w:b w:val="0"/>
          <w:bCs/>
          <w:iCs/>
        </w:rPr>
        <w:t>/</w:t>
      </w:r>
      <w:r w:rsidR="00D92112" w:rsidRPr="00B80166">
        <w:rPr>
          <w:rFonts w:ascii="Tahoma" w:hAnsi="Tahoma" w:cs="Tahoma"/>
          <w:b w:val="0"/>
          <w:bCs/>
          <w:iCs/>
        </w:rPr>
        <w:t xml:space="preserve"> maîtrise d’ouvrage</w:t>
      </w:r>
      <w:r w:rsidRPr="00B80166">
        <w:rPr>
          <w:rFonts w:ascii="Tahoma" w:hAnsi="Tahoma" w:cs="Tahoma"/>
          <w:b w:val="0"/>
          <w:bCs/>
          <w:iCs/>
        </w:rPr>
        <w:t xml:space="preserve"> :</w:t>
      </w: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D92112" w:rsidRPr="00906232" w:rsidRDefault="00D92112" w:rsidP="00B80166">
      <w:pPr>
        <w:pStyle w:val="En-tte"/>
        <w:tabs>
          <w:tab w:val="clear" w:pos="4536"/>
          <w:tab w:val="clear" w:pos="9072"/>
        </w:tabs>
        <w:jc w:val="both"/>
      </w:pPr>
      <w:r>
        <w:rPr>
          <w:rFonts w:ascii="Tahoma" w:hAnsi="Tahoma" w:cs="Tahoma"/>
          <w:b/>
          <w:bCs/>
        </w:rPr>
        <w:t xml:space="preserve"> </w:t>
      </w:r>
    </w:p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 et de la Logistique</w:t>
      </w:r>
      <w:r w:rsidR="00B80166">
        <w:rPr>
          <w:rFonts w:ascii="Tahoma" w:hAnsi="Tahoma" w:cs="Tahoma"/>
        </w:rPr>
        <w:t xml:space="preserve"> et du Biomédical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B80166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 des Achats, </w:t>
      </w:r>
      <w:r w:rsidR="00C63047" w:rsidRPr="00906232">
        <w:rPr>
          <w:rFonts w:ascii="Tahoma" w:hAnsi="Tahoma" w:cs="Tahoma"/>
        </w:rPr>
        <w:t>de la Logistique</w:t>
      </w:r>
      <w:r>
        <w:rPr>
          <w:rFonts w:ascii="Tahoma" w:hAnsi="Tahoma" w:cs="Tahoma"/>
        </w:rPr>
        <w:t xml:space="preserve"> et du Biomédical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9D4B60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Classe </w:t>
      </w:r>
      <w:r w:rsidR="00B80166" w:rsidRPr="00B80166">
        <w:rPr>
          <w:rFonts w:ascii="Tahoma" w:hAnsi="Tahoma" w:cs="Tahoma"/>
        </w:rPr>
        <w:t>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B80166" w:rsidRDefault="00B80166" w:rsidP="00C63047">
      <w:pPr>
        <w:pStyle w:val="fcase2metab"/>
        <w:rPr>
          <w:rFonts w:ascii="Tahoma" w:hAnsi="Tahoma" w:cs="Tahoma"/>
        </w:rPr>
      </w:pPr>
    </w:p>
    <w:p w:rsidR="00B80166" w:rsidRDefault="00B80166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B80166" w:rsidRDefault="00B80166" w:rsidP="00C63047">
      <w:pPr>
        <w:pStyle w:val="fcase2metab"/>
        <w:rPr>
          <w:rFonts w:ascii="Tahoma" w:hAnsi="Tahoma" w:cs="Tahoma"/>
        </w:rPr>
      </w:pPr>
    </w:p>
    <w:p w:rsidR="00B80166" w:rsidRDefault="00B80166" w:rsidP="00C63047">
      <w:pPr>
        <w:pStyle w:val="fcase2metab"/>
        <w:rPr>
          <w:rFonts w:ascii="Tahoma" w:hAnsi="Tahoma" w:cs="Tahoma"/>
        </w:rPr>
      </w:pPr>
      <w:bookmarkStart w:id="1" w:name="_GoBack"/>
      <w:bookmarkEnd w:id="1"/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B80166" w:rsidRPr="00B80166" w:rsidRDefault="00B80166" w:rsidP="00B80166">
      <w:pPr>
        <w:rPr>
          <w:rFonts w:ascii="Tahoma" w:hAnsi="Tahoma" w:cs="Tahoma"/>
          <w:b/>
          <w:bCs/>
          <w:sz w:val="22"/>
          <w:szCs w:val="22"/>
        </w:rPr>
      </w:pPr>
    </w:p>
    <w:p w:rsidR="00B80166" w:rsidRPr="003B7F59" w:rsidRDefault="00B80166" w:rsidP="00B80166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B80166" w:rsidRDefault="00B80166" w:rsidP="00B80166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B80166" w:rsidRPr="003B7F59" w:rsidRDefault="00B80166" w:rsidP="00B80166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B80166">
        <w:rPr>
          <w:rFonts w:ascii="Tahoma" w:hAnsi="Tahoma" w:cs="Tahoma"/>
        </w:rPr>
      </w:r>
      <w:r w:rsidR="00B8016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2F0" w:rsidRDefault="000962F0">
      <w:r>
        <w:separator/>
      </w:r>
    </w:p>
  </w:endnote>
  <w:endnote w:type="continuationSeparator" w:id="0">
    <w:p w:rsidR="000962F0" w:rsidRDefault="0009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B80166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B80166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:rsidR="00D92112" w:rsidRPr="009F60F0" w:rsidRDefault="00D92112" w:rsidP="009F60F0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B80166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B80166">
            <w:rPr>
              <w:rFonts w:ascii="Tahoma" w:hAnsi="Tahoma" w:cs="Tahoma"/>
              <w:b/>
              <w:i/>
              <w:iCs/>
              <w:sz w:val="18"/>
              <w:szCs w:val="18"/>
            </w:rPr>
            <w:t>2025DTA0005</w:t>
          </w:r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B80166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B80166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2F0" w:rsidRDefault="000962F0">
      <w:r>
        <w:separator/>
      </w:r>
    </w:p>
  </w:footnote>
  <w:footnote w:type="continuationSeparator" w:id="0">
    <w:p w:rsidR="000962F0" w:rsidRDefault="000962F0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238CE"/>
    <w:multiLevelType w:val="hybridMultilevel"/>
    <w:tmpl w:val="E150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F0"/>
    <w:rsid w:val="00020611"/>
    <w:rsid w:val="00023779"/>
    <w:rsid w:val="00036500"/>
    <w:rsid w:val="00053EE7"/>
    <w:rsid w:val="0007015C"/>
    <w:rsid w:val="00083038"/>
    <w:rsid w:val="000962F0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0166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BF8B369"/>
  <w15:docId w15:val="{D6BB3EFB-7F06-4F22-A481-4CEF3880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16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B80166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60F9-77B0-4D82-AE15-0BBDB8A7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1592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AGNETTI Sabrina</dc:creator>
  <cp:lastModifiedBy>AGNETTI Sabrina</cp:lastModifiedBy>
  <cp:revision>2</cp:revision>
  <cp:lastPrinted>2016-04-13T07:26:00Z</cp:lastPrinted>
  <dcterms:created xsi:type="dcterms:W3CDTF">2025-02-12T15:35:00Z</dcterms:created>
  <dcterms:modified xsi:type="dcterms:W3CDTF">2025-02-12T15:44:00Z</dcterms:modified>
</cp:coreProperties>
</file>