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633BB" w14:textId="53AC556A" w:rsidR="004C100D" w:rsidRDefault="005D336D" w:rsidP="00F019B7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78720" behindDoc="1" locked="0" layoutInCell="1" allowOverlap="1" wp14:anchorId="1555A092" wp14:editId="06710569">
            <wp:simplePos x="0" y="0"/>
            <wp:positionH relativeFrom="column">
              <wp:posOffset>-51435</wp:posOffset>
            </wp:positionH>
            <wp:positionV relativeFrom="paragraph">
              <wp:posOffset>-635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 wp14:anchorId="261594A4" wp14:editId="690C3E1D">
            <wp:simplePos x="0" y="0"/>
            <wp:positionH relativeFrom="page">
              <wp:posOffset>6985</wp:posOffset>
            </wp:positionH>
            <wp:positionV relativeFrom="page">
              <wp:align>top</wp:align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560018" w14:textId="028AAFB9" w:rsidR="00FA62AD" w:rsidRDefault="00FA62AD" w:rsidP="00F019B7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044E7B8E" w14:textId="77777777" w:rsidR="00FA62AD" w:rsidRDefault="00FA62AD" w:rsidP="00BE541D">
      <w:pPr>
        <w:rPr>
          <w:rFonts w:ascii="Fira Sans" w:hAnsi="Fira Sans"/>
          <w:b/>
          <w:bCs/>
          <w:sz w:val="28"/>
          <w:szCs w:val="28"/>
        </w:rPr>
      </w:pPr>
    </w:p>
    <w:p w14:paraId="51E69A1A" w14:textId="77777777" w:rsidR="00FA62AD" w:rsidRPr="00F019B7" w:rsidRDefault="00FA62AD" w:rsidP="00F019B7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16B2B509" w14:textId="048EC7D1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60D7C8B9" w14:textId="3306E640" w:rsidR="00FA62AD" w:rsidRDefault="005D336D" w:rsidP="00595B10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2CF0597B">
                <wp:simplePos x="0" y="0"/>
                <wp:positionH relativeFrom="column">
                  <wp:posOffset>-86995</wp:posOffset>
                </wp:positionH>
                <wp:positionV relativeFrom="paragraph">
                  <wp:posOffset>129540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2A16A1C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CADRE DE </w:t>
                            </w:r>
                            <w:r w:rsidR="004C100D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RÉPONSE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TECHNIQUE (C</w:t>
                            </w:r>
                            <w:r w:rsidR="004C100D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R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T)</w:t>
                            </w:r>
                            <w:r w:rsidR="00972AF7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– LOT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5DE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6.85pt;margin-top:10.2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" filled="f" stroked="f" strokeweight=".5pt">
                <v:textbox>
                  <w:txbxContent>
                    <w:p w14:paraId="0DD17BCA" w14:textId="2A16A1C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 xml:space="preserve">CADRE DE </w:t>
                      </w:r>
                      <w:r w:rsidR="004C100D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RÉPONSE</w:t>
                      </w: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 xml:space="preserve"> TECHNIQUE (C</w:t>
                      </w:r>
                      <w:r w:rsidR="004C100D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R</w:t>
                      </w: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T)</w:t>
                      </w:r>
                      <w:r w:rsidR="00972AF7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 xml:space="preserve"> – LOT 1</w:t>
                      </w:r>
                    </w:p>
                  </w:txbxContent>
                </v:textbox>
              </v:shape>
            </w:pict>
          </mc:Fallback>
        </mc:AlternateContent>
      </w:r>
      <w:r w:rsidR="00812BC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D990E9" wp14:editId="69FC0D4C">
                <wp:simplePos x="0" y="0"/>
                <wp:positionH relativeFrom="column">
                  <wp:posOffset>4466590</wp:posOffset>
                </wp:positionH>
                <wp:positionV relativeFrom="paragraph">
                  <wp:posOffset>201295</wp:posOffset>
                </wp:positionV>
                <wp:extent cx="2235200" cy="1828800"/>
                <wp:effectExtent l="0" t="0" r="0" b="635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4825C4" w14:textId="77777777" w:rsidR="00812BC8" w:rsidRPr="00096ABB" w:rsidRDefault="00812BC8" w:rsidP="00812BC8">
                            <w:pPr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6FD8557D" w14:textId="77777777" w:rsidR="00812BC8" w:rsidRPr="00096ABB" w:rsidRDefault="00812BC8" w:rsidP="00812BC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120"/>
                              <w:contextualSpacing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</w:rPr>
                              <w:t>Appel d’offre ouvert</w:t>
                            </w:r>
                            <w:r w:rsidRPr="00BF703F">
                              <w:t xml:space="preserve"> </w:t>
                            </w:r>
                            <w:r w:rsidRPr="00BF703F">
                              <w:rPr>
                                <w:rFonts w:ascii="Fira Sans" w:hAnsi="Fira Sans"/>
                              </w:rPr>
                              <w:t>au sens des articles L. 2124-2, R. 2124-2 et R. 2161-2 et suivants du Code de la commande publique</w:t>
                            </w:r>
                          </w:p>
                          <w:p w14:paraId="19C4B5EE" w14:textId="77777777" w:rsidR="00812BC8" w:rsidRPr="00096ABB" w:rsidRDefault="00812BC8" w:rsidP="00812BC8">
                            <w:pPr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2A841E90" w14:textId="77777777" w:rsidR="00812BC8" w:rsidRDefault="00812BC8" w:rsidP="00812BC8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ACHETEUR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 </w:t>
                            </w:r>
                            <w:r w:rsidRPr="00DD1F28">
                              <w:rPr>
                                <w:rFonts w:ascii="Fira Sans" w:hAnsi="Fira Sans"/>
                              </w:rPr>
                              <w:t>Chambre de Commerce et d’Industrie Nice Côte d’Azur</w:t>
                            </w:r>
                          </w:p>
                          <w:p w14:paraId="29954F82" w14:textId="77777777" w:rsidR="00812BC8" w:rsidRDefault="00812BC8" w:rsidP="00812BC8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20 boulevard Carabacel,</w:t>
                            </w:r>
                          </w:p>
                          <w:p w14:paraId="6017F5DB" w14:textId="77777777" w:rsidR="00812BC8" w:rsidRPr="00DD1F28" w:rsidRDefault="00812BC8" w:rsidP="00812BC8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06000 NICE</w:t>
                            </w:r>
                          </w:p>
                          <w:p w14:paraId="337FEBCB" w14:textId="77777777" w:rsidR="00812BC8" w:rsidRPr="00096ABB" w:rsidRDefault="00812BC8" w:rsidP="00812BC8">
                            <w:pPr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4D858AA9" w14:textId="77777777" w:rsidR="00812BC8" w:rsidRPr="00096ABB" w:rsidRDefault="00812BC8" w:rsidP="00812BC8">
                            <w:pPr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GROUPEMENT DE COMMANDES entre :</w:t>
                            </w:r>
                          </w:p>
                          <w:p w14:paraId="17254CEA" w14:textId="77777777" w:rsidR="00812BC8" w:rsidRDefault="00812BC8" w:rsidP="00812BC8">
                            <w:pPr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Membres :</w:t>
                            </w:r>
                          </w:p>
                          <w:p w14:paraId="0D04667B" w14:textId="77777777" w:rsidR="00812BC8" w:rsidRPr="00DD1F28" w:rsidRDefault="00812BC8" w:rsidP="00812BC8">
                            <w:pPr>
                              <w:pStyle w:val="Paragraphedeliste"/>
                              <w:numPr>
                                <w:ilvl w:val="0"/>
                                <w:numId w:val="19"/>
                              </w:numPr>
                              <w:spacing w:after="120"/>
                              <w:ind w:left="426"/>
                              <w:contextualSpacing/>
                              <w:jc w:val="both"/>
                              <w:rPr>
                                <w:rFonts w:ascii="Fira Sans" w:hAnsi="Fira Sans"/>
                              </w:rPr>
                            </w:pPr>
                            <w:r w:rsidRPr="00DD1F28">
                              <w:rPr>
                                <w:rFonts w:ascii="Fira Sans" w:hAnsi="Fira Sans"/>
                              </w:rPr>
                              <w:t>Chambre de Commerce</w:t>
                            </w:r>
                            <w:r>
                              <w:rPr>
                                <w:rFonts w:ascii="Fira Sans" w:hAnsi="Fira Sans"/>
                              </w:rPr>
                              <w:t xml:space="preserve"> et d’Industrie</w:t>
                            </w:r>
                            <w:r w:rsidRPr="00DD1F28">
                              <w:rPr>
                                <w:rFonts w:ascii="Fira Sans" w:hAnsi="Fira Sans"/>
                              </w:rPr>
                              <w:t xml:space="preserve"> Nice Cote d’Azur</w:t>
                            </w:r>
                          </w:p>
                          <w:p w14:paraId="7CDC3C5F" w14:textId="77777777" w:rsidR="00812BC8" w:rsidRPr="00DD1F28" w:rsidRDefault="00812BC8" w:rsidP="00812BC8">
                            <w:pPr>
                              <w:pStyle w:val="Paragraphedeliste"/>
                              <w:numPr>
                                <w:ilvl w:val="0"/>
                                <w:numId w:val="19"/>
                              </w:numPr>
                              <w:spacing w:after="120"/>
                              <w:ind w:left="426"/>
                              <w:contextualSpacing/>
                              <w:jc w:val="both"/>
                              <w:rPr>
                                <w:rFonts w:ascii="Fira Sans" w:hAnsi="Fira Sans"/>
                              </w:rPr>
                            </w:pPr>
                            <w:r w:rsidRPr="00DD1F28">
                              <w:rPr>
                                <w:rFonts w:ascii="Fira Sans" w:hAnsi="Fira Sans"/>
                              </w:rPr>
                              <w:t>Ecole 42 Nice</w:t>
                            </w:r>
                          </w:p>
                          <w:p w14:paraId="2804F17D" w14:textId="77777777" w:rsidR="00812BC8" w:rsidRPr="00096ABB" w:rsidRDefault="00812BC8" w:rsidP="00812BC8">
                            <w:pPr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Coordonnateur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 </w:t>
                            </w:r>
                            <w:r w:rsidRPr="00DD1F28">
                              <w:rPr>
                                <w:rFonts w:ascii="Fira Sans" w:hAnsi="Fira Sans"/>
                              </w:rPr>
                              <w:t>Chambre de Commerce et d’Industrie Nice Côte d’Azur</w:t>
                            </w:r>
                          </w:p>
                          <w:p w14:paraId="60B10E51" w14:textId="77777777" w:rsidR="00812BC8" w:rsidRPr="00096ABB" w:rsidRDefault="00812BC8" w:rsidP="00812BC8">
                            <w:pPr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037F2554" w14:textId="77777777" w:rsidR="00812BC8" w:rsidRPr="00096ABB" w:rsidRDefault="00812BC8" w:rsidP="00812BC8">
                            <w:pPr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D990E9" id="_x0000_s1027" type="#_x0000_t202" style="position:absolute;left:0;text-align:left;margin-left:351.7pt;margin-top:15.85pt;width:176pt;height:2in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" filled="f" stroked="f" strokeweight=".5pt">
                <v:textbox style="mso-fit-shape-to-text:t">
                  <w:txbxContent>
                    <w:p w14:paraId="0B4825C4" w14:textId="77777777" w:rsidR="00812BC8" w:rsidRPr="00096ABB" w:rsidRDefault="00812BC8" w:rsidP="00812BC8">
                      <w:pPr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6FD8557D" w14:textId="77777777" w:rsidR="00812BC8" w:rsidRPr="00096ABB" w:rsidRDefault="00812BC8" w:rsidP="00812BC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120"/>
                        <w:contextualSpacing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</w:rPr>
                        <w:t>Appel d’offre ouvert</w:t>
                      </w:r>
                      <w:r w:rsidRPr="00BF703F">
                        <w:t xml:space="preserve"> </w:t>
                      </w:r>
                      <w:r w:rsidRPr="00BF703F">
                        <w:rPr>
                          <w:rFonts w:ascii="Fira Sans" w:hAnsi="Fira Sans"/>
                        </w:rPr>
                        <w:t>au sens des articles L. 2124-2, R. 2124-2 et R. 2161-2 et suivants du Code de la commande publique</w:t>
                      </w:r>
                    </w:p>
                    <w:p w14:paraId="19C4B5EE" w14:textId="77777777" w:rsidR="00812BC8" w:rsidRPr="00096ABB" w:rsidRDefault="00812BC8" w:rsidP="00812BC8">
                      <w:pPr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2A841E90" w14:textId="77777777" w:rsidR="00812BC8" w:rsidRDefault="00812BC8" w:rsidP="00812BC8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ACHETEUR :</w:t>
                      </w:r>
                      <w:r>
                        <w:rPr>
                          <w:rFonts w:ascii="Fira Sans" w:hAnsi="Fira Sans"/>
                          <w:b/>
                          <w:bCs/>
                        </w:rPr>
                        <w:t xml:space="preserve"> </w:t>
                      </w:r>
                      <w:r w:rsidRPr="00DD1F28">
                        <w:rPr>
                          <w:rFonts w:ascii="Fira Sans" w:hAnsi="Fira Sans"/>
                        </w:rPr>
                        <w:t>Chambre de Commerce et d’Industrie Nice Côte d’Azur</w:t>
                      </w:r>
                    </w:p>
                    <w:p w14:paraId="29954F82" w14:textId="77777777" w:rsidR="00812BC8" w:rsidRDefault="00812BC8" w:rsidP="00812BC8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20 boulevard Carabacel,</w:t>
                      </w:r>
                    </w:p>
                    <w:p w14:paraId="6017F5DB" w14:textId="77777777" w:rsidR="00812BC8" w:rsidRPr="00DD1F28" w:rsidRDefault="00812BC8" w:rsidP="00812BC8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06000 NICE</w:t>
                      </w:r>
                    </w:p>
                    <w:p w14:paraId="337FEBCB" w14:textId="77777777" w:rsidR="00812BC8" w:rsidRPr="00096ABB" w:rsidRDefault="00812BC8" w:rsidP="00812BC8">
                      <w:pPr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4D858AA9" w14:textId="77777777" w:rsidR="00812BC8" w:rsidRPr="00096ABB" w:rsidRDefault="00812BC8" w:rsidP="00812BC8">
                      <w:pPr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GROUPEMENT DE COMMANDES entre :</w:t>
                      </w:r>
                    </w:p>
                    <w:p w14:paraId="17254CEA" w14:textId="77777777" w:rsidR="00812BC8" w:rsidRDefault="00812BC8" w:rsidP="00812BC8">
                      <w:pPr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Membres :</w:t>
                      </w:r>
                    </w:p>
                    <w:p w14:paraId="0D04667B" w14:textId="77777777" w:rsidR="00812BC8" w:rsidRPr="00DD1F28" w:rsidRDefault="00812BC8" w:rsidP="00812BC8">
                      <w:pPr>
                        <w:pStyle w:val="Paragraphedeliste"/>
                        <w:numPr>
                          <w:ilvl w:val="0"/>
                          <w:numId w:val="19"/>
                        </w:numPr>
                        <w:spacing w:after="120"/>
                        <w:ind w:left="426"/>
                        <w:contextualSpacing/>
                        <w:jc w:val="both"/>
                        <w:rPr>
                          <w:rFonts w:ascii="Fira Sans" w:hAnsi="Fira Sans"/>
                        </w:rPr>
                      </w:pPr>
                      <w:r w:rsidRPr="00DD1F28">
                        <w:rPr>
                          <w:rFonts w:ascii="Fira Sans" w:hAnsi="Fira Sans"/>
                        </w:rPr>
                        <w:t>Chambre de Commerce</w:t>
                      </w:r>
                      <w:r>
                        <w:rPr>
                          <w:rFonts w:ascii="Fira Sans" w:hAnsi="Fira Sans"/>
                        </w:rPr>
                        <w:t xml:space="preserve"> et d’Industrie</w:t>
                      </w:r>
                      <w:r w:rsidRPr="00DD1F28">
                        <w:rPr>
                          <w:rFonts w:ascii="Fira Sans" w:hAnsi="Fira Sans"/>
                        </w:rPr>
                        <w:t xml:space="preserve"> Nice Cote d’Azur</w:t>
                      </w:r>
                    </w:p>
                    <w:p w14:paraId="7CDC3C5F" w14:textId="77777777" w:rsidR="00812BC8" w:rsidRPr="00DD1F28" w:rsidRDefault="00812BC8" w:rsidP="00812BC8">
                      <w:pPr>
                        <w:pStyle w:val="Paragraphedeliste"/>
                        <w:numPr>
                          <w:ilvl w:val="0"/>
                          <w:numId w:val="19"/>
                        </w:numPr>
                        <w:spacing w:after="120"/>
                        <w:ind w:left="426"/>
                        <w:contextualSpacing/>
                        <w:jc w:val="both"/>
                        <w:rPr>
                          <w:rFonts w:ascii="Fira Sans" w:hAnsi="Fira Sans"/>
                        </w:rPr>
                      </w:pPr>
                      <w:r w:rsidRPr="00DD1F28">
                        <w:rPr>
                          <w:rFonts w:ascii="Fira Sans" w:hAnsi="Fira Sans"/>
                        </w:rPr>
                        <w:t>Ecole 42 Nice</w:t>
                      </w:r>
                    </w:p>
                    <w:p w14:paraId="2804F17D" w14:textId="77777777" w:rsidR="00812BC8" w:rsidRPr="00096ABB" w:rsidRDefault="00812BC8" w:rsidP="00812BC8">
                      <w:pPr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Coordonnateur :</w:t>
                      </w:r>
                      <w:r>
                        <w:rPr>
                          <w:rFonts w:ascii="Fira Sans" w:hAnsi="Fira Sans"/>
                          <w:b/>
                          <w:bCs/>
                        </w:rPr>
                        <w:t xml:space="preserve"> </w:t>
                      </w:r>
                      <w:r w:rsidRPr="00DD1F28">
                        <w:rPr>
                          <w:rFonts w:ascii="Fira Sans" w:hAnsi="Fira Sans"/>
                        </w:rPr>
                        <w:t>Chambre de Commerce et d’Industrie Nice Côte d’Azur</w:t>
                      </w:r>
                    </w:p>
                    <w:p w14:paraId="60B10E51" w14:textId="77777777" w:rsidR="00812BC8" w:rsidRPr="00096ABB" w:rsidRDefault="00812BC8" w:rsidP="00812BC8">
                      <w:pPr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037F2554" w14:textId="77777777" w:rsidR="00812BC8" w:rsidRPr="00096ABB" w:rsidRDefault="00812BC8" w:rsidP="00812BC8">
                      <w:pPr>
                        <w:rPr>
                          <w:rFonts w:ascii="Fira Sans" w:hAnsi="Fira Sans"/>
                          <w:i/>
                          <w:iCs/>
                        </w:rPr>
                      </w:pPr>
                      <w:r w:rsidRPr="00096ABB">
                        <w:rPr>
                          <w:rFonts w:ascii="Fira Sans" w:hAnsi="Fira Sans"/>
                          <w:i/>
                          <w:iCs/>
                        </w:rPr>
                        <w:t>Prise en qualité de Pouvoir Adjudicateur</w:t>
                      </w:r>
                    </w:p>
                  </w:txbxContent>
                </v:textbox>
              </v:shape>
            </w:pict>
          </mc:Fallback>
        </mc:AlternateContent>
      </w:r>
    </w:p>
    <w:p w14:paraId="513C52B9" w14:textId="5D6A19EE" w:rsidR="00FA62AD" w:rsidRDefault="00FA62AD" w:rsidP="00595B10">
      <w:pPr>
        <w:rPr>
          <w:rFonts w:ascii="Fira Sans" w:hAnsi="Fira Sans"/>
          <w:b/>
          <w:bCs/>
        </w:rPr>
      </w:pPr>
    </w:p>
    <w:p w14:paraId="123E642B" w14:textId="5C6369F4" w:rsidR="00FA62AD" w:rsidRPr="00056D8D" w:rsidRDefault="00FA62AD" w:rsidP="00595B10">
      <w:pPr>
        <w:rPr>
          <w:rFonts w:ascii="Fira Sans" w:hAnsi="Fira Sans"/>
          <w:b/>
          <w:bCs/>
        </w:rPr>
      </w:pPr>
    </w:p>
    <w:p w14:paraId="7E957ABE" w14:textId="198DE40D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</w:p>
    <w:p w14:paraId="644C3018" w14:textId="1070F548" w:rsidR="00FA62AD" w:rsidRPr="00595B10" w:rsidRDefault="00FA62AD" w:rsidP="00595B10">
      <w:pPr>
        <w:rPr>
          <w:b/>
          <w:bCs/>
        </w:rPr>
      </w:pPr>
    </w:p>
    <w:p w14:paraId="59DE058C" w14:textId="10F85E3F" w:rsidR="00FA62AD" w:rsidRDefault="00812BC8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BF4069" wp14:editId="74AEAEDA">
                <wp:simplePos x="0" y="0"/>
                <wp:positionH relativeFrom="column">
                  <wp:posOffset>-108585</wp:posOffset>
                </wp:positionH>
                <wp:positionV relativeFrom="paragraph">
                  <wp:posOffset>158115</wp:posOffset>
                </wp:positionV>
                <wp:extent cx="4165600" cy="2844800"/>
                <wp:effectExtent l="0" t="0" r="0" b="0"/>
                <wp:wrapNone/>
                <wp:docPr id="22206354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284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61B4D3" w14:textId="1489023A" w:rsidR="00F90AC4" w:rsidRDefault="00F90AC4" w:rsidP="00F90AC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192B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Nettoyage des locaux et de la vitrerie des sites </w:t>
                            </w:r>
                            <w:r w:rsidR="00812BC8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C</w:t>
                            </w:r>
                            <w:r w:rsidRPr="001F192B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CINCA</w:t>
                            </w:r>
                            <w:r w:rsidR="00812BC8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et de l’ECOLE 42 NICE</w:t>
                            </w:r>
                          </w:p>
                          <w:p w14:paraId="6B62B2C1" w14:textId="514CDCC0" w:rsidR="00F90AC4" w:rsidRDefault="00F90AC4" w:rsidP="00F90AC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N°2025/99/SC/03/0</w:t>
                            </w:r>
                            <w:r w:rsidR="00E81E3A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06</w:t>
                            </w:r>
                          </w:p>
                          <w:p w14:paraId="0865503A" w14:textId="77777777" w:rsidR="00812BC8" w:rsidRPr="00F42785" w:rsidRDefault="00812BC8" w:rsidP="00F90AC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49AE4761" w14:textId="520AB3A6" w:rsidR="00F90AC4" w:rsidRPr="00812BC8" w:rsidRDefault="00812BC8" w:rsidP="00F90AC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812BC8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Lot n°1 : Nettoyage des locaux </w:t>
                            </w:r>
                            <w:r w:rsidR="005D336D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et de la vitrerie des sites</w:t>
                            </w:r>
                            <w:r w:rsidRPr="00812BC8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CCINCA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F4069" id="_x0000_s1028" type="#_x0000_t202" style="position:absolute;margin-left:-8.55pt;margin-top:12.45pt;width:328pt;height:2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" filled="f" stroked="f" strokeweight=".5pt">
                <v:textbox>
                  <w:txbxContent>
                    <w:p w14:paraId="1C61B4D3" w14:textId="1489023A" w:rsidR="00F90AC4" w:rsidRDefault="00F90AC4" w:rsidP="00F90AC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1F192B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Nettoyage des locaux et de la vitrerie des sites </w:t>
                      </w:r>
                      <w:r w:rsidR="00812BC8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C</w:t>
                      </w:r>
                      <w:r w:rsidRPr="001F192B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CINCA</w:t>
                      </w:r>
                      <w:r w:rsidR="00812BC8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et de l’ECOLE 42 NICE</w:t>
                      </w:r>
                    </w:p>
                    <w:p w14:paraId="6B62B2C1" w14:textId="514CDCC0" w:rsidR="00F90AC4" w:rsidRDefault="00F90AC4" w:rsidP="00F90AC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N°2025/99/SC/03/0</w:t>
                      </w:r>
                      <w:r w:rsidR="00E81E3A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06</w:t>
                      </w:r>
                    </w:p>
                    <w:p w14:paraId="0865503A" w14:textId="77777777" w:rsidR="00812BC8" w:rsidRPr="00F42785" w:rsidRDefault="00812BC8" w:rsidP="00F90AC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49AE4761" w14:textId="520AB3A6" w:rsidR="00F90AC4" w:rsidRPr="00812BC8" w:rsidRDefault="00812BC8" w:rsidP="00F90AC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812BC8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Lot n°1 : Nettoyage des locaux </w:t>
                      </w:r>
                      <w:r w:rsidR="005D336D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et de la vitrerie des sites</w:t>
                      </w:r>
                      <w:r w:rsidRPr="00812BC8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CCINCA</w:t>
                      </w:r>
                    </w:p>
                  </w:txbxContent>
                </v:textbox>
              </v:shape>
            </w:pict>
          </mc:Fallback>
        </mc:AlternateContent>
      </w:r>
      <w:r w:rsidR="004C100D">
        <w:fldChar w:fldCharType="begin"/>
      </w:r>
      <w:r w:rsidR="004C100D">
        <w:instrText xml:space="preserve"> INFO  Subject  \* MERGEFORMAT </w:instrText>
      </w:r>
      <w:r w:rsidR="004C100D">
        <w:fldChar w:fldCharType="end"/>
      </w:r>
    </w:p>
    <w:p w14:paraId="5A4EFF0D" w14:textId="61ECF92C" w:rsidR="00F90AC4" w:rsidRDefault="00F90AC4" w:rsidP="008F6EA4">
      <w:pPr>
        <w:pStyle w:val="En-tte"/>
        <w:rPr>
          <w:rFonts w:eastAsiaTheme="minorEastAsia"/>
        </w:rPr>
      </w:pPr>
    </w:p>
    <w:p w14:paraId="20A0101F" w14:textId="4601951A" w:rsidR="00F90AC4" w:rsidRDefault="00F90AC4" w:rsidP="008F6EA4">
      <w:pPr>
        <w:pStyle w:val="En-tte"/>
        <w:rPr>
          <w:rFonts w:eastAsiaTheme="minorEastAsia"/>
        </w:rPr>
      </w:pPr>
    </w:p>
    <w:p w14:paraId="3D41E97D" w14:textId="5F092788" w:rsidR="00F90AC4" w:rsidRDefault="00F90AC4" w:rsidP="008F6EA4">
      <w:pPr>
        <w:pStyle w:val="En-tte"/>
        <w:rPr>
          <w:rFonts w:eastAsiaTheme="minorEastAsia"/>
        </w:rPr>
      </w:pPr>
    </w:p>
    <w:p w14:paraId="3C4A93C1" w14:textId="245FF9A1" w:rsidR="00F90AC4" w:rsidRDefault="00F90AC4" w:rsidP="008F6EA4">
      <w:pPr>
        <w:pStyle w:val="En-tte"/>
        <w:rPr>
          <w:rFonts w:eastAsiaTheme="minorEastAsia"/>
        </w:rPr>
      </w:pPr>
    </w:p>
    <w:p w14:paraId="3C7737EB" w14:textId="77777777" w:rsidR="00F90AC4" w:rsidRDefault="00F90AC4" w:rsidP="008F6EA4">
      <w:pPr>
        <w:pStyle w:val="En-tte"/>
        <w:rPr>
          <w:rFonts w:eastAsiaTheme="minorEastAsia"/>
        </w:rPr>
      </w:pPr>
    </w:p>
    <w:p w14:paraId="25C1B438" w14:textId="77777777" w:rsidR="00F90AC4" w:rsidRDefault="00F90AC4" w:rsidP="008F6EA4">
      <w:pPr>
        <w:pStyle w:val="En-tte"/>
        <w:rPr>
          <w:rFonts w:eastAsiaTheme="minorEastAsia"/>
        </w:rPr>
      </w:pPr>
    </w:p>
    <w:p w14:paraId="0AE0036C" w14:textId="77777777" w:rsidR="00F90AC4" w:rsidRDefault="00F90AC4" w:rsidP="008F6EA4">
      <w:pPr>
        <w:pStyle w:val="En-tte"/>
        <w:rPr>
          <w:rFonts w:eastAsiaTheme="minorEastAsia"/>
        </w:rPr>
      </w:pPr>
    </w:p>
    <w:p w14:paraId="6A426AA5" w14:textId="77777777" w:rsidR="00F90AC4" w:rsidRDefault="00F90AC4" w:rsidP="008F6EA4">
      <w:pPr>
        <w:pStyle w:val="En-tte"/>
        <w:rPr>
          <w:rFonts w:eastAsiaTheme="minorEastAsia"/>
        </w:rPr>
      </w:pPr>
    </w:p>
    <w:p w14:paraId="2818BA3C" w14:textId="4EF00D7E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FCD30B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AD0A5B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3E80024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AD98C46" w14:textId="77777777" w:rsidR="00FA62AD" w:rsidRDefault="00FA62AD" w:rsidP="00F90AC4">
      <w:pPr>
        <w:pStyle w:val="Paragraphedeliste"/>
        <w:ind w:left="0"/>
        <w:rPr>
          <w:noProof/>
        </w:rPr>
      </w:pPr>
    </w:p>
    <w:p w14:paraId="6E78B526" w14:textId="77777777" w:rsidR="004C100D" w:rsidRDefault="004C100D" w:rsidP="003B4BAB">
      <w:pPr>
        <w:pStyle w:val="Paragraphedeliste"/>
        <w:ind w:left="840"/>
        <w:jc w:val="center"/>
        <w:rPr>
          <w:noProof/>
        </w:rPr>
        <w:sectPr w:rsidR="004C100D" w:rsidSect="00812BC8">
          <w:footerReference w:type="default" r:id="rId11"/>
          <w:headerReference w:type="first" r:id="rId12"/>
          <w:pgSz w:w="11906" w:h="16838"/>
          <w:pgMar w:top="851" w:right="849" w:bottom="1135" w:left="851" w:header="284" w:footer="210" w:gutter="0"/>
          <w:cols w:space="708"/>
          <w:titlePg/>
          <w:docGrid w:linePitch="360"/>
        </w:sectPr>
      </w:pPr>
    </w:p>
    <w:p w14:paraId="0D2E20AF" w14:textId="77777777" w:rsidR="00FA62AD" w:rsidRDefault="00FA62AD" w:rsidP="004C100D">
      <w:pPr>
        <w:rPr>
          <w:noProof/>
        </w:rPr>
      </w:pPr>
    </w:p>
    <w:p w14:paraId="50FB945B" w14:textId="72AD04AD" w:rsidR="008A7204" w:rsidRPr="008A7204" w:rsidRDefault="008A7204" w:rsidP="004C100D">
      <w:pPr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2693"/>
        <w:gridCol w:w="2694"/>
      </w:tblGrid>
      <w:tr w:rsidR="000C153C" w:rsidRPr="008471B2" w14:paraId="31C2E5F7" w14:textId="77777777" w:rsidTr="00E81E3A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E81E3A">
            <w:pPr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Intitulé et numéro du lot concerné :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761B" w14:textId="04FC8A2A" w:rsidR="000C153C" w:rsidRPr="008471B2" w:rsidRDefault="00E81E3A" w:rsidP="00E81E3A">
            <w:pPr>
              <w:rPr>
                <w:rFonts w:ascii="Palatino Linotype" w:hAnsi="Palatino Linotype" w:cstheme="minorHAnsi"/>
              </w:rPr>
            </w:pPr>
            <w:r>
              <w:rPr>
                <w:rFonts w:ascii="Palatino Linotype" w:hAnsi="Palatino Linotype" w:cstheme="minorHAnsi"/>
              </w:rPr>
              <w:t>LOT 1</w:t>
            </w:r>
          </w:p>
        </w:tc>
      </w:tr>
      <w:tr w:rsidR="008A3B49" w:rsidRPr="008471B2" w14:paraId="7A03ACA8" w14:textId="77777777" w:rsidTr="00E81E3A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E81E3A">
            <w:pPr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CFAC" w14:textId="77777777" w:rsidR="008A3B49" w:rsidRPr="008471B2" w:rsidRDefault="008A3B49" w:rsidP="00E81E3A">
            <w:pPr>
              <w:rPr>
                <w:rFonts w:ascii="Palatino Linotype" w:hAnsi="Palatino Linotype" w:cstheme="minorHAnsi"/>
              </w:rPr>
            </w:pPr>
          </w:p>
        </w:tc>
      </w:tr>
      <w:tr w:rsidR="00B32000" w:rsidRPr="008471B2" w14:paraId="23B7D3C9" w14:textId="77777777" w:rsidTr="00E81E3A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D9509B" w14:textId="0F1AF7F3" w:rsidR="00B32000" w:rsidRPr="008471B2" w:rsidRDefault="00B32000" w:rsidP="00E81E3A">
            <w:pPr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</w:tc>
        <w:tc>
          <w:tcPr>
            <w:tcW w:w="5387" w:type="dxa"/>
            <w:gridSpan w:val="2"/>
            <w:tcBorders>
              <w:left w:val="single" w:sz="4" w:space="0" w:color="auto"/>
            </w:tcBorders>
            <w:vAlign w:val="center"/>
          </w:tcPr>
          <w:p w14:paraId="20F64B6A" w14:textId="77777777" w:rsidR="00B32000" w:rsidRPr="008471B2" w:rsidRDefault="00B32000" w:rsidP="00E81E3A">
            <w:pPr>
              <w:rPr>
                <w:rFonts w:ascii="Palatino Linotype" w:hAnsi="Palatino Linotype" w:cstheme="minorHAnsi"/>
              </w:rPr>
            </w:pPr>
          </w:p>
        </w:tc>
      </w:tr>
      <w:tr w:rsidR="002D6814" w:rsidRPr="008471B2" w14:paraId="12DA9001" w14:textId="77777777" w:rsidTr="00E81E3A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94B293" w14:textId="650E6FB0" w:rsidR="002D6814" w:rsidRPr="008471B2" w:rsidRDefault="002D6814" w:rsidP="00E81E3A">
            <w:pPr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49B8DDB" w14:textId="77777777" w:rsidR="002D6814" w:rsidRPr="008471B2" w:rsidRDefault="002D6814" w:rsidP="00E81E3A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5993B6D9" w14:textId="7B2063A4" w:rsidR="002D6814" w:rsidRPr="008471B2" w:rsidRDefault="002D6814" w:rsidP="00E81E3A">
            <w:pPr>
              <w:rPr>
                <w:rFonts w:ascii="Palatino Linotype" w:hAnsi="Palatino Linotype" w:cstheme="minorHAnsi"/>
              </w:rPr>
            </w:pPr>
          </w:p>
        </w:tc>
      </w:tr>
    </w:tbl>
    <w:p w14:paraId="6FCABFA3" w14:textId="22673C8D" w:rsidR="00432E1F" w:rsidRDefault="00B301DF" w:rsidP="004C100D">
      <w:pPr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4C100D">
      <w:pPr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4C100D">
      <w:pPr>
        <w:rPr>
          <w:rFonts w:ascii="Palatino Linotype" w:hAnsi="Palatino Linotype" w:cstheme="minorHAnsi"/>
        </w:rPr>
      </w:pPr>
    </w:p>
    <w:p w14:paraId="3088F02D" w14:textId="77777777" w:rsidR="004C100D" w:rsidRDefault="004C100D" w:rsidP="004C100D">
      <w:bookmarkStart w:id="0" w:name="_Hlk139212557"/>
    </w:p>
    <w:p w14:paraId="348C1145" w14:textId="77777777" w:rsidR="004C100D" w:rsidRDefault="004C100D" w:rsidP="004C100D"/>
    <w:p w14:paraId="3D6D7D04" w14:textId="77777777" w:rsidR="004C100D" w:rsidRDefault="004C100D" w:rsidP="004C100D"/>
    <w:p w14:paraId="36EFCD97" w14:textId="77777777" w:rsidR="004C100D" w:rsidRDefault="004C100D" w:rsidP="004C100D"/>
    <w:p w14:paraId="578ECA74" w14:textId="77777777" w:rsidR="004C100D" w:rsidRDefault="004C100D" w:rsidP="004C100D"/>
    <w:p w14:paraId="512323E2" w14:textId="77777777" w:rsidR="004C100D" w:rsidRDefault="004C100D" w:rsidP="004C100D"/>
    <w:p w14:paraId="1072BA54" w14:textId="77777777" w:rsidR="004C100D" w:rsidRDefault="005D336D" w:rsidP="004C100D">
      <w:r>
        <w:pict w14:anchorId="3FF5578A">
          <v:rect id="_x0000_i1028" style="width:0;height:1.5pt" o:hralign="center" o:bullet="t" o:hrstd="t" o:hr="t" fillcolor="#a0a0a0" stroked="f"/>
        </w:pict>
      </w:r>
    </w:p>
    <w:p w14:paraId="1A28A042" w14:textId="77777777" w:rsidR="004C100D" w:rsidRDefault="004C100D" w:rsidP="004C100D">
      <w:pPr>
        <w:jc w:val="both"/>
      </w:pPr>
    </w:p>
    <w:p w14:paraId="323AAF07" w14:textId="3DC71976" w:rsidR="004C100D" w:rsidRPr="00272A0F" w:rsidRDefault="004C100D" w:rsidP="004C100D">
      <w:pPr>
        <w:jc w:val="both"/>
      </w:pPr>
      <w:r w:rsidRPr="00272A0F">
        <w:t>Afin de compléter les éléments fournis dans le Document de Remise d'Offre Technique et Financière, le candidat complètera le présent document, "</w:t>
      </w:r>
      <w:r w:rsidRPr="00272A0F">
        <w:rPr>
          <w:b/>
        </w:rPr>
        <w:t>Cadre de Réponse Technique</w:t>
      </w:r>
      <w:r w:rsidRPr="00272A0F">
        <w:t>", en répondant aux points énoncés dans les titres</w:t>
      </w:r>
      <w:r>
        <w:t>.</w:t>
      </w:r>
    </w:p>
    <w:p w14:paraId="10596AA0" w14:textId="77777777" w:rsidR="004C100D" w:rsidRPr="00272A0F" w:rsidRDefault="004C100D" w:rsidP="004C100D">
      <w:pPr>
        <w:jc w:val="both"/>
      </w:pPr>
    </w:p>
    <w:p w14:paraId="515C2FC0" w14:textId="77777777" w:rsidR="004C100D" w:rsidRPr="00272A0F" w:rsidRDefault="004C100D" w:rsidP="004C100D">
      <w:pPr>
        <w:jc w:val="both"/>
      </w:pPr>
      <w:r w:rsidRPr="00272A0F">
        <w:t>Dans tous les cas, il est demandé au candidat de respecter les règles suivantes :</w:t>
      </w:r>
    </w:p>
    <w:p w14:paraId="28CD7292" w14:textId="77777777" w:rsidR="004C100D" w:rsidRPr="00272A0F" w:rsidRDefault="004C100D" w:rsidP="004C100D">
      <w:pPr>
        <w:pStyle w:val="Paragraphedeliste"/>
        <w:numPr>
          <w:ilvl w:val="0"/>
          <w:numId w:val="14"/>
        </w:numPr>
        <w:spacing w:after="120"/>
        <w:jc w:val="both"/>
      </w:pPr>
      <w:r w:rsidRPr="00272A0F">
        <w:t xml:space="preserve">Le document " Cadre de Réponse Technique " ne devra pas excéder </w:t>
      </w:r>
      <w:r w:rsidRPr="00272A0F">
        <w:rPr>
          <w:b/>
        </w:rPr>
        <w:t>30 pages de contenu</w:t>
      </w:r>
    </w:p>
    <w:p w14:paraId="6CB11A03" w14:textId="77777777" w:rsidR="004C100D" w:rsidRDefault="004C100D" w:rsidP="004C100D">
      <w:pPr>
        <w:pStyle w:val="Paragraphedeliste"/>
        <w:numPr>
          <w:ilvl w:val="0"/>
          <w:numId w:val="14"/>
        </w:numPr>
        <w:spacing w:after="120"/>
        <w:jc w:val="both"/>
      </w:pPr>
      <w:r w:rsidRPr="00272A0F">
        <w:t>Les 30 pages s'entendent sur une base de police « </w:t>
      </w:r>
      <w:proofErr w:type="spellStart"/>
      <w:r>
        <w:rPr>
          <w:b/>
        </w:rPr>
        <w:t>Aptos</w:t>
      </w:r>
      <w:proofErr w:type="spellEnd"/>
      <w:r>
        <w:rPr>
          <w:b/>
        </w:rPr>
        <w:t>, C</w:t>
      </w:r>
      <w:r w:rsidRPr="00272A0F">
        <w:rPr>
          <w:b/>
        </w:rPr>
        <w:t>alibri</w:t>
      </w:r>
      <w:r>
        <w:rPr>
          <w:b/>
        </w:rPr>
        <w:t xml:space="preserve"> ou Arial</w:t>
      </w:r>
      <w:r w:rsidRPr="00272A0F">
        <w:rPr>
          <w:b/>
        </w:rPr>
        <w:t>, 11pt</w:t>
      </w:r>
      <w:r w:rsidRPr="00272A0F">
        <w:t> »</w:t>
      </w:r>
      <w:r>
        <w:t xml:space="preserve">, format de page </w:t>
      </w:r>
      <w:r w:rsidRPr="00FB2260">
        <w:rPr>
          <w:b/>
          <w:bCs/>
        </w:rPr>
        <w:t>A4</w:t>
      </w:r>
    </w:p>
    <w:p w14:paraId="613FD029" w14:textId="77777777" w:rsidR="004C100D" w:rsidRDefault="004C100D" w:rsidP="004C100D">
      <w:pPr>
        <w:pStyle w:val="Paragraphedeliste"/>
        <w:numPr>
          <w:ilvl w:val="0"/>
          <w:numId w:val="14"/>
        </w:numPr>
        <w:spacing w:after="120"/>
        <w:jc w:val="both"/>
      </w:pPr>
      <w:r>
        <w:t>Si</w:t>
      </w:r>
      <w:r w:rsidRPr="00272A0F">
        <w:t xml:space="preserve"> </w:t>
      </w:r>
      <w:r>
        <w:t>le document</w:t>
      </w:r>
      <w:r w:rsidRPr="00272A0F">
        <w:t xml:space="preserve"> excède 30 pages, seules les </w:t>
      </w:r>
      <w:r w:rsidRPr="00272A0F">
        <w:rPr>
          <w:b/>
        </w:rPr>
        <w:t>30 premières</w:t>
      </w:r>
      <w:r w:rsidRPr="00272A0F">
        <w:t xml:space="preserve"> seront utilisées pour l'analyse</w:t>
      </w:r>
    </w:p>
    <w:p w14:paraId="6821A476" w14:textId="77777777" w:rsidR="004C100D" w:rsidRPr="00272A0F" w:rsidRDefault="004C100D" w:rsidP="004C100D">
      <w:pPr>
        <w:pStyle w:val="Paragraphedeliste"/>
        <w:numPr>
          <w:ilvl w:val="0"/>
          <w:numId w:val="14"/>
        </w:numPr>
        <w:spacing w:after="120"/>
        <w:jc w:val="both"/>
      </w:pPr>
      <w:r w:rsidRPr="00272A0F">
        <w:t xml:space="preserve">Le document </w:t>
      </w:r>
      <w:r w:rsidRPr="00272A0F">
        <w:rPr>
          <w:b/>
        </w:rPr>
        <w:t xml:space="preserve">ne </w:t>
      </w:r>
      <w:r>
        <w:rPr>
          <w:b/>
        </w:rPr>
        <w:t>devra</w:t>
      </w:r>
      <w:r w:rsidRPr="00272A0F">
        <w:rPr>
          <w:b/>
        </w:rPr>
        <w:t xml:space="preserve"> PAS</w:t>
      </w:r>
      <w:r w:rsidRPr="00272A0F">
        <w:t xml:space="preserve"> comporter ou se référer à des annexes.</w:t>
      </w:r>
    </w:p>
    <w:p w14:paraId="6DAF2E76" w14:textId="77777777" w:rsidR="004C100D" w:rsidRDefault="004C100D" w:rsidP="004C100D">
      <w:pPr>
        <w:jc w:val="both"/>
      </w:pPr>
    </w:p>
    <w:p w14:paraId="74965EC6" w14:textId="77777777" w:rsidR="004C100D" w:rsidRDefault="004C100D" w:rsidP="004C100D"/>
    <w:p w14:paraId="47BEC026" w14:textId="77777777" w:rsidR="004C100D" w:rsidRPr="00A50B6C" w:rsidRDefault="004C100D" w:rsidP="004C100D">
      <w:pPr>
        <w:rPr>
          <w:b/>
          <w:bCs/>
          <w:u w:val="single"/>
        </w:rPr>
      </w:pPr>
      <w:r w:rsidRPr="00A50B6C">
        <w:rPr>
          <w:b/>
          <w:bCs/>
          <w:u w:val="single"/>
        </w:rPr>
        <w:t>La cadre de réponse peut être commun à tous les lots</w:t>
      </w:r>
      <w:r>
        <w:rPr>
          <w:b/>
          <w:bCs/>
          <w:u w:val="single"/>
        </w:rPr>
        <w:t xml:space="preserve"> auxquels le candidat répond.</w:t>
      </w:r>
    </w:p>
    <w:p w14:paraId="1B283DAF" w14:textId="77777777" w:rsidR="004C100D" w:rsidRDefault="004C100D" w:rsidP="004C100D">
      <w:r>
        <w:t>Le cas échéant, les consignes suivantes sont applicables :</w:t>
      </w:r>
    </w:p>
    <w:p w14:paraId="71D31FA3" w14:textId="77777777" w:rsidR="004C100D" w:rsidRDefault="004C100D" w:rsidP="004C100D">
      <w:pPr>
        <w:pStyle w:val="Paragraphedeliste"/>
        <w:numPr>
          <w:ilvl w:val="0"/>
          <w:numId w:val="14"/>
        </w:numPr>
        <w:spacing w:before="120" w:after="120"/>
      </w:pPr>
      <w:r>
        <w:t>Identifier clairement les éventuelles spécificités pour chaque lot</w:t>
      </w:r>
    </w:p>
    <w:p w14:paraId="4B71B1D7" w14:textId="77777777" w:rsidR="004C100D" w:rsidRDefault="004C100D" w:rsidP="004C100D">
      <w:pPr>
        <w:pStyle w:val="Paragraphedeliste"/>
        <w:numPr>
          <w:ilvl w:val="0"/>
          <w:numId w:val="14"/>
        </w:numPr>
        <w:spacing w:before="120" w:after="120"/>
      </w:pPr>
      <w:r>
        <w:t>Le candidat peut ajouter 1 (une) page de contenu pour chaque lot supplémentaire</w:t>
      </w:r>
    </w:p>
    <w:p w14:paraId="63C0683C" w14:textId="77777777" w:rsidR="004C100D" w:rsidRDefault="004C100D" w:rsidP="004C100D">
      <w:pPr>
        <w:pStyle w:val="Paragraphedeliste"/>
        <w:numPr>
          <w:ilvl w:val="1"/>
          <w:numId w:val="14"/>
        </w:numPr>
        <w:spacing w:before="120" w:after="120"/>
      </w:pPr>
      <w:r>
        <w:t>Exemple :</w:t>
      </w:r>
    </w:p>
    <w:p w14:paraId="676BAB8C" w14:textId="77777777" w:rsidR="004C100D" w:rsidRDefault="004C100D" w:rsidP="004C100D">
      <w:pPr>
        <w:pStyle w:val="Paragraphedeliste"/>
        <w:numPr>
          <w:ilvl w:val="2"/>
          <w:numId w:val="14"/>
        </w:numPr>
        <w:spacing w:before="120" w:after="120"/>
      </w:pPr>
      <w:r>
        <w:t>1 Lot : 30 pages</w:t>
      </w:r>
    </w:p>
    <w:p w14:paraId="28A10D53" w14:textId="77777777" w:rsidR="004C100D" w:rsidRDefault="004C100D" w:rsidP="004C100D">
      <w:pPr>
        <w:pStyle w:val="Paragraphedeliste"/>
        <w:numPr>
          <w:ilvl w:val="2"/>
          <w:numId w:val="14"/>
        </w:numPr>
        <w:spacing w:before="120" w:after="120"/>
      </w:pPr>
      <w:r>
        <w:t>3 Lots : 32 pages (+ 2 lots = + 2 pages)</w:t>
      </w:r>
    </w:p>
    <w:p w14:paraId="4588FF78" w14:textId="77777777" w:rsidR="004C100D" w:rsidRDefault="004C100D" w:rsidP="004C100D"/>
    <w:p w14:paraId="33BD8206" w14:textId="77777777" w:rsidR="004C100D" w:rsidRDefault="005D336D" w:rsidP="004C100D">
      <w:r>
        <w:pict w14:anchorId="422C175C">
          <v:rect id="_x0000_i1029" style="width:0;height:1.5pt" o:hralign="center" o:hrstd="t" o:hr="t" fillcolor="#a0a0a0" stroked="f"/>
        </w:pict>
      </w:r>
    </w:p>
    <w:p w14:paraId="0831FB72" w14:textId="77777777" w:rsidR="004C100D" w:rsidRDefault="004C100D" w:rsidP="004C100D">
      <w:pPr>
        <w:rPr>
          <w:noProof/>
        </w:rPr>
      </w:pPr>
    </w:p>
    <w:p w14:paraId="7C9C67B8" w14:textId="77777777" w:rsidR="004C100D" w:rsidRDefault="004C100D" w:rsidP="004C100D"/>
    <w:p w14:paraId="1743F98E" w14:textId="77777777" w:rsidR="004C100D" w:rsidRDefault="004C100D" w:rsidP="004C100D">
      <w:pPr>
        <w:sectPr w:rsidR="004C100D" w:rsidSect="004C100D">
          <w:headerReference w:type="default" r:id="rId13"/>
          <w:pgSz w:w="11906" w:h="16838"/>
          <w:pgMar w:top="851" w:right="849" w:bottom="1135" w:left="851" w:header="284" w:footer="210" w:gutter="0"/>
          <w:cols w:space="708"/>
          <w:docGrid w:linePitch="360"/>
        </w:sectPr>
      </w:pPr>
    </w:p>
    <w:p w14:paraId="25C97768" w14:textId="77777777" w:rsidR="004C100D" w:rsidRPr="00D52214" w:rsidRDefault="004C100D" w:rsidP="004C100D">
      <w:pPr>
        <w:pBdr>
          <w:top w:val="single" w:sz="12" w:space="1" w:color="373545" w:themeColor="text2"/>
          <w:left w:val="single" w:sz="12" w:space="4" w:color="373545" w:themeColor="text2"/>
          <w:bottom w:val="single" w:sz="12" w:space="1" w:color="373545" w:themeColor="text2"/>
          <w:right w:val="single" w:sz="12" w:space="4" w:color="373545" w:themeColor="text2"/>
        </w:pBdr>
        <w:jc w:val="center"/>
        <w:rPr>
          <w:rFonts w:cstheme="minorHAnsi"/>
          <w:b/>
          <w:bCs/>
          <w:color w:val="2683C6" w:themeColor="accent6"/>
          <w:sz w:val="32"/>
          <w:szCs w:val="32"/>
        </w:rPr>
      </w:pPr>
      <w:r w:rsidRPr="00D52214">
        <w:rPr>
          <w:rFonts w:cstheme="minorHAnsi"/>
          <w:b/>
          <w:bCs/>
          <w:color w:val="2683C6" w:themeColor="accent6"/>
          <w:sz w:val="32"/>
          <w:szCs w:val="32"/>
        </w:rPr>
        <w:lastRenderedPageBreak/>
        <w:t>SOMMAIRE</w:t>
      </w:r>
      <w:bookmarkStart w:id="1" w:name="_Hlk21080266"/>
      <w:bookmarkEnd w:id="1"/>
    </w:p>
    <w:bookmarkEnd w:id="0"/>
    <w:p w14:paraId="3CF69AD0" w14:textId="77777777" w:rsidR="004C100D" w:rsidRPr="00C54D70" w:rsidRDefault="004C100D" w:rsidP="004C100D">
      <w:pPr>
        <w:ind w:left="45"/>
        <w:rPr>
          <w:rFonts w:cstheme="minorHAnsi"/>
          <w:sz w:val="16"/>
          <w:szCs w:val="18"/>
        </w:rPr>
      </w:pPr>
    </w:p>
    <w:p w14:paraId="5168CD3E" w14:textId="6B7BEE89" w:rsidR="00A41F7B" w:rsidRDefault="004C100D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kern w:val="2"/>
          <w:lang w:eastAsia="fr-FR"/>
          <w14:ligatures w14:val="standardContextual"/>
        </w:rPr>
      </w:pPr>
      <w:r w:rsidRPr="00C54D70">
        <w:rPr>
          <w:rFonts w:cstheme="minorHAnsi"/>
          <w:bCs/>
          <w:color w:val="808080"/>
          <w:sz w:val="16"/>
          <w:szCs w:val="18"/>
        </w:rPr>
        <w:fldChar w:fldCharType="begin"/>
      </w:r>
      <w:r w:rsidRPr="00C54D70">
        <w:rPr>
          <w:rFonts w:cstheme="minorHAnsi"/>
          <w:color w:val="808080"/>
          <w:sz w:val="16"/>
          <w:szCs w:val="18"/>
        </w:rPr>
        <w:instrText xml:space="preserve"> TOC \o "2-3" \h \z \t "Titre 1;1" </w:instrText>
      </w:r>
      <w:r w:rsidRPr="00C54D70">
        <w:rPr>
          <w:rFonts w:cstheme="minorHAnsi"/>
          <w:bCs/>
          <w:color w:val="808080"/>
          <w:sz w:val="16"/>
          <w:szCs w:val="18"/>
        </w:rPr>
        <w:fldChar w:fldCharType="separate"/>
      </w:r>
      <w:hyperlink w:anchor="_Toc189646634" w:history="1">
        <w:r w:rsidR="00A41F7B" w:rsidRPr="00293E0F">
          <w:rPr>
            <w:rStyle w:val="Lienhypertexte"/>
          </w:rPr>
          <w:t>ARTICLE 1 -</w:t>
        </w:r>
        <w:r w:rsidR="00A41F7B">
          <w:rPr>
            <w:rFonts w:asciiTheme="minorHAnsi" w:eastAsiaTheme="minorEastAsia" w:hAnsiTheme="minorHAnsi" w:cstheme="minorBidi"/>
            <w:b w:val="0"/>
            <w:caps w:val="0"/>
            <w:color w:val="auto"/>
            <w:kern w:val="2"/>
            <w:lang w:eastAsia="fr-FR"/>
            <w14:ligatures w14:val="standardContextual"/>
          </w:rPr>
          <w:tab/>
        </w:r>
        <w:r w:rsidR="00A41F7B" w:rsidRPr="00293E0F">
          <w:rPr>
            <w:rStyle w:val="Lienhypertexte"/>
          </w:rPr>
          <w:t>Suivi et pilotage (18 points)</w:t>
        </w:r>
        <w:r w:rsidR="00A41F7B">
          <w:rPr>
            <w:webHidden/>
          </w:rPr>
          <w:tab/>
        </w:r>
        <w:r w:rsidR="00A41F7B">
          <w:rPr>
            <w:webHidden/>
          </w:rPr>
          <w:fldChar w:fldCharType="begin"/>
        </w:r>
        <w:r w:rsidR="00A41F7B">
          <w:rPr>
            <w:webHidden/>
          </w:rPr>
          <w:instrText xml:space="preserve"> PAGEREF _Toc189646634 \h </w:instrText>
        </w:r>
        <w:r w:rsidR="00A41F7B">
          <w:rPr>
            <w:webHidden/>
          </w:rPr>
        </w:r>
        <w:r w:rsidR="00A41F7B">
          <w:rPr>
            <w:webHidden/>
          </w:rPr>
          <w:fldChar w:fldCharType="separate"/>
        </w:r>
        <w:r w:rsidR="00A41F7B">
          <w:rPr>
            <w:webHidden/>
          </w:rPr>
          <w:t>4</w:t>
        </w:r>
        <w:r w:rsidR="00A41F7B">
          <w:rPr>
            <w:webHidden/>
          </w:rPr>
          <w:fldChar w:fldCharType="end"/>
        </w:r>
      </w:hyperlink>
    </w:p>
    <w:p w14:paraId="3C9691D3" w14:textId="4BB98B4A" w:rsidR="00A41F7B" w:rsidRDefault="00A41F7B">
      <w:pPr>
        <w:pStyle w:val="TM2"/>
        <w:rPr>
          <w:rFonts w:asciiTheme="minorHAnsi" w:eastAsiaTheme="minorEastAsia" w:hAnsiTheme="minorHAnsi"/>
          <w:b w:val="0"/>
          <w:caps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646635" w:history="1">
        <w:r w:rsidRPr="00293E0F">
          <w:rPr>
            <w:rStyle w:val="Lienhypertexte"/>
          </w:rPr>
          <w:t>1.1</w:t>
        </w:r>
        <w:r>
          <w:rPr>
            <w:rFonts w:asciiTheme="minorHAnsi" w:eastAsiaTheme="minorEastAsia" w:hAnsiTheme="minorHAnsi"/>
            <w:b w:val="0"/>
            <w:caps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293E0F">
          <w:rPr>
            <w:rStyle w:val="Lienhypertexte"/>
          </w:rPr>
          <w:t>suivi des prestations sur les sites de la cci (9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_Toc189646635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7651E5F" w14:textId="6FA60AF9" w:rsidR="00A41F7B" w:rsidRDefault="00A41F7B">
      <w:pPr>
        <w:pStyle w:val="TM3"/>
        <w:rPr>
          <w:rFonts w:asciiTheme="minorHAnsi" w:eastAsiaTheme="minorEastAsia" w:hAnsiTheme="minorHAns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189646636" w:history="1">
        <w:r w:rsidRPr="00293E0F">
          <w:rPr>
            <w:rStyle w:val="Lienhypertexte"/>
            <w:rFonts w:cs="Times New Roman"/>
          </w:rPr>
          <w:t>1.1.1</w:t>
        </w:r>
        <w:r>
          <w:rPr>
            <w:rFonts w:asciiTheme="minorHAnsi" w:eastAsiaTheme="minorEastAsia" w:hAnsiTheme="minorHAnsi"/>
            <w:b w:val="0"/>
            <w:bCs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293E0F">
          <w:rPr>
            <w:rStyle w:val="Lienhypertexte"/>
          </w:rPr>
          <w:t>Structure de l’encadrement (4,5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_Toc189646636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D4B10BA" w14:textId="53DEA779" w:rsidR="00A41F7B" w:rsidRDefault="00A41F7B">
      <w:pPr>
        <w:pStyle w:val="TM3"/>
        <w:rPr>
          <w:rFonts w:asciiTheme="minorHAnsi" w:eastAsiaTheme="minorEastAsia" w:hAnsiTheme="minorHAns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189646637" w:history="1">
        <w:r w:rsidRPr="00293E0F">
          <w:rPr>
            <w:rStyle w:val="Lienhypertexte"/>
            <w:rFonts w:cs="Times New Roman"/>
          </w:rPr>
          <w:t>1.1.2</w:t>
        </w:r>
        <w:r>
          <w:rPr>
            <w:rFonts w:asciiTheme="minorHAnsi" w:eastAsiaTheme="minorEastAsia" w:hAnsiTheme="minorHAnsi"/>
            <w:b w:val="0"/>
            <w:bCs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293E0F">
          <w:rPr>
            <w:rStyle w:val="Lienhypertexte"/>
          </w:rPr>
          <w:t>Méthodologie de suivi et pilotage de la prestation (4,5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_Toc189646637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3CDB744" w14:textId="61EC5DE3" w:rsidR="00A41F7B" w:rsidRDefault="00A41F7B">
      <w:pPr>
        <w:pStyle w:val="TM2"/>
        <w:rPr>
          <w:rFonts w:asciiTheme="minorHAnsi" w:eastAsiaTheme="minorEastAsia" w:hAnsiTheme="minorHAnsi"/>
          <w:b w:val="0"/>
          <w:caps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646638" w:history="1">
        <w:r w:rsidRPr="00293E0F">
          <w:rPr>
            <w:rStyle w:val="Lienhypertexte"/>
          </w:rPr>
          <w:t>1.2</w:t>
        </w:r>
        <w:r>
          <w:rPr>
            <w:rFonts w:asciiTheme="minorHAnsi" w:eastAsiaTheme="minorEastAsia" w:hAnsiTheme="minorHAnsi"/>
            <w:b w:val="0"/>
            <w:caps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293E0F">
          <w:rPr>
            <w:rStyle w:val="Lienhypertexte"/>
          </w:rPr>
          <w:t>Description des méthodes et outils de contrôle de la qualité (9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_Toc189646638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5FC83BE" w14:textId="2BA8644C" w:rsidR="00A41F7B" w:rsidRDefault="00A41F7B">
      <w:pPr>
        <w:pStyle w:val="TM3"/>
        <w:rPr>
          <w:rFonts w:asciiTheme="minorHAnsi" w:eastAsiaTheme="minorEastAsia" w:hAnsiTheme="minorHAns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189646639" w:history="1">
        <w:r w:rsidRPr="00293E0F">
          <w:rPr>
            <w:rStyle w:val="Lienhypertexte"/>
            <w:rFonts w:cs="Times New Roman"/>
          </w:rPr>
          <w:t>1.2.1</w:t>
        </w:r>
        <w:r>
          <w:rPr>
            <w:rFonts w:asciiTheme="minorHAnsi" w:eastAsiaTheme="minorEastAsia" w:hAnsiTheme="minorHAnsi"/>
            <w:b w:val="0"/>
            <w:bCs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293E0F">
          <w:rPr>
            <w:rStyle w:val="Lienhypertexte"/>
          </w:rPr>
          <w:t>Procédures de contrôle qualité (4,5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_Toc189646639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356FA47" w14:textId="79577420" w:rsidR="00A41F7B" w:rsidRDefault="00A41F7B">
      <w:pPr>
        <w:pStyle w:val="TM3"/>
        <w:rPr>
          <w:rFonts w:asciiTheme="minorHAnsi" w:eastAsiaTheme="minorEastAsia" w:hAnsiTheme="minorHAns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189646640" w:history="1">
        <w:r w:rsidRPr="00293E0F">
          <w:rPr>
            <w:rStyle w:val="Lienhypertexte"/>
            <w:rFonts w:cs="Times New Roman"/>
          </w:rPr>
          <w:t>1.2.2</w:t>
        </w:r>
        <w:r>
          <w:rPr>
            <w:rFonts w:asciiTheme="minorHAnsi" w:eastAsiaTheme="minorEastAsia" w:hAnsiTheme="minorHAnsi"/>
            <w:b w:val="0"/>
            <w:bCs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293E0F">
          <w:rPr>
            <w:rStyle w:val="Lienhypertexte"/>
          </w:rPr>
          <w:t>Outils de contrôle qualité (4,5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_Toc189646640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ACC18A3" w14:textId="54D3F0BB" w:rsidR="00A41F7B" w:rsidRDefault="00A41F7B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kern w:val="2"/>
          <w:lang w:eastAsia="fr-FR"/>
          <w14:ligatures w14:val="standardContextual"/>
        </w:rPr>
      </w:pPr>
      <w:hyperlink w:anchor="_Toc189646641" w:history="1">
        <w:r w:rsidRPr="00293E0F">
          <w:rPr>
            <w:rStyle w:val="Lienhypertexte"/>
          </w:rPr>
          <w:t>ARTICLE 2 -</w:t>
        </w:r>
        <w:r>
          <w:rPr>
            <w:rFonts w:asciiTheme="minorHAnsi" w:eastAsiaTheme="minorEastAsia" w:hAnsiTheme="minorHAnsi" w:cstheme="minorBidi"/>
            <w:b w:val="0"/>
            <w:caps w:val="0"/>
            <w:color w:val="auto"/>
            <w:kern w:val="2"/>
            <w:lang w:eastAsia="fr-FR"/>
            <w14:ligatures w14:val="standardContextual"/>
          </w:rPr>
          <w:tab/>
        </w:r>
        <w:r w:rsidRPr="00293E0F">
          <w:rPr>
            <w:rStyle w:val="Lienhypertexte"/>
          </w:rPr>
          <w:t>RESSOURCES HUMAINES (12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_Toc189646641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2D9EA73" w14:textId="7EB6C978" w:rsidR="00A41F7B" w:rsidRDefault="00A41F7B">
      <w:pPr>
        <w:pStyle w:val="TM2"/>
        <w:rPr>
          <w:rFonts w:asciiTheme="minorHAnsi" w:eastAsiaTheme="minorEastAsia" w:hAnsiTheme="minorHAnsi"/>
          <w:b w:val="0"/>
          <w:caps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646642" w:history="1">
        <w:r w:rsidRPr="00293E0F">
          <w:rPr>
            <w:rStyle w:val="Lienhypertexte"/>
          </w:rPr>
          <w:t>2.1</w:t>
        </w:r>
        <w:r>
          <w:rPr>
            <w:rFonts w:asciiTheme="minorHAnsi" w:eastAsiaTheme="minorEastAsia" w:hAnsiTheme="minorHAnsi"/>
            <w:b w:val="0"/>
            <w:caps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293E0F">
          <w:rPr>
            <w:rStyle w:val="Lienhypertexte"/>
          </w:rPr>
          <w:t>Gestion des Absences (8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_Toc189646642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D041153" w14:textId="53D4B09F" w:rsidR="00A41F7B" w:rsidRDefault="00A41F7B">
      <w:pPr>
        <w:pStyle w:val="TM3"/>
        <w:rPr>
          <w:rFonts w:asciiTheme="minorHAnsi" w:eastAsiaTheme="minorEastAsia" w:hAnsiTheme="minorHAns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189646643" w:history="1">
        <w:r w:rsidRPr="00293E0F">
          <w:rPr>
            <w:rStyle w:val="Lienhypertexte"/>
            <w:rFonts w:cs="Times New Roman"/>
          </w:rPr>
          <w:t>2.1.1</w:t>
        </w:r>
        <w:r>
          <w:rPr>
            <w:rFonts w:asciiTheme="minorHAnsi" w:eastAsiaTheme="minorEastAsia" w:hAnsiTheme="minorHAnsi"/>
            <w:b w:val="0"/>
            <w:bCs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293E0F">
          <w:rPr>
            <w:rStyle w:val="Lienhypertexte"/>
          </w:rPr>
          <w:t>Suivi, Communication et modalités de gestion des absences prévues (4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_Toc189646643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01964EF" w14:textId="6AF4016A" w:rsidR="00A41F7B" w:rsidRDefault="00A41F7B">
      <w:pPr>
        <w:pStyle w:val="TM3"/>
        <w:rPr>
          <w:rFonts w:asciiTheme="minorHAnsi" w:eastAsiaTheme="minorEastAsia" w:hAnsiTheme="minorHAns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189646644" w:history="1">
        <w:r w:rsidRPr="00293E0F">
          <w:rPr>
            <w:rStyle w:val="Lienhypertexte"/>
            <w:rFonts w:cs="Times New Roman"/>
          </w:rPr>
          <w:t>2.1.2</w:t>
        </w:r>
        <w:r>
          <w:rPr>
            <w:rFonts w:asciiTheme="minorHAnsi" w:eastAsiaTheme="minorEastAsia" w:hAnsiTheme="minorHAnsi"/>
            <w:b w:val="0"/>
            <w:bCs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293E0F">
          <w:rPr>
            <w:rStyle w:val="Lienhypertexte"/>
          </w:rPr>
          <w:t>Suivi, Communication et modalités de gestion des absences imprévues (4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_Toc189646644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941FF1D" w14:textId="5ECA22D8" w:rsidR="00A41F7B" w:rsidRDefault="00A41F7B">
      <w:pPr>
        <w:pStyle w:val="TM2"/>
        <w:rPr>
          <w:rFonts w:asciiTheme="minorHAnsi" w:eastAsiaTheme="minorEastAsia" w:hAnsiTheme="minorHAnsi"/>
          <w:b w:val="0"/>
          <w:caps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646645" w:history="1">
        <w:r w:rsidRPr="00293E0F">
          <w:rPr>
            <w:rStyle w:val="Lienhypertexte"/>
          </w:rPr>
          <w:t>2.2</w:t>
        </w:r>
        <w:r>
          <w:rPr>
            <w:rFonts w:asciiTheme="minorHAnsi" w:eastAsiaTheme="minorEastAsia" w:hAnsiTheme="minorHAnsi"/>
            <w:b w:val="0"/>
            <w:caps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293E0F">
          <w:rPr>
            <w:rStyle w:val="Lienhypertexte"/>
          </w:rPr>
          <w:t>Description de l’organisation mise en place en mode DÉGRADÉ (4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_Toc189646645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3E4D0A8" w14:textId="20372D41" w:rsidR="00A41F7B" w:rsidRDefault="00A41F7B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kern w:val="2"/>
          <w:lang w:eastAsia="fr-FR"/>
          <w14:ligatures w14:val="standardContextual"/>
        </w:rPr>
      </w:pPr>
      <w:hyperlink w:anchor="_Toc189646646" w:history="1">
        <w:r w:rsidRPr="00293E0F">
          <w:rPr>
            <w:rStyle w:val="Lienhypertexte"/>
          </w:rPr>
          <w:t>ARTICLE 3 -</w:t>
        </w:r>
        <w:r>
          <w:rPr>
            <w:rFonts w:asciiTheme="minorHAnsi" w:eastAsiaTheme="minorEastAsia" w:hAnsiTheme="minorHAnsi" w:cstheme="minorBidi"/>
            <w:b w:val="0"/>
            <w:caps w:val="0"/>
            <w:color w:val="auto"/>
            <w:kern w:val="2"/>
            <w:lang w:eastAsia="fr-FR"/>
            <w14:ligatures w14:val="standardContextual"/>
          </w:rPr>
          <w:tab/>
        </w:r>
        <w:r w:rsidRPr="00293E0F">
          <w:rPr>
            <w:rStyle w:val="Lienhypertexte"/>
          </w:rPr>
          <w:t>RSE, FORMATION ET DÉVELOPPEMENT DURABLE (10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_Toc189646646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C257DB1" w14:textId="1D2971AF" w:rsidR="00A41F7B" w:rsidRDefault="00A41F7B">
      <w:pPr>
        <w:pStyle w:val="TM2"/>
        <w:rPr>
          <w:rFonts w:asciiTheme="minorHAnsi" w:eastAsiaTheme="minorEastAsia" w:hAnsiTheme="minorHAnsi"/>
          <w:b w:val="0"/>
          <w:caps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646647" w:history="1">
        <w:r w:rsidRPr="00293E0F">
          <w:rPr>
            <w:rStyle w:val="Lienhypertexte"/>
          </w:rPr>
          <w:t>3.1</w:t>
        </w:r>
        <w:r>
          <w:rPr>
            <w:rFonts w:asciiTheme="minorHAnsi" w:eastAsiaTheme="minorEastAsia" w:hAnsiTheme="minorHAnsi"/>
            <w:b w:val="0"/>
            <w:caps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293E0F">
          <w:rPr>
            <w:rStyle w:val="Lienhypertexte"/>
          </w:rPr>
          <w:t>Performance environnementale sur site (5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_Toc189646647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553E623" w14:textId="58440938" w:rsidR="00A41F7B" w:rsidRDefault="00A41F7B">
      <w:pPr>
        <w:pStyle w:val="TM2"/>
        <w:rPr>
          <w:rFonts w:asciiTheme="minorHAnsi" w:eastAsiaTheme="minorEastAsia" w:hAnsiTheme="minorHAnsi"/>
          <w:b w:val="0"/>
          <w:caps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646648" w:history="1">
        <w:r w:rsidRPr="00293E0F">
          <w:rPr>
            <w:rStyle w:val="Lienhypertexte"/>
          </w:rPr>
          <w:t>3.2</w:t>
        </w:r>
        <w:r>
          <w:rPr>
            <w:rFonts w:asciiTheme="minorHAnsi" w:eastAsiaTheme="minorEastAsia" w:hAnsiTheme="minorHAnsi"/>
            <w:b w:val="0"/>
            <w:caps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293E0F">
          <w:rPr>
            <w:rStyle w:val="Lienhypertexte"/>
          </w:rPr>
          <w:t>Formation des agents intervenant sur site (5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_Toc189646648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F074EEA" w14:textId="3EB0A9DA" w:rsidR="004C100D" w:rsidRPr="00C54D70" w:rsidRDefault="004C100D" w:rsidP="004C100D">
      <w:r w:rsidRPr="00C54D70">
        <w:rPr>
          <w:color w:val="808080"/>
        </w:rPr>
        <w:fldChar w:fldCharType="end"/>
      </w:r>
    </w:p>
    <w:p w14:paraId="066B4B31" w14:textId="77777777" w:rsidR="004C100D" w:rsidRPr="00C54D70" w:rsidRDefault="004C100D" w:rsidP="004C100D"/>
    <w:p w14:paraId="5D3044BB" w14:textId="77777777" w:rsidR="004C100D" w:rsidRPr="00C54D70" w:rsidRDefault="004C100D" w:rsidP="004C100D"/>
    <w:p w14:paraId="1FC9A10A" w14:textId="77777777" w:rsidR="004C100D" w:rsidRPr="00C54D70" w:rsidRDefault="004C100D" w:rsidP="004C100D">
      <w:pPr>
        <w:sectPr w:rsidR="004C100D" w:rsidRPr="00C54D70" w:rsidSect="004C100D">
          <w:pgSz w:w="11906" w:h="16838"/>
          <w:pgMar w:top="851" w:right="849" w:bottom="1135" w:left="851" w:header="284" w:footer="210" w:gutter="0"/>
          <w:cols w:space="708"/>
          <w:docGrid w:linePitch="360"/>
        </w:sectPr>
      </w:pPr>
    </w:p>
    <w:p w14:paraId="1533ADB7" w14:textId="7FC0DD78" w:rsidR="004C100D" w:rsidRDefault="00BE7595" w:rsidP="004C100D">
      <w:pPr>
        <w:pStyle w:val="Titre1"/>
      </w:pPr>
      <w:bookmarkStart w:id="2" w:name="_Toc189646634"/>
      <w:bookmarkStart w:id="3" w:name="_Toc523216035"/>
      <w:bookmarkStart w:id="4" w:name="_Toc523216127"/>
      <w:bookmarkStart w:id="5" w:name="_Toc523216024"/>
      <w:bookmarkStart w:id="6" w:name="_Toc523216116"/>
      <w:r w:rsidRPr="00BE7595">
        <w:lastRenderedPageBreak/>
        <w:t xml:space="preserve">Suivi et pilotage </w:t>
      </w:r>
      <w:r>
        <w:t>(</w:t>
      </w:r>
      <w:r w:rsidR="00F86F6E">
        <w:t>18</w:t>
      </w:r>
      <w:r>
        <w:t xml:space="preserve"> points)</w:t>
      </w:r>
      <w:bookmarkEnd w:id="2"/>
    </w:p>
    <w:p w14:paraId="4C85425B" w14:textId="16673AFF" w:rsidR="004C100D" w:rsidRDefault="00C93F17" w:rsidP="004C100D">
      <w:pPr>
        <w:pStyle w:val="Titre2"/>
      </w:pPr>
      <w:bookmarkStart w:id="7" w:name="_Toc189646635"/>
      <w:r>
        <w:t xml:space="preserve">suivi des prestations </w:t>
      </w:r>
      <w:r w:rsidR="00F80654">
        <w:t xml:space="preserve">sur les sites de </w:t>
      </w:r>
      <w:r>
        <w:t>la cci</w:t>
      </w:r>
      <w:r w:rsidR="00F86F6E">
        <w:t xml:space="preserve"> (9 points)</w:t>
      </w:r>
      <w:bookmarkEnd w:id="7"/>
    </w:p>
    <w:p w14:paraId="2F4F85BC" w14:textId="7FE61898" w:rsidR="004C100D" w:rsidRDefault="00F80654" w:rsidP="00F80654">
      <w:pPr>
        <w:pStyle w:val="Titre3"/>
        <w:ind w:left="993" w:hanging="993"/>
      </w:pPr>
      <w:bookmarkStart w:id="8" w:name="_Toc189646636"/>
      <w:r>
        <w:t>Structure de l’encadrement</w:t>
      </w:r>
      <w:r w:rsidR="00F86F6E">
        <w:t xml:space="preserve"> (4,5 points)</w:t>
      </w:r>
      <w:bookmarkEnd w:id="8"/>
    </w:p>
    <w:p w14:paraId="46ADCB30" w14:textId="77777777" w:rsidR="00F80654" w:rsidRDefault="00F80654" w:rsidP="004C100D"/>
    <w:p w14:paraId="6B47AFFC" w14:textId="77777777" w:rsidR="00AE3958" w:rsidRDefault="00AE3958" w:rsidP="004C100D"/>
    <w:p w14:paraId="3CAEE504" w14:textId="77777777" w:rsidR="00AE3958" w:rsidRDefault="00AE3958" w:rsidP="004C100D"/>
    <w:p w14:paraId="2D0A1AD4" w14:textId="77777777" w:rsidR="00F80654" w:rsidRDefault="00F80654" w:rsidP="004C100D"/>
    <w:p w14:paraId="50B581B7" w14:textId="3AC36E5E" w:rsidR="00F80654" w:rsidRDefault="00F80654" w:rsidP="00F80654">
      <w:pPr>
        <w:pStyle w:val="Titre3"/>
        <w:ind w:left="993" w:hanging="993"/>
      </w:pPr>
      <w:bookmarkStart w:id="9" w:name="_Toc189646637"/>
      <w:r>
        <w:t>Méthodologie de suivi et pilotage de la prestation</w:t>
      </w:r>
      <w:r w:rsidR="004E7536">
        <w:t xml:space="preserve"> (4,5 points)</w:t>
      </w:r>
      <w:bookmarkEnd w:id="9"/>
    </w:p>
    <w:p w14:paraId="18CA4D9F" w14:textId="77777777" w:rsidR="004C100D" w:rsidRDefault="004C100D" w:rsidP="004C100D"/>
    <w:p w14:paraId="0DC8BEEA" w14:textId="77777777" w:rsidR="00AE3958" w:rsidRDefault="00AE3958" w:rsidP="004C100D"/>
    <w:p w14:paraId="597DBF59" w14:textId="77777777" w:rsidR="00AE3958" w:rsidRDefault="00AE3958" w:rsidP="004C100D"/>
    <w:p w14:paraId="24109BD0" w14:textId="77777777" w:rsidR="004C100D" w:rsidRDefault="004C100D" w:rsidP="004C100D"/>
    <w:p w14:paraId="13A4E99C" w14:textId="7890294E" w:rsidR="004E7536" w:rsidRDefault="004C100D" w:rsidP="004E7536">
      <w:pPr>
        <w:pStyle w:val="Titre2"/>
      </w:pPr>
      <w:bookmarkStart w:id="10" w:name="_Toc145429406"/>
      <w:bookmarkStart w:id="11" w:name="_Toc189646638"/>
      <w:r w:rsidRPr="0014552A">
        <w:t xml:space="preserve">Description des </w:t>
      </w:r>
      <w:r>
        <w:t xml:space="preserve">méthodes et </w:t>
      </w:r>
      <w:r w:rsidRPr="0014552A">
        <w:t>outils de contrôle de la qualité</w:t>
      </w:r>
      <w:bookmarkEnd w:id="10"/>
      <w:r w:rsidR="004E7536">
        <w:t xml:space="preserve"> (9 points)</w:t>
      </w:r>
      <w:bookmarkEnd w:id="11"/>
    </w:p>
    <w:p w14:paraId="3AA9AF69" w14:textId="41919F10" w:rsidR="004C100D" w:rsidRDefault="00B32000" w:rsidP="00B32000">
      <w:pPr>
        <w:pStyle w:val="Titre3"/>
        <w:ind w:left="993" w:hanging="993"/>
      </w:pPr>
      <w:bookmarkStart w:id="12" w:name="_Toc189646639"/>
      <w:r>
        <w:t>Procédures de contrôle qualité</w:t>
      </w:r>
      <w:r w:rsidR="004E7536">
        <w:t xml:space="preserve"> (4,5 points)</w:t>
      </w:r>
      <w:bookmarkEnd w:id="12"/>
    </w:p>
    <w:p w14:paraId="7BCAC124" w14:textId="77777777" w:rsidR="00B32000" w:rsidRDefault="00B32000" w:rsidP="004C100D"/>
    <w:p w14:paraId="75FB3C89" w14:textId="77777777" w:rsidR="00AE3958" w:rsidRDefault="00AE3958" w:rsidP="004C100D"/>
    <w:p w14:paraId="6394A2A5" w14:textId="77777777" w:rsidR="00B32000" w:rsidRDefault="00B32000" w:rsidP="004C100D"/>
    <w:p w14:paraId="57A2444A" w14:textId="77777777" w:rsidR="00B32000" w:rsidRDefault="00B32000" w:rsidP="004C100D"/>
    <w:p w14:paraId="0BFD26B8" w14:textId="4EF112CD" w:rsidR="00B32000" w:rsidRDefault="00B32000" w:rsidP="00B32000">
      <w:pPr>
        <w:pStyle w:val="Titre3"/>
        <w:ind w:left="993" w:hanging="993"/>
      </w:pPr>
      <w:bookmarkStart w:id="13" w:name="_Toc189646640"/>
      <w:r>
        <w:t>Outils de contrôle qualité</w:t>
      </w:r>
      <w:r w:rsidR="004E7536">
        <w:t xml:space="preserve"> (4,5 points)</w:t>
      </w:r>
      <w:bookmarkEnd w:id="13"/>
    </w:p>
    <w:p w14:paraId="1ABB234B" w14:textId="77777777" w:rsidR="004C100D" w:rsidRDefault="004C100D" w:rsidP="004C100D"/>
    <w:p w14:paraId="5846D12B" w14:textId="77777777" w:rsidR="00B32000" w:rsidRDefault="00B32000" w:rsidP="004C100D"/>
    <w:p w14:paraId="503ABD2C" w14:textId="77777777" w:rsidR="00AE3958" w:rsidRDefault="00AE3958" w:rsidP="004C100D"/>
    <w:p w14:paraId="589F30B5" w14:textId="77777777" w:rsidR="00B32000" w:rsidRDefault="00B32000" w:rsidP="004C100D"/>
    <w:p w14:paraId="3655D809" w14:textId="164DA5DE" w:rsidR="00AE3958" w:rsidRDefault="00AE3958">
      <w:r>
        <w:br w:type="page"/>
      </w:r>
    </w:p>
    <w:p w14:paraId="57F127FB" w14:textId="5FDB2B3D" w:rsidR="004C100D" w:rsidRDefault="004C100D" w:rsidP="004C100D">
      <w:pPr>
        <w:pStyle w:val="Titre1"/>
      </w:pPr>
      <w:bookmarkStart w:id="14" w:name="_Toc145429410"/>
      <w:bookmarkStart w:id="15" w:name="_Toc189646641"/>
      <w:r w:rsidRPr="000A36BF">
        <w:lastRenderedPageBreak/>
        <w:t>RESSOURCES HUMAINES</w:t>
      </w:r>
      <w:bookmarkEnd w:id="14"/>
      <w:r w:rsidR="00F86F6E">
        <w:t xml:space="preserve"> (12 points)</w:t>
      </w:r>
      <w:bookmarkEnd w:id="15"/>
    </w:p>
    <w:p w14:paraId="2D31C3AF" w14:textId="7E8DE3B1" w:rsidR="004C100D" w:rsidRDefault="004C100D" w:rsidP="004C100D">
      <w:pPr>
        <w:pStyle w:val="Titre2"/>
      </w:pPr>
      <w:bookmarkStart w:id="16" w:name="_Toc145429413"/>
      <w:bookmarkStart w:id="17" w:name="_Toc189646642"/>
      <w:r>
        <w:t>Gestion des Absences</w:t>
      </w:r>
      <w:bookmarkEnd w:id="16"/>
      <w:r w:rsidR="00F86F6E">
        <w:t xml:space="preserve"> (8 points)</w:t>
      </w:r>
      <w:bookmarkEnd w:id="17"/>
    </w:p>
    <w:p w14:paraId="7915EE1A" w14:textId="1C584FA4" w:rsidR="004C100D" w:rsidRDefault="004C100D" w:rsidP="004C100D">
      <w:pPr>
        <w:pStyle w:val="Titre3"/>
      </w:pPr>
      <w:bookmarkStart w:id="18" w:name="_Toc145429414"/>
      <w:bookmarkStart w:id="19" w:name="_Toc189646643"/>
      <w:r w:rsidRPr="0014552A">
        <w:t>Suivi</w:t>
      </w:r>
      <w:r>
        <w:t xml:space="preserve">, </w:t>
      </w:r>
      <w:r w:rsidRPr="0014552A">
        <w:t>Communication</w:t>
      </w:r>
      <w:r>
        <w:t xml:space="preserve"> et modalités de gestion </w:t>
      </w:r>
      <w:r w:rsidRPr="0014552A">
        <w:t>des absences prévues</w:t>
      </w:r>
      <w:bookmarkEnd w:id="18"/>
      <w:r w:rsidR="00F86F6E">
        <w:t xml:space="preserve"> (4 points)</w:t>
      </w:r>
      <w:bookmarkEnd w:id="19"/>
    </w:p>
    <w:p w14:paraId="595C5654" w14:textId="77777777" w:rsidR="004C100D" w:rsidRDefault="004C100D" w:rsidP="004C100D"/>
    <w:p w14:paraId="4668AA29" w14:textId="77777777" w:rsidR="004C100D" w:rsidRDefault="004C100D" w:rsidP="004C100D"/>
    <w:p w14:paraId="3854B1F9" w14:textId="77777777" w:rsidR="004C100D" w:rsidRPr="00FB1DCB" w:rsidRDefault="004C100D" w:rsidP="004C100D"/>
    <w:p w14:paraId="243C7773" w14:textId="05275970" w:rsidR="004C100D" w:rsidRDefault="004C100D" w:rsidP="004C100D">
      <w:pPr>
        <w:pStyle w:val="Titre3"/>
      </w:pPr>
      <w:bookmarkStart w:id="20" w:name="_Toc145429415"/>
      <w:bookmarkStart w:id="21" w:name="_Toc189646644"/>
      <w:r w:rsidRPr="0014552A">
        <w:t>Suivi</w:t>
      </w:r>
      <w:r>
        <w:t xml:space="preserve">, </w:t>
      </w:r>
      <w:r w:rsidRPr="0014552A">
        <w:t>Communication</w:t>
      </w:r>
      <w:r>
        <w:t xml:space="preserve"> et modalités de gestion </w:t>
      </w:r>
      <w:r w:rsidRPr="0014552A">
        <w:t>des absences imprévues</w:t>
      </w:r>
      <w:bookmarkEnd w:id="20"/>
      <w:r w:rsidR="00F86F6E">
        <w:t xml:space="preserve"> (4 points)</w:t>
      </w:r>
      <w:bookmarkEnd w:id="21"/>
    </w:p>
    <w:p w14:paraId="3EBF3006" w14:textId="77777777" w:rsidR="004C100D" w:rsidRDefault="004C100D" w:rsidP="004C100D"/>
    <w:p w14:paraId="47A22754" w14:textId="77777777" w:rsidR="004C100D" w:rsidRDefault="004C100D" w:rsidP="004C100D"/>
    <w:p w14:paraId="32CB907E" w14:textId="77777777" w:rsidR="004C100D" w:rsidRPr="00FB1DCB" w:rsidRDefault="004C100D" w:rsidP="004C100D"/>
    <w:p w14:paraId="4672F67C" w14:textId="52C5A135" w:rsidR="004C100D" w:rsidRDefault="004C100D" w:rsidP="004C100D">
      <w:pPr>
        <w:pStyle w:val="Titre2"/>
      </w:pPr>
      <w:bookmarkStart w:id="22" w:name="_Toc145429416"/>
      <w:bookmarkStart w:id="23" w:name="_Toc189646645"/>
      <w:r w:rsidRPr="0014552A">
        <w:t xml:space="preserve">Description </w:t>
      </w:r>
      <w:bookmarkEnd w:id="22"/>
      <w:r>
        <w:t xml:space="preserve">de l’organisation mise en place </w:t>
      </w:r>
      <w:r w:rsidR="00B32000">
        <w:t>en mode DÉGRADÉ</w:t>
      </w:r>
      <w:r w:rsidR="00F86F6E">
        <w:t xml:space="preserve"> (4 points)</w:t>
      </w:r>
      <w:bookmarkEnd w:id="23"/>
    </w:p>
    <w:p w14:paraId="4366BC2D" w14:textId="7B9A2162" w:rsidR="004C100D" w:rsidRPr="00A21556" w:rsidRDefault="00A21556" w:rsidP="004C100D">
      <w:pPr>
        <w:rPr>
          <w:i/>
          <w:iCs/>
        </w:rPr>
      </w:pPr>
      <w:r w:rsidRPr="00A21556">
        <w:rPr>
          <w:i/>
          <w:iCs/>
        </w:rPr>
        <w:t xml:space="preserve">(le mode dégradé est une organisation proposée lorsque le titulaire fait face à des absences en grand nombre ou en durée importante et que les ressources humaines affectées aux sites sont en nombre largement insuffisant pour </w:t>
      </w:r>
      <w:r>
        <w:rPr>
          <w:i/>
          <w:iCs/>
        </w:rPr>
        <w:t>effectuer la totalité des prestations)</w:t>
      </w:r>
    </w:p>
    <w:p w14:paraId="574DEEFA" w14:textId="77777777" w:rsidR="004C100D" w:rsidRDefault="004C100D" w:rsidP="004C100D"/>
    <w:p w14:paraId="63D5C47C" w14:textId="77777777" w:rsidR="004C100D" w:rsidRPr="00FB1DCB" w:rsidRDefault="004C100D" w:rsidP="004C100D"/>
    <w:p w14:paraId="1ADFB6D2" w14:textId="77777777" w:rsidR="004C100D" w:rsidRDefault="004C100D" w:rsidP="004C100D">
      <w:r>
        <w:br w:type="page"/>
      </w:r>
    </w:p>
    <w:p w14:paraId="13754DBD" w14:textId="333F1A5D" w:rsidR="004C100D" w:rsidRDefault="004C100D" w:rsidP="004C100D">
      <w:pPr>
        <w:pStyle w:val="Titre1"/>
      </w:pPr>
      <w:bookmarkStart w:id="24" w:name="_Toc145429417"/>
      <w:bookmarkStart w:id="25" w:name="_Toc189646646"/>
      <w:r>
        <w:lastRenderedPageBreak/>
        <w:t>RSE, FORMATION ET DÉVELOPPEMENT DURABLE</w:t>
      </w:r>
      <w:bookmarkEnd w:id="24"/>
      <w:r w:rsidR="004E7536">
        <w:t xml:space="preserve"> (10 points)</w:t>
      </w:r>
      <w:bookmarkEnd w:id="25"/>
    </w:p>
    <w:p w14:paraId="1A39BA1C" w14:textId="7B7F7C77" w:rsidR="00B32000" w:rsidRDefault="004E7536" w:rsidP="00B32000">
      <w:pPr>
        <w:pStyle w:val="Titre2"/>
      </w:pPr>
      <w:bookmarkStart w:id="26" w:name="_Toc189646647"/>
      <w:bookmarkStart w:id="27" w:name="_Toc145429422"/>
      <w:bookmarkStart w:id="28" w:name="_Toc145429418"/>
      <w:r w:rsidRPr="004E7536">
        <w:t>Performance environnementale sur site</w:t>
      </w:r>
      <w:r>
        <w:t xml:space="preserve"> (5 points)</w:t>
      </w:r>
      <w:bookmarkEnd w:id="26"/>
    </w:p>
    <w:p w14:paraId="2A11880F" w14:textId="6F6D8182" w:rsidR="004E7536" w:rsidRPr="00A21556" w:rsidRDefault="004E7536" w:rsidP="004E7536">
      <w:pPr>
        <w:rPr>
          <w:i/>
          <w:iCs/>
        </w:rPr>
      </w:pPr>
      <w:r w:rsidRPr="00A21556">
        <w:rPr>
          <w:i/>
          <w:iCs/>
        </w:rPr>
        <w:t>(</w:t>
      </w:r>
      <w:r>
        <w:rPr>
          <w:i/>
          <w:iCs/>
        </w:rPr>
        <w:t xml:space="preserve">le candidat détaille l’ensembles des actions et mesures prise </w:t>
      </w:r>
      <w:r w:rsidRPr="004E7536">
        <w:rPr>
          <w:i/>
          <w:iCs/>
        </w:rPr>
        <w:t xml:space="preserve">dans le cadre de la </w:t>
      </w:r>
      <w:r>
        <w:rPr>
          <w:i/>
          <w:iCs/>
        </w:rPr>
        <w:t xml:space="preserve">réalisation </w:t>
      </w:r>
      <w:r w:rsidRPr="004E7536">
        <w:rPr>
          <w:i/>
          <w:iCs/>
        </w:rPr>
        <w:t xml:space="preserve">des prestations </w:t>
      </w:r>
      <w:r>
        <w:rPr>
          <w:i/>
          <w:iCs/>
        </w:rPr>
        <w:t xml:space="preserve">objet du marché et </w:t>
      </w:r>
      <w:r w:rsidRPr="004E7536">
        <w:rPr>
          <w:i/>
          <w:iCs/>
        </w:rPr>
        <w:t xml:space="preserve">sur les sites de la </w:t>
      </w:r>
      <w:r>
        <w:rPr>
          <w:i/>
          <w:iCs/>
        </w:rPr>
        <w:t>CCI)</w:t>
      </w:r>
    </w:p>
    <w:p w14:paraId="33A58ECD" w14:textId="77777777" w:rsidR="00B32000" w:rsidRDefault="00B32000" w:rsidP="00B32000"/>
    <w:p w14:paraId="71642503" w14:textId="77777777" w:rsidR="00B32000" w:rsidRDefault="00B32000" w:rsidP="00B32000"/>
    <w:p w14:paraId="7ED110A5" w14:textId="77777777" w:rsidR="00B32000" w:rsidRDefault="00B32000" w:rsidP="00B32000"/>
    <w:p w14:paraId="384B9992" w14:textId="77777777" w:rsidR="00B32000" w:rsidRDefault="00B32000" w:rsidP="00B32000"/>
    <w:p w14:paraId="488A3E7B" w14:textId="77777777" w:rsidR="00B32000" w:rsidRPr="00FB1DCB" w:rsidRDefault="00B32000" w:rsidP="00B32000"/>
    <w:bookmarkEnd w:id="27"/>
    <w:p w14:paraId="3496C07B" w14:textId="77777777" w:rsidR="00B32000" w:rsidRPr="00FB1DCB" w:rsidRDefault="00B32000" w:rsidP="00B32000"/>
    <w:p w14:paraId="6FF77219" w14:textId="77777777" w:rsidR="00B32000" w:rsidRDefault="00B32000" w:rsidP="00B32000"/>
    <w:p w14:paraId="02E12D42" w14:textId="77777777" w:rsidR="00B32000" w:rsidRDefault="00B32000" w:rsidP="00B32000"/>
    <w:p w14:paraId="13920057" w14:textId="77777777" w:rsidR="00B32000" w:rsidRPr="00FB1DCB" w:rsidRDefault="00B32000" w:rsidP="00B32000"/>
    <w:p w14:paraId="6ECBC3C6" w14:textId="77777777" w:rsidR="00B32000" w:rsidRDefault="00B32000" w:rsidP="00B32000"/>
    <w:p w14:paraId="1A227127" w14:textId="77777777" w:rsidR="00B32000" w:rsidRDefault="00B32000" w:rsidP="00B32000"/>
    <w:p w14:paraId="365BA023" w14:textId="77777777" w:rsidR="00B32000" w:rsidRPr="00FB1DCB" w:rsidRDefault="00B32000" w:rsidP="00B32000"/>
    <w:p w14:paraId="741B36AE" w14:textId="77777777" w:rsidR="00B32000" w:rsidRDefault="00B32000" w:rsidP="00B32000">
      <w:pPr>
        <w:jc w:val="both"/>
        <w:rPr>
          <w:rFonts w:ascii="Palatino Linotype" w:hAnsi="Palatino Linotype" w:cstheme="minorHAnsi"/>
          <w:color w:val="373545" w:themeColor="text2"/>
        </w:rPr>
      </w:pPr>
    </w:p>
    <w:p w14:paraId="5ECF8FC0" w14:textId="759D5B17" w:rsidR="00B32000" w:rsidRDefault="00B32000">
      <w:pPr>
        <w:rPr>
          <w:rFonts w:ascii="Palatino Linotype" w:hAnsi="Palatino Linotype" w:cstheme="minorHAnsi"/>
          <w:color w:val="373545" w:themeColor="text2"/>
        </w:rPr>
      </w:pPr>
      <w:r>
        <w:rPr>
          <w:rFonts w:ascii="Palatino Linotype" w:hAnsi="Palatino Linotype" w:cstheme="minorHAnsi"/>
          <w:color w:val="373545" w:themeColor="text2"/>
        </w:rPr>
        <w:br w:type="page"/>
      </w:r>
    </w:p>
    <w:p w14:paraId="45A43E7B" w14:textId="560C0A9C" w:rsidR="00B32000" w:rsidRDefault="004E7536" w:rsidP="00B32000">
      <w:pPr>
        <w:pStyle w:val="Titre2"/>
      </w:pPr>
      <w:bookmarkStart w:id="29" w:name="_Toc189646648"/>
      <w:bookmarkEnd w:id="28"/>
      <w:r w:rsidRPr="004E7536">
        <w:lastRenderedPageBreak/>
        <w:t xml:space="preserve">Formation des agents intervenant sur site </w:t>
      </w:r>
      <w:r w:rsidR="00A41F7B">
        <w:t>(5 points)</w:t>
      </w:r>
      <w:bookmarkEnd w:id="29"/>
    </w:p>
    <w:p w14:paraId="2B6D320E" w14:textId="4A882BDF" w:rsidR="004E7536" w:rsidRPr="00A21556" w:rsidRDefault="004E7536" w:rsidP="004E7536">
      <w:pPr>
        <w:rPr>
          <w:i/>
          <w:iCs/>
        </w:rPr>
      </w:pPr>
      <w:r w:rsidRPr="00A21556">
        <w:rPr>
          <w:i/>
          <w:iCs/>
        </w:rPr>
        <w:t>(</w:t>
      </w:r>
      <w:r>
        <w:rPr>
          <w:i/>
          <w:iCs/>
        </w:rPr>
        <w:t>le candidat détaille l’ensembles des actions et mesures</w:t>
      </w:r>
      <w:r w:rsidR="00A41F7B">
        <w:rPr>
          <w:i/>
          <w:iCs/>
        </w:rPr>
        <w:t xml:space="preserve"> liées à la formation (au-delà des minimas règlementaires) de ses agents et encadrants, </w:t>
      </w:r>
      <w:r>
        <w:rPr>
          <w:i/>
          <w:iCs/>
        </w:rPr>
        <w:t>prise</w:t>
      </w:r>
      <w:r w:rsidR="00A41F7B">
        <w:rPr>
          <w:i/>
          <w:iCs/>
        </w:rPr>
        <w:t>s</w:t>
      </w:r>
      <w:r>
        <w:rPr>
          <w:i/>
          <w:iCs/>
        </w:rPr>
        <w:t xml:space="preserve"> </w:t>
      </w:r>
      <w:r w:rsidRPr="004E7536">
        <w:rPr>
          <w:i/>
          <w:iCs/>
        </w:rPr>
        <w:t xml:space="preserve">dans le cadre de la </w:t>
      </w:r>
      <w:r>
        <w:rPr>
          <w:i/>
          <w:iCs/>
        </w:rPr>
        <w:t xml:space="preserve">réalisation </w:t>
      </w:r>
      <w:r w:rsidRPr="004E7536">
        <w:rPr>
          <w:i/>
          <w:iCs/>
        </w:rPr>
        <w:t xml:space="preserve">des prestations </w:t>
      </w:r>
      <w:r>
        <w:rPr>
          <w:i/>
          <w:iCs/>
        </w:rPr>
        <w:t xml:space="preserve">objet du marché et </w:t>
      </w:r>
      <w:r w:rsidRPr="004E7536">
        <w:rPr>
          <w:i/>
          <w:iCs/>
        </w:rPr>
        <w:t xml:space="preserve">sur les sites de la </w:t>
      </w:r>
      <w:r>
        <w:rPr>
          <w:i/>
          <w:iCs/>
        </w:rPr>
        <w:t>CCI)</w:t>
      </w:r>
    </w:p>
    <w:p w14:paraId="10CE73AC" w14:textId="77777777" w:rsidR="004C100D" w:rsidRDefault="004C100D" w:rsidP="004C100D"/>
    <w:p w14:paraId="54F41249" w14:textId="77777777" w:rsidR="004E7536" w:rsidRDefault="004E7536" w:rsidP="004C100D"/>
    <w:p w14:paraId="5B38568A" w14:textId="77777777" w:rsidR="004C100D" w:rsidRDefault="004C100D" w:rsidP="004C100D"/>
    <w:p w14:paraId="43A92F27" w14:textId="77777777" w:rsidR="00E72232" w:rsidRDefault="00E72232" w:rsidP="004C100D"/>
    <w:p w14:paraId="4DA31B34" w14:textId="77777777" w:rsidR="00E72232" w:rsidRPr="00FB1DCB" w:rsidRDefault="00E72232" w:rsidP="004C100D"/>
    <w:bookmarkEnd w:id="3"/>
    <w:bookmarkEnd w:id="4"/>
    <w:bookmarkEnd w:id="5"/>
    <w:bookmarkEnd w:id="6"/>
    <w:sectPr w:rsidR="00E72232" w:rsidRPr="00FB1DCB" w:rsidSect="00FA62AD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CD884" w14:textId="77777777" w:rsidR="007A67DB" w:rsidRDefault="007A67DB" w:rsidP="00E907EE">
      <w:pPr>
        <w:spacing w:after="0" w:line="240" w:lineRule="auto"/>
      </w:pPr>
      <w:r>
        <w:separator/>
      </w:r>
    </w:p>
  </w:endnote>
  <w:endnote w:type="continuationSeparator" w:id="0">
    <w:p w14:paraId="1A2BF63A" w14:textId="77777777" w:rsidR="007A67DB" w:rsidRDefault="007A67DB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-189681526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918712780"/>
          <w:docPartObj>
            <w:docPartGallery w:val="Page Numbers (Top of Page)"/>
            <w:docPartUnique/>
          </w:docPartObj>
        </w:sdtPr>
        <w:sdtContent>
          <w:p w14:paraId="711F97DA" w14:textId="3F418CC8" w:rsidR="00812BC8" w:rsidRPr="00812BC8" w:rsidRDefault="00812BC8">
            <w:pPr>
              <w:pStyle w:val="Pieddepage"/>
              <w:rPr>
                <w:rFonts w:ascii="Arial" w:hAnsi="Arial" w:cs="Arial"/>
              </w:rPr>
            </w:pPr>
            <w:r w:rsidRPr="00812BC8">
              <w:rPr>
                <w:rFonts w:ascii="Arial" w:hAnsi="Arial" w:cs="Arial"/>
              </w:rPr>
              <w:t xml:space="preserve">CMT </w:t>
            </w:r>
            <w:r>
              <w:rPr>
                <w:rFonts w:ascii="Arial" w:hAnsi="Arial" w:cs="Arial"/>
              </w:rPr>
              <w:t xml:space="preserve">Lot n°1 </w:t>
            </w:r>
            <w:r w:rsidRPr="00812BC8">
              <w:rPr>
                <w:rFonts w:ascii="Arial" w:hAnsi="Arial" w:cs="Arial"/>
              </w:rPr>
              <w:t xml:space="preserve">Nettoyage des </w:t>
            </w:r>
            <w:r>
              <w:rPr>
                <w:rFonts w:ascii="Arial" w:hAnsi="Arial" w:cs="Arial"/>
              </w:rPr>
              <w:t>locaux et vitrerie des sites CCINCA</w:t>
            </w:r>
            <w:r w:rsidRPr="00812BC8">
              <w:rPr>
                <w:rFonts w:ascii="Arial" w:hAnsi="Arial" w:cs="Arial"/>
              </w:rPr>
              <w:tab/>
              <w:t xml:space="preserve">Page </w:t>
            </w:r>
            <w:r w:rsidRPr="00812BC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12BC8">
              <w:rPr>
                <w:rFonts w:ascii="Arial" w:hAnsi="Arial" w:cs="Arial"/>
                <w:b/>
                <w:bCs/>
              </w:rPr>
              <w:instrText>PAGE</w:instrText>
            </w:r>
            <w:r w:rsidRPr="00812BC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5</w:t>
            </w:r>
            <w:r w:rsidRPr="00812BC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812BC8">
              <w:rPr>
                <w:rFonts w:ascii="Arial" w:hAnsi="Arial" w:cs="Arial"/>
              </w:rPr>
              <w:t xml:space="preserve"> sur </w:t>
            </w:r>
            <w:r w:rsidRPr="00812BC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12BC8">
              <w:rPr>
                <w:rFonts w:ascii="Arial" w:hAnsi="Arial" w:cs="Arial"/>
                <w:b/>
                <w:bCs/>
              </w:rPr>
              <w:instrText>NUMPAGES</w:instrText>
            </w:r>
            <w:r w:rsidRPr="00812BC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7</w:t>
            </w:r>
            <w:r w:rsidRPr="00812BC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33F646D9" w:rsidR="005944A2" w:rsidRPr="00812BC8" w:rsidRDefault="00812BC8" w:rsidP="00255273">
            <w:pPr>
              <w:pStyle w:val="Pieddepage"/>
              <w:rPr>
                <w:rFonts w:ascii="Arial" w:hAnsi="Arial" w:cs="Arial"/>
              </w:rPr>
            </w:pPr>
            <w:r w:rsidRPr="00812BC8">
              <w:rPr>
                <w:rFonts w:ascii="Arial" w:hAnsi="Arial" w:cs="Arial"/>
              </w:rPr>
              <w:t xml:space="preserve">CMT </w:t>
            </w:r>
            <w:r>
              <w:rPr>
                <w:rFonts w:ascii="Arial" w:hAnsi="Arial" w:cs="Arial"/>
              </w:rPr>
              <w:t xml:space="preserve">Lot n°1 </w:t>
            </w:r>
            <w:r w:rsidRPr="00812BC8">
              <w:rPr>
                <w:rFonts w:ascii="Arial" w:hAnsi="Arial" w:cs="Arial"/>
              </w:rPr>
              <w:t xml:space="preserve">Nettoyage des </w:t>
            </w:r>
            <w:r>
              <w:rPr>
                <w:rFonts w:ascii="Arial" w:hAnsi="Arial" w:cs="Arial"/>
              </w:rPr>
              <w:t>locaux et vitrerie des sites CCINCA</w:t>
            </w:r>
            <w:r w:rsidR="002978B3" w:rsidRPr="00812BC8">
              <w:rPr>
                <w:rFonts w:ascii="Arial" w:hAnsi="Arial" w:cs="Arial"/>
              </w:rPr>
              <w:tab/>
            </w:r>
            <w:r w:rsidR="0079101C" w:rsidRPr="00812BC8">
              <w:rPr>
                <w:rFonts w:ascii="Arial" w:hAnsi="Arial" w:cs="Arial"/>
              </w:rPr>
              <w:t xml:space="preserve">Page </w:t>
            </w:r>
            <w:r w:rsidR="0079101C" w:rsidRPr="00812BC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79101C" w:rsidRPr="00812BC8">
              <w:rPr>
                <w:rFonts w:ascii="Arial" w:hAnsi="Arial" w:cs="Arial"/>
                <w:b/>
                <w:bCs/>
              </w:rPr>
              <w:instrText>PAGE</w:instrText>
            </w:r>
            <w:r w:rsidR="0079101C" w:rsidRPr="00812BC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79101C" w:rsidRPr="00812BC8">
              <w:rPr>
                <w:rFonts w:ascii="Arial" w:hAnsi="Arial" w:cs="Arial"/>
                <w:b/>
                <w:bCs/>
              </w:rPr>
              <w:t>2</w:t>
            </w:r>
            <w:r w:rsidR="0079101C" w:rsidRPr="00812BC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79101C" w:rsidRPr="00812BC8">
              <w:rPr>
                <w:rFonts w:ascii="Arial" w:hAnsi="Arial" w:cs="Arial"/>
              </w:rPr>
              <w:t xml:space="preserve"> sur </w:t>
            </w:r>
            <w:r w:rsidR="0079101C" w:rsidRPr="00812BC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79101C" w:rsidRPr="00812BC8">
              <w:rPr>
                <w:rFonts w:ascii="Arial" w:hAnsi="Arial" w:cs="Arial"/>
                <w:b/>
                <w:bCs/>
              </w:rPr>
              <w:instrText>NUMPAGES</w:instrText>
            </w:r>
            <w:r w:rsidR="0079101C" w:rsidRPr="00812BC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79101C" w:rsidRPr="00812BC8">
              <w:rPr>
                <w:rFonts w:ascii="Arial" w:hAnsi="Arial" w:cs="Arial"/>
                <w:b/>
                <w:bCs/>
              </w:rPr>
              <w:t>2</w:t>
            </w:r>
            <w:r w:rsidR="0079101C" w:rsidRPr="00812BC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DFBDF" w14:textId="77777777" w:rsidR="007A67DB" w:rsidRDefault="007A67DB" w:rsidP="00E907EE">
      <w:pPr>
        <w:spacing w:after="0" w:line="240" w:lineRule="auto"/>
      </w:pPr>
      <w:r>
        <w:separator/>
      </w:r>
    </w:p>
  </w:footnote>
  <w:footnote w:type="continuationSeparator" w:id="0">
    <w:p w14:paraId="7ABE8F64" w14:textId="77777777" w:rsidR="007A67DB" w:rsidRDefault="007A67DB" w:rsidP="00E90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16B51" w14:textId="57B57B9D" w:rsidR="00812BC8" w:rsidRDefault="00812BC8">
    <w:pPr>
      <w:pStyle w:val="En-tte"/>
    </w:pPr>
    <w:r>
      <w:rPr>
        <w:rFonts w:ascii="Fira Sans" w:hAnsi="Fira Sans"/>
        <w:b/>
        <w:bCs/>
        <w:noProof/>
        <w:sz w:val="28"/>
        <w:szCs w:val="28"/>
      </w:rPr>
      <w:drawing>
        <wp:anchor distT="0" distB="0" distL="114300" distR="114300" simplePos="0" relativeHeight="251663360" behindDoc="0" locked="0" layoutInCell="1" allowOverlap="1" wp14:anchorId="305F116C" wp14:editId="09DCD1DA">
          <wp:simplePos x="0" y="0"/>
          <wp:positionH relativeFrom="margin">
            <wp:align>center</wp:align>
          </wp:positionH>
          <wp:positionV relativeFrom="paragraph">
            <wp:posOffset>501650</wp:posOffset>
          </wp:positionV>
          <wp:extent cx="1651000" cy="734148"/>
          <wp:effectExtent l="0" t="0" r="6350" b="8890"/>
          <wp:wrapNone/>
          <wp:docPr id="1763837141" name="Image 4" descr="Une image contenant Police, Graphique, symbol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6587375" name="Image 4" descr="Une image contenant Police, Graphique, symbole, logo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1000" cy="7341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CE887" w14:textId="53B788AE" w:rsidR="004C100D" w:rsidRPr="00C431E6" w:rsidRDefault="004C100D" w:rsidP="00C431E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8E25CD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084184276" o:spid="_x0000_i1025" type="#_x0000_t75" style="width:14.5pt;height:14.5pt;visibility:visible;mso-wrap-style:square">
            <v:imagedata r:id="rId1" o:title=""/>
          </v:shape>
        </w:pict>
      </mc:Choice>
      <mc:Fallback>
        <w:drawing>
          <wp:inline distT="0" distB="0" distL="0" distR="0" wp14:anchorId="5897FF1B">
            <wp:extent cx="184150" cy="184150"/>
            <wp:effectExtent l="0" t="0" r="0" b="0"/>
            <wp:docPr id="2084184276" name="Image 2084184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45EF1FF6" id="Image 207562461" o:spid="_x0000_i1025" type="#_x0000_t75" style="width:14.5pt;height:14.5pt;visibility:visible;mso-wrap-style:square">
            <v:imagedata r:id="rId3" o:title=""/>
          </v:shape>
        </w:pict>
      </mc:Choice>
      <mc:Fallback>
        <w:drawing>
          <wp:inline distT="0" distB="0" distL="0" distR="0" wp14:anchorId="01A7AB86">
            <wp:extent cx="184150" cy="184150"/>
            <wp:effectExtent l="0" t="0" r="0" b="0"/>
            <wp:docPr id="207562461" name="Image 207562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4FF921E6" id="Image 2003398265" o:spid="_x0000_i1025" type="#_x0000_t75" style="width:1070pt;height:567pt;visibility:visible;mso-wrap-style:square">
            <v:imagedata r:id="rId5" o:title=""/>
          </v:shape>
        </w:pict>
      </mc:Choice>
      <mc:Fallback>
        <w:drawing>
          <wp:inline distT="0" distB="0" distL="0" distR="0" wp14:anchorId="5CABB74A">
            <wp:extent cx="13589000" cy="7200900"/>
            <wp:effectExtent l="0" t="0" r="0" b="0"/>
            <wp:docPr id="2003398265" name="Image 2003398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5E647F4"/>
    <w:multiLevelType w:val="hybridMultilevel"/>
    <w:tmpl w:val="3146C3B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9D16E7"/>
    <w:multiLevelType w:val="multilevel"/>
    <w:tmpl w:val="0F78C324"/>
    <w:lvl w:ilvl="0">
      <w:start w:val="1"/>
      <w:numFmt w:val="decimal"/>
      <w:pStyle w:val="Titre1"/>
      <w:lvlText w:val="ARTICLE %1 - 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Titre2"/>
      <w:lvlText w:val="%1.%2"/>
      <w:lvlJc w:val="left"/>
      <w:pPr>
        <w:ind w:left="718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390C24"/>
    <w:multiLevelType w:val="hybridMultilevel"/>
    <w:tmpl w:val="835CC7CC"/>
    <w:lvl w:ilvl="0" w:tplc="4F386CE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A495D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4"/>
  </w:num>
  <w:num w:numId="2" w16cid:durableId="2127578631">
    <w:abstractNumId w:val="10"/>
  </w:num>
  <w:num w:numId="3" w16cid:durableId="1455753098">
    <w:abstractNumId w:val="1"/>
  </w:num>
  <w:num w:numId="4" w16cid:durableId="1672562642">
    <w:abstractNumId w:val="6"/>
  </w:num>
  <w:num w:numId="5" w16cid:durableId="718869573">
    <w:abstractNumId w:val="13"/>
  </w:num>
  <w:num w:numId="6" w16cid:durableId="187106144">
    <w:abstractNumId w:val="7"/>
  </w:num>
  <w:num w:numId="7" w16cid:durableId="1422682541">
    <w:abstractNumId w:val="8"/>
  </w:num>
  <w:num w:numId="8" w16cid:durableId="1615097391">
    <w:abstractNumId w:val="11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2"/>
  </w:num>
  <w:num w:numId="11" w16cid:durableId="801726455">
    <w:abstractNumId w:val="5"/>
  </w:num>
  <w:num w:numId="12" w16cid:durableId="1782721427">
    <w:abstractNumId w:val="3"/>
  </w:num>
  <w:num w:numId="13" w16cid:durableId="1499954719">
    <w:abstractNumId w:val="4"/>
  </w:num>
  <w:num w:numId="14" w16cid:durableId="1340738791">
    <w:abstractNumId w:val="9"/>
  </w:num>
  <w:num w:numId="15" w16cid:durableId="1481850346">
    <w:abstractNumId w:val="4"/>
  </w:num>
  <w:num w:numId="16" w16cid:durableId="1913155670">
    <w:abstractNumId w:val="4"/>
  </w:num>
  <w:num w:numId="17" w16cid:durableId="1223906480">
    <w:abstractNumId w:val="4"/>
  </w:num>
  <w:num w:numId="18" w16cid:durableId="89395675">
    <w:abstractNumId w:val="4"/>
  </w:num>
  <w:num w:numId="19" w16cid:durableId="1585187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72146"/>
    <w:rsid w:val="000848C2"/>
    <w:rsid w:val="000C0256"/>
    <w:rsid w:val="000C153C"/>
    <w:rsid w:val="000C4390"/>
    <w:rsid w:val="000C5224"/>
    <w:rsid w:val="000D556A"/>
    <w:rsid w:val="00137F83"/>
    <w:rsid w:val="00142316"/>
    <w:rsid w:val="0015073D"/>
    <w:rsid w:val="00155549"/>
    <w:rsid w:val="00172613"/>
    <w:rsid w:val="001A0E92"/>
    <w:rsid w:val="001B7972"/>
    <w:rsid w:val="001E2986"/>
    <w:rsid w:val="001F29BB"/>
    <w:rsid w:val="001F4FDE"/>
    <w:rsid w:val="0020406A"/>
    <w:rsid w:val="002448AF"/>
    <w:rsid w:val="00255273"/>
    <w:rsid w:val="00262A99"/>
    <w:rsid w:val="00264768"/>
    <w:rsid w:val="002978B3"/>
    <w:rsid w:val="002B577C"/>
    <w:rsid w:val="002D6814"/>
    <w:rsid w:val="002E248F"/>
    <w:rsid w:val="00341147"/>
    <w:rsid w:val="003474F5"/>
    <w:rsid w:val="00396DFF"/>
    <w:rsid w:val="003B4BAB"/>
    <w:rsid w:val="003B4F53"/>
    <w:rsid w:val="00414C70"/>
    <w:rsid w:val="00432E1F"/>
    <w:rsid w:val="004529FC"/>
    <w:rsid w:val="00456947"/>
    <w:rsid w:val="00457C8B"/>
    <w:rsid w:val="00475021"/>
    <w:rsid w:val="00492C41"/>
    <w:rsid w:val="0049348A"/>
    <w:rsid w:val="004A706C"/>
    <w:rsid w:val="004C100D"/>
    <w:rsid w:val="004C1AFE"/>
    <w:rsid w:val="004C2FF7"/>
    <w:rsid w:val="004E7536"/>
    <w:rsid w:val="00514DEA"/>
    <w:rsid w:val="005274DE"/>
    <w:rsid w:val="005878F5"/>
    <w:rsid w:val="00592473"/>
    <w:rsid w:val="005944A2"/>
    <w:rsid w:val="005D336D"/>
    <w:rsid w:val="005E1B40"/>
    <w:rsid w:val="0063402F"/>
    <w:rsid w:val="00653D61"/>
    <w:rsid w:val="00686B25"/>
    <w:rsid w:val="006B748C"/>
    <w:rsid w:val="006D42A0"/>
    <w:rsid w:val="006D5822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5998"/>
    <w:rsid w:val="007A67DB"/>
    <w:rsid w:val="007B1910"/>
    <w:rsid w:val="007B4BAD"/>
    <w:rsid w:val="007B4C97"/>
    <w:rsid w:val="007E0F2D"/>
    <w:rsid w:val="00812BC8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7204"/>
    <w:rsid w:val="008B28EC"/>
    <w:rsid w:val="008B5D6C"/>
    <w:rsid w:val="008C03B9"/>
    <w:rsid w:val="008C047A"/>
    <w:rsid w:val="008E44A6"/>
    <w:rsid w:val="008E613C"/>
    <w:rsid w:val="008F6EA4"/>
    <w:rsid w:val="009218A8"/>
    <w:rsid w:val="00946730"/>
    <w:rsid w:val="00951AB5"/>
    <w:rsid w:val="00972AF7"/>
    <w:rsid w:val="00987A2D"/>
    <w:rsid w:val="00991FEF"/>
    <w:rsid w:val="009929CE"/>
    <w:rsid w:val="00992B4C"/>
    <w:rsid w:val="009B627D"/>
    <w:rsid w:val="009C212C"/>
    <w:rsid w:val="009C7604"/>
    <w:rsid w:val="009F132B"/>
    <w:rsid w:val="00A048C4"/>
    <w:rsid w:val="00A17538"/>
    <w:rsid w:val="00A21556"/>
    <w:rsid w:val="00A32A5B"/>
    <w:rsid w:val="00A41F7B"/>
    <w:rsid w:val="00A507D6"/>
    <w:rsid w:val="00A56701"/>
    <w:rsid w:val="00A63204"/>
    <w:rsid w:val="00A70769"/>
    <w:rsid w:val="00A910D7"/>
    <w:rsid w:val="00AB38DD"/>
    <w:rsid w:val="00AD5016"/>
    <w:rsid w:val="00AE3958"/>
    <w:rsid w:val="00AE4258"/>
    <w:rsid w:val="00B04C5F"/>
    <w:rsid w:val="00B20EAF"/>
    <w:rsid w:val="00B301DF"/>
    <w:rsid w:val="00B32000"/>
    <w:rsid w:val="00B64013"/>
    <w:rsid w:val="00B8700B"/>
    <w:rsid w:val="00BE4D77"/>
    <w:rsid w:val="00BE7595"/>
    <w:rsid w:val="00C27E74"/>
    <w:rsid w:val="00C4213E"/>
    <w:rsid w:val="00C6377B"/>
    <w:rsid w:val="00C67329"/>
    <w:rsid w:val="00C74B59"/>
    <w:rsid w:val="00C80EB1"/>
    <w:rsid w:val="00C93F17"/>
    <w:rsid w:val="00C941E3"/>
    <w:rsid w:val="00CB573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5217C"/>
    <w:rsid w:val="00DA2A5D"/>
    <w:rsid w:val="00DD2BBF"/>
    <w:rsid w:val="00DF5F1D"/>
    <w:rsid w:val="00E157B8"/>
    <w:rsid w:val="00E15E72"/>
    <w:rsid w:val="00E5163D"/>
    <w:rsid w:val="00E56A54"/>
    <w:rsid w:val="00E634C9"/>
    <w:rsid w:val="00E72232"/>
    <w:rsid w:val="00E722E1"/>
    <w:rsid w:val="00E7671F"/>
    <w:rsid w:val="00E81E3A"/>
    <w:rsid w:val="00E8471E"/>
    <w:rsid w:val="00E907EE"/>
    <w:rsid w:val="00EA1D32"/>
    <w:rsid w:val="00EA285C"/>
    <w:rsid w:val="00EA7C1D"/>
    <w:rsid w:val="00EB2201"/>
    <w:rsid w:val="00ED319F"/>
    <w:rsid w:val="00ED7AAB"/>
    <w:rsid w:val="00EE6036"/>
    <w:rsid w:val="00F012B2"/>
    <w:rsid w:val="00F013F0"/>
    <w:rsid w:val="00F432A0"/>
    <w:rsid w:val="00F770A5"/>
    <w:rsid w:val="00F803E3"/>
    <w:rsid w:val="00F80654"/>
    <w:rsid w:val="00F868EF"/>
    <w:rsid w:val="00F86F6E"/>
    <w:rsid w:val="00F90AC4"/>
    <w:rsid w:val="00F93CA2"/>
    <w:rsid w:val="00FA62AD"/>
    <w:rsid w:val="00FA67CB"/>
    <w:rsid w:val="00FA67F6"/>
    <w:rsid w:val="00FB06E8"/>
    <w:rsid w:val="00FB696C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536"/>
  </w:style>
  <w:style w:type="paragraph" w:styleId="Titre1">
    <w:name w:val="heading 1"/>
    <w:basedOn w:val="Normal"/>
    <w:next w:val="Normal"/>
    <w:link w:val="Titre1Car"/>
    <w:uiPriority w:val="9"/>
    <w:qFormat/>
    <w:rsid w:val="004C100D"/>
    <w:pPr>
      <w:keepLines/>
      <w:numPr>
        <w:numId w:val="13"/>
      </w:numPr>
      <w:shd w:val="clear" w:color="auto" w:fill="D4EAF3" w:themeFill="accent1" w:themeFillTint="33"/>
      <w:spacing w:before="360" w:after="240" w:line="240" w:lineRule="auto"/>
      <w:ind w:left="2268" w:hanging="2268"/>
      <w:outlineLvl w:val="0"/>
    </w:pPr>
    <w:rPr>
      <w:rFonts w:ascii="Aptos" w:eastAsia="Times New Roman" w:hAnsi="Aptos" w:cstheme="minorHAnsi"/>
      <w:b/>
      <w:caps/>
      <w:color w:val="276E8B" w:themeColor="accent1" w:themeShade="BF"/>
      <w:w w:val="105"/>
      <w:sz w:val="36"/>
      <w:szCs w:val="36"/>
      <w:u w:val="single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C100D"/>
    <w:pPr>
      <w:keepLines/>
      <w:numPr>
        <w:ilvl w:val="1"/>
        <w:numId w:val="13"/>
      </w:numPr>
      <w:pBdr>
        <w:bottom w:val="single" w:sz="8" w:space="1" w:color="2683C6" w:themeColor="accent6"/>
      </w:pBdr>
      <w:spacing w:before="360" w:after="240" w:line="240" w:lineRule="auto"/>
      <w:ind w:left="993" w:hanging="993"/>
      <w:outlineLvl w:val="1"/>
    </w:pPr>
    <w:rPr>
      <w:rFonts w:ascii="Aptos" w:eastAsia="Times New Roman" w:hAnsi="Aptos" w:cstheme="minorHAnsi"/>
      <w:b/>
      <w:caps/>
      <w:color w:val="276E8B" w:themeColor="accent1" w:themeShade="BF"/>
      <w:sz w:val="32"/>
      <w:szCs w:val="32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C100D"/>
    <w:pPr>
      <w:keepLines/>
      <w:numPr>
        <w:ilvl w:val="2"/>
        <w:numId w:val="13"/>
      </w:numPr>
      <w:spacing w:before="360" w:after="240" w:line="240" w:lineRule="auto"/>
      <w:outlineLvl w:val="2"/>
    </w:pPr>
    <w:rPr>
      <w:rFonts w:ascii="Aptos" w:eastAsia="Times New Roman" w:hAnsi="Aptos" w:cstheme="minorHAnsi"/>
      <w:b/>
      <w:color w:val="276E8B" w:themeColor="accent1" w:themeShade="BF"/>
      <w:sz w:val="28"/>
      <w:szCs w:val="28"/>
      <w:u w:val="single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C100D"/>
    <w:pPr>
      <w:numPr>
        <w:ilvl w:val="3"/>
        <w:numId w:val="13"/>
      </w:numPr>
      <w:suppressAutoHyphens/>
      <w:spacing w:before="360" w:after="240" w:line="240" w:lineRule="auto"/>
      <w:jc w:val="both"/>
      <w:outlineLvl w:val="3"/>
    </w:pPr>
    <w:rPr>
      <w:rFonts w:ascii="Aptos" w:eastAsiaTheme="majorEastAsia" w:hAnsi="Aptos" w:cstheme="minorHAnsi"/>
      <w:color w:val="276E8B" w:themeColor="accent1" w:themeShade="BF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Listes Car,Conclu Car,ADEME Paragraphe de liste Car,puces Car,Normal avec puces tirets Car,Paragraphe 2 Car,Normal bullet 2 Car,Bullet list Car,Numbered List Car,1st level - Bullet List Paragraph Car,Lettre d'introduction Car"/>
    <w:link w:val="Paragraphedeliste"/>
    <w:uiPriority w:val="1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Listes,Conclu,ADEME Paragraphe de liste,puces,Normal avec puces tirets,Paragraphe 2,Normal bullet 2,Bullet list,Numbered List,1st level - Bullet List Paragraph,Lettre d'introduction,Paragraph,normal,PADE_liste,Normal avec puce,lp1"/>
    <w:basedOn w:val="Normal"/>
    <w:link w:val="ParagraphedelisteCar"/>
    <w:uiPriority w:val="1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uiPriority w:val="99"/>
    <w:rsid w:val="00B301DF"/>
    <w:rPr>
      <w:color w:val="6B9F25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qFormat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qFormat/>
    <w:rsid w:val="004C100D"/>
    <w:rPr>
      <w:rFonts w:ascii="Aptos" w:eastAsia="Times New Roman" w:hAnsi="Aptos" w:cstheme="minorHAnsi"/>
      <w:b/>
      <w:caps/>
      <w:color w:val="276E8B" w:themeColor="accent1" w:themeShade="BF"/>
      <w:w w:val="105"/>
      <w:sz w:val="36"/>
      <w:szCs w:val="36"/>
      <w:u w:val="single"/>
      <w:shd w:val="clear" w:color="auto" w:fill="D4EAF3" w:themeFill="accent1" w:themeFillTint="33"/>
      <w:lang w:eastAsia="fr-FR"/>
    </w:rPr>
  </w:style>
  <w:style w:type="character" w:customStyle="1" w:styleId="Titre2Car">
    <w:name w:val="Titre 2 Car"/>
    <w:basedOn w:val="Policepardfaut"/>
    <w:link w:val="Titre2"/>
    <w:uiPriority w:val="9"/>
    <w:qFormat/>
    <w:rsid w:val="004C100D"/>
    <w:rPr>
      <w:rFonts w:ascii="Aptos" w:eastAsia="Times New Roman" w:hAnsi="Aptos" w:cstheme="minorHAnsi"/>
      <w:b/>
      <w:caps/>
      <w:color w:val="276E8B" w:themeColor="accent1" w:themeShade="BF"/>
      <w:sz w:val="32"/>
      <w:szCs w:val="32"/>
      <w:lang w:eastAsia="fr-FR"/>
    </w:rPr>
  </w:style>
  <w:style w:type="character" w:customStyle="1" w:styleId="Titre3Car">
    <w:name w:val="Titre 3 Car"/>
    <w:basedOn w:val="Policepardfaut"/>
    <w:link w:val="Titre3"/>
    <w:uiPriority w:val="9"/>
    <w:qFormat/>
    <w:rsid w:val="004C100D"/>
    <w:rPr>
      <w:rFonts w:ascii="Aptos" w:eastAsia="Times New Roman" w:hAnsi="Aptos" w:cstheme="minorHAnsi"/>
      <w:b/>
      <w:color w:val="276E8B" w:themeColor="accent1" w:themeShade="BF"/>
      <w:sz w:val="28"/>
      <w:szCs w:val="28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4C100D"/>
    <w:rPr>
      <w:rFonts w:ascii="Aptos" w:eastAsiaTheme="majorEastAsia" w:hAnsi="Aptos" w:cstheme="minorHAnsi"/>
      <w:color w:val="276E8B" w:themeColor="accent1" w:themeShade="BF"/>
      <w:sz w:val="24"/>
      <w:szCs w:val="24"/>
      <w:u w:val="single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4C100D"/>
    <w:pPr>
      <w:pBdr>
        <w:top w:val="single" w:sz="12" w:space="1" w:color="373545" w:themeColor="text2"/>
        <w:left w:val="single" w:sz="12" w:space="4" w:color="373545" w:themeColor="text2"/>
        <w:bottom w:val="single" w:sz="12" w:space="1" w:color="373545" w:themeColor="text2"/>
        <w:right w:val="single" w:sz="12" w:space="4" w:color="373545" w:themeColor="text2"/>
      </w:pBdr>
      <w:shd w:val="clear" w:color="auto" w:fill="D4D3DD" w:themeFill="text2" w:themeFillTint="33"/>
      <w:tabs>
        <w:tab w:val="right" w:leader="dot" w:pos="10206"/>
      </w:tabs>
      <w:spacing w:before="60" w:after="60" w:line="240" w:lineRule="auto"/>
      <w:ind w:left="1418" w:hanging="1418"/>
    </w:pPr>
    <w:rPr>
      <w:rFonts w:ascii="Aptos" w:hAnsi="Aptos" w:cs="Times New Roman"/>
      <w:b/>
      <w:caps/>
      <w:noProof/>
      <w:color w:val="2683C6" w:themeColor="accent6"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C100D"/>
    <w:pPr>
      <w:tabs>
        <w:tab w:val="right" w:leader="dot" w:pos="9923"/>
      </w:tabs>
      <w:spacing w:before="40" w:after="40" w:line="240" w:lineRule="auto"/>
      <w:ind w:left="1276" w:hanging="992"/>
    </w:pPr>
    <w:rPr>
      <w:rFonts w:ascii="Aptos" w:hAnsi="Aptos"/>
      <w:b/>
      <w:caps/>
      <w:noProof/>
      <w:color w:val="276E8B" w:themeColor="accent1" w:themeShade="BF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4C100D"/>
    <w:pPr>
      <w:tabs>
        <w:tab w:val="left" w:pos="1276"/>
        <w:tab w:val="right" w:leader="dot" w:pos="9923"/>
      </w:tabs>
      <w:spacing w:before="20" w:after="20" w:line="240" w:lineRule="auto"/>
      <w:ind w:left="442"/>
    </w:pPr>
    <w:rPr>
      <w:rFonts w:ascii="Aptos" w:hAnsi="Aptos"/>
      <w:b/>
      <w:bCs/>
      <w:noProof/>
    </w:rPr>
  </w:style>
  <w:style w:type="character" w:styleId="Textedelespacerserv">
    <w:name w:val="Placeholder Text"/>
    <w:basedOn w:val="Policepardfaut"/>
    <w:uiPriority w:val="99"/>
    <w:semiHidden/>
    <w:rsid w:val="004C100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8.sv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leu vert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766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RÉPONSE TECHNIQUE (CRT)</vt:lpstr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RÉPONSE TECHNIQUE (CRT)</dc:title>
  <dc:subject/>
  <dc:creator>GUEYE Aida</dc:creator>
  <cp:keywords/>
  <dc:description/>
  <cp:lastModifiedBy>MAHOUDEAU Laetitia</cp:lastModifiedBy>
  <cp:revision>9</cp:revision>
  <cp:lastPrinted>2022-06-09T07:40:00Z</cp:lastPrinted>
  <dcterms:created xsi:type="dcterms:W3CDTF">2025-02-05T08:08:00Z</dcterms:created>
  <dcterms:modified xsi:type="dcterms:W3CDTF">2025-02-10T09:48:00Z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éférence">
    <vt:lpwstr>12</vt:lpwstr>
  </property>
  <property fmtid="{D5CDD505-2E9C-101B-9397-08002B2CF9AE}" pid="3" name="Objet">
    <vt:lpwstr>test</vt:lpwstr>
  </property>
</Properties>
</file>