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AA61C1" w:rsidRDefault="003F1608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AA61C1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EB873D" w14:textId="77777777" w:rsidR="003F1608" w:rsidRPr="00FC4057" w:rsidRDefault="003F1608" w:rsidP="003F160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FC4057">
              <w:rPr>
                <w:rFonts w:ascii="Arial" w:hAnsi="Arial" w:cs="Arial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AA61C1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319CA6EC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61BC8A4B" w14:textId="77777777" w:rsidR="000C76F4" w:rsidRPr="00AA61C1" w:rsidRDefault="003F1608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AA61C1" w:rsidRDefault="000C76F4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</w:p>
    <w:p w14:paraId="3AA731DA" w14:textId="77777777" w:rsidR="00274ECD" w:rsidRPr="000C1FE7" w:rsidRDefault="00274ECD" w:rsidP="00274ECD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0C1FE7">
        <w:rPr>
          <w:rFonts w:eastAsia="Arial" w:cs="Arial"/>
          <w:b/>
          <w:sz w:val="28"/>
          <w:szCs w:val="24"/>
        </w:rPr>
        <w:t>Achat d’un granulomètre laser</w:t>
      </w:r>
    </w:p>
    <w:p w14:paraId="3B303DF4" w14:textId="77777777" w:rsidR="00274ECD" w:rsidRPr="000C1FE7" w:rsidRDefault="00274ECD" w:rsidP="00274ECD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44C5979A" w:rsidR="000C76F4" w:rsidRPr="00AA61C1" w:rsidRDefault="00274ECD" w:rsidP="00274ECD">
      <w:pPr>
        <w:spacing w:line="240" w:lineRule="auto"/>
        <w:jc w:val="center"/>
        <w:rPr>
          <w:rFonts w:ascii="Arial" w:hAnsi="Arial" w:cs="Arial"/>
          <w:sz w:val="36"/>
          <w:szCs w:val="36"/>
          <w:highlight w:val="yellow"/>
        </w:rPr>
      </w:pPr>
      <w:r w:rsidRPr="000C1FE7">
        <w:rPr>
          <w:rFonts w:eastAsia="Arial" w:cs="Arial"/>
          <w:b/>
          <w:sz w:val="28"/>
          <w:szCs w:val="24"/>
        </w:rPr>
        <w:t>N°2025013MAF</w:t>
      </w:r>
      <w:r w:rsidRPr="00977BDA">
        <w:rPr>
          <w:rFonts w:eastAsia="Arial" w:cs="Arial"/>
          <w:b/>
          <w:sz w:val="28"/>
          <w:szCs w:val="24"/>
        </w:rPr>
        <w:t>O012</w:t>
      </w:r>
      <w:r w:rsidR="003F1608"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8E73282" w14:textId="77777777" w:rsidR="008407FA" w:rsidRPr="0098760A" w:rsidRDefault="008407FA" w:rsidP="009746E8">
      <w:pPr>
        <w:spacing w:line="240" w:lineRule="auto"/>
        <w:ind w:right="-285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8896A5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AC044AB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D174A81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19236C4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14BD97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5E18E87" w14:textId="77777777" w:rsidR="00636DE0" w:rsidRDefault="00636DE0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  <w:sectPr w:rsidR="00636DE0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AA61C1" w:rsidRDefault="000C76F4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AA61C1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 – </w:t>
            </w:r>
            <w:r w:rsidRPr="00AA61C1"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AA61C1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AA61C1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A61C1">
              <w:rPr>
                <w:rFonts w:ascii="Arial" w:hAnsi="Arial" w:cs="Arial"/>
              </w:rPr>
              <w:t>Esplanade de la Paix – CS 14032</w:t>
            </w:r>
          </w:p>
          <w:p w14:paraId="2F9E03E0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</w:rPr>
              <w:t>14032 CAEN CEDEX</w:t>
            </w:r>
          </w:p>
        </w:tc>
      </w:tr>
      <w:tr w:rsidR="00B75CE0" w:rsidRPr="00AA61C1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="001667EB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>résident de l’Université de Caen Normandie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ab/>
            </w:r>
          </w:p>
        </w:tc>
      </w:tr>
      <w:tr w:rsidR="00B75CE0" w:rsidRPr="00AA61C1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Default="000C564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AA61C1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AA61C1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II – IDENTIFICATION DU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TITULAIRE</w:t>
            </w:r>
          </w:p>
        </w:tc>
      </w:tr>
      <w:tr w:rsidR="00C52CD5" w:rsidRPr="006A0C26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6A0C26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 w:rsidRPr="00C52CD5">
              <w:rPr>
                <w:rFonts w:ascii="Arial" w:hAnsi="Arial" w:cs="Arial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98760A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6A0C26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98760A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6A0C26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98760A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98760A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</w:t>
            </w:r>
            <w:r w:rsidR="002852A4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AA61C1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98760A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AA61C1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2A767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C5646">
              <w:rPr>
                <w:rFonts w:ascii="Arial" w:hAnsi="Arial" w:cs="Arial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6A0C26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6A0C26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0C5646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98760A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Default="004B19E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  <w:sectPr w:rsidR="004B19E6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Default="009E5E6A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AA61C1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AA61C1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III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AA61C1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F5205E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5205E">
              <w:rPr>
                <w:rFonts w:ascii="Arial" w:hAnsi="Arial" w:cs="Arial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69270E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65667869" w:rsidR="0020551E" w:rsidRPr="0069270E" w:rsidRDefault="0065443A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ECD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69270E" w:rsidRDefault="0065443A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69270E" w:rsidRDefault="0065443A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AA61C1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3A07ED">
              <w:rPr>
                <w:rFonts w:ascii="Arial" w:hAnsi="Arial" w:cs="Arial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3A07ED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>Le délai d’exécution comprend la livraison,</w:t>
            </w:r>
            <w:r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l’installation,</w:t>
            </w: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272631BB" w:rsidR="00505EDA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  <w:t>Le délai d’exécution est de …</w:t>
            </w:r>
          </w:p>
          <w:p w14:paraId="15607AE6" w14:textId="77777777" w:rsidR="008407FA" w:rsidRPr="004D453F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Default="001B1F77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AA61C1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AA61C1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1B1F77">
              <w:rPr>
                <w:rFonts w:ascii="Arial" w:hAnsi="Arial" w:cs="Arial"/>
                <w:color w:val="000000"/>
                <w:sz w:val="32"/>
                <w:szCs w:val="32"/>
              </w:rPr>
              <w:t>I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AA61C1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(</w:t>
            </w:r>
            <w:proofErr w:type="gramStart"/>
            <w:r w:rsidRPr="00606BA2">
              <w:rPr>
                <w:rFonts w:ascii="Arial" w:hAnsi="Arial" w:cs="Arial"/>
                <w:color w:val="2E74B5" w:themeColor="accent1" w:themeShade="BF"/>
              </w:rPr>
              <w:t>en</w:t>
            </w:r>
            <w:proofErr w:type="gramEnd"/>
            <w:r w:rsidRPr="00606BA2">
              <w:rPr>
                <w:rFonts w:ascii="Arial" w:hAnsi="Arial" w:cs="Arial"/>
                <w:color w:val="2E74B5" w:themeColor="accent1" w:themeShade="BF"/>
              </w:rPr>
              <w:t xml:space="preserve"> chiffres</w:t>
            </w:r>
            <w:r w:rsidR="00273039">
              <w:rPr>
                <w:rFonts w:ascii="Arial" w:hAnsi="Arial" w:cs="Arial"/>
                <w:color w:val="2E74B5" w:themeColor="accent1" w:themeShade="BF"/>
              </w:rPr>
              <w:t xml:space="preserve"> et lettres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8407F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606BA2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AA61C1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Taux de TVA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606BA2" w:rsidRDefault="0065443A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606BA2" w:rsidRDefault="0065443A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606BA2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B33FA8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1B1F7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B33FA8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1B1F77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Avance : Uniquement si </w:t>
            </w:r>
            <w:r w:rsidR="00D02799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bon de commande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supérieur à 50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> 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000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€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HT et durée d’exécution supérieure à 2 mois</w:t>
            </w:r>
            <w:r w:rsidR="00BB7758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AA61C1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FB75BE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98760A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98760A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Default="009E5E6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2986234" w14:textId="7B9AE1B2" w:rsidR="00CE71D2" w:rsidRDefault="00CE71D2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7FD16B70" w14:textId="70698E13" w:rsidR="00BC7104" w:rsidRDefault="00BC7104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1C7C545C" w14:textId="77777777" w:rsidR="0065443A" w:rsidRPr="00AA61C1" w:rsidRDefault="0065443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AA61C1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1929F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Default="004B19E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1929F7" w:rsidRDefault="006A0C2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Default="006C095A" w:rsidP="004D0845">
            <w:pPr>
              <w:pStyle w:val="RedTxt"/>
              <w:jc w:val="both"/>
              <w:rPr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1929F7" w:rsidRDefault="006A0C26" w:rsidP="004D0845">
            <w:pPr>
              <w:pStyle w:val="RedTxt"/>
              <w:jc w:val="both"/>
              <w:rPr>
                <w:color w:val="2E74B5" w:themeColor="accent1" w:themeShade="BF"/>
                <w:sz w:val="20"/>
              </w:rPr>
            </w:pPr>
            <w:r>
              <w:rPr>
                <w:color w:val="2E74B5" w:themeColor="accent1" w:themeShade="BF"/>
                <w:sz w:val="20"/>
              </w:rPr>
              <w:t>Je m’</w:t>
            </w:r>
            <w:r w:rsidR="004D0845" w:rsidRPr="001929F7">
              <w:rPr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1929F7" w:rsidRDefault="004D0845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AA61C1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AA61C1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8496B0" w:themeColor="text2" w:themeTint="99"/>
              </w:rPr>
            </w:pPr>
          </w:p>
          <w:p w14:paraId="4F9CF27D" w14:textId="606BB542" w:rsidR="000C76F4" w:rsidRPr="001929F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>
              <w:rPr>
                <w:rFonts w:ascii="Arial" w:hAnsi="Arial" w:cs="Arial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1929F7">
              <w:rPr>
                <w:rFonts w:ascii="Arial" w:hAnsi="Arial" w:cs="Arial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8496B0" w:themeColor="text2" w:themeTint="99"/>
              </w:rPr>
            </w:pPr>
          </w:p>
        </w:tc>
      </w:tr>
      <w:tr w:rsidR="000C76F4" w:rsidRPr="00AA61C1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C600E2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="007245F4" w:rsidRPr="00BC7104">
              <w:rPr>
                <w:rFonts w:ascii="Arial" w:hAnsi="Arial" w:cs="Arial"/>
                <w:color w:val="2E74B5" w:themeColor="accent1" w:themeShade="BF"/>
              </w:rPr>
              <w:t>Signature</w:t>
            </w:r>
            <w:r w:rsidR="009809FF" w:rsidRPr="00BC7104">
              <w:rPr>
                <w:rFonts w:ascii="Arial" w:hAnsi="Arial" w:cs="Arial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C600E2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C600E2" w:rsidRDefault="00432D12" w:rsidP="00432D1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000000"/>
                <w:highlight w:val="yellow"/>
              </w:rPr>
            </w:pPr>
            <w:r w:rsidRPr="00C600E2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AA61C1" w:rsidRDefault="000C76F4" w:rsidP="000C76F4">
      <w:pPr>
        <w:rPr>
          <w:rFonts w:ascii="Arial" w:hAnsi="Arial" w:cs="Arial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DÉCISION DU POUVOIR ADJU</w:t>
            </w:r>
            <w:r w:rsidR="00503A18">
              <w:rPr>
                <w:rFonts w:ascii="Arial" w:hAnsi="Arial" w:cs="Arial"/>
                <w:color w:val="000000"/>
                <w:sz w:val="32"/>
                <w:szCs w:val="32"/>
              </w:rPr>
              <w:t>DI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803662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803662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3A41D503" w14:textId="77777777" w:rsidR="000C76F4" w:rsidRPr="003F222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B42273">
              <w:rPr>
                <w:rFonts w:ascii="Arial" w:hAnsi="Arial" w:cs="Arial"/>
                <w:bCs w:val="0"/>
                <w:color w:val="2E74B5" w:themeColor="accent1" w:themeShade="BF"/>
              </w:rPr>
              <w:t>La présente offre est acceptée</w:t>
            </w:r>
            <w:r w:rsidR="00CE71D2">
              <w:rPr>
                <w:rFonts w:ascii="Arial" w:hAnsi="Arial" w:cs="Arial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803662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Default="00F86332" w:rsidP="00F8633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>Signature</w:t>
            </w:r>
          </w:p>
          <w:p w14:paraId="5CB56FFA" w14:textId="77777777" w:rsidR="00055583" w:rsidRPr="00C25888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803662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803662" w:rsidRDefault="009A5217" w:rsidP="009A5217">
      <w:pPr>
        <w:pStyle w:val="Corpsdumessage"/>
        <w:ind w:left="0"/>
        <w:rPr>
          <w:rFonts w:ascii="Arial" w:hAnsi="Arial" w:cs="Arial"/>
          <w:color w:val="000000" w:themeColor="text1"/>
        </w:rPr>
      </w:pPr>
    </w:p>
    <w:sectPr w:rsidR="009A5217" w:rsidRPr="00803662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4ECD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5443A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3173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2025-02-12T07:38:00Z</dcterms:created>
  <dcterms:modified xsi:type="dcterms:W3CDTF">2025-02-12T07:38:00Z</dcterms:modified>
</cp:coreProperties>
</file>