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2D19BB"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2D19BB"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2D19BB"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2D19BB"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2D19BB"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2D19BB"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2D19BB"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2D19BB"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2D19BB"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0" w:name="_Toc160105136"/>
      <w:r w:rsidRPr="00452029">
        <w:rPr>
          <w:rFonts w:asciiTheme="minorHAnsi" w:hAnsiTheme="minorHAnsi" w:cstheme="minorHAnsi"/>
          <w:sz w:val="20"/>
          <w:szCs w:val="20"/>
        </w:rPr>
        <w:lastRenderedPageBreak/>
        <w:t>SECTION I</w:t>
      </w:r>
      <w:bookmarkEnd w:id="0"/>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1"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1"/>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2"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2"/>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3"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3"/>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4"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4"/>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5"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5"/>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6"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6"/>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7"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7"/>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8"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9" w:name="_Toc160105145"/>
      <w:r w:rsidRPr="00452029">
        <w:rPr>
          <w:rFonts w:asciiTheme="minorHAnsi" w:hAnsiTheme="minorHAnsi" w:cstheme="minorHAnsi"/>
          <w:sz w:val="20"/>
          <w:szCs w:val="20"/>
        </w:rPr>
        <w:t>7.1.   Instructions</w:t>
      </w:r>
      <w:bookmarkEnd w:id="9"/>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0" w:name="_Toc160105146"/>
      <w:r w:rsidRPr="00452029">
        <w:rPr>
          <w:rFonts w:asciiTheme="minorHAnsi" w:hAnsiTheme="minorHAnsi" w:cstheme="minorHAnsi"/>
          <w:sz w:val="20"/>
          <w:szCs w:val="20"/>
        </w:rPr>
        <w:t>7.2.   Limitation de la finalité</w:t>
      </w:r>
      <w:bookmarkEnd w:id="10"/>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1" w:name="_Toc160105147"/>
      <w:r w:rsidRPr="00452029">
        <w:rPr>
          <w:rFonts w:asciiTheme="minorHAnsi" w:hAnsiTheme="minorHAnsi" w:cstheme="minorHAnsi"/>
          <w:sz w:val="20"/>
          <w:szCs w:val="20"/>
        </w:rPr>
        <w:t>7.3.   Durée du traitement des données à caractère personnel</w:t>
      </w:r>
      <w:bookmarkEnd w:id="11"/>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2" w:name="_Toc160105148"/>
      <w:r w:rsidRPr="00452029">
        <w:rPr>
          <w:rFonts w:asciiTheme="minorHAnsi" w:hAnsiTheme="minorHAnsi" w:cstheme="minorHAnsi"/>
          <w:sz w:val="20"/>
          <w:szCs w:val="20"/>
        </w:rPr>
        <w:t>7.4.   Sécurité du traitement</w:t>
      </w:r>
      <w:bookmarkEnd w:id="12"/>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proofErr w:type="gramStart"/>
      <w:r w:rsidRPr="00452029">
        <w:rPr>
          <w:rFonts w:cstheme="minorHAnsi"/>
          <w:sz w:val="20"/>
          <w:szCs w:val="20"/>
        </w:rPr>
        <w:t>de la sécurité entraînant</w:t>
      </w:r>
      <w:proofErr w:type="gramEnd"/>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3" w:name="_Toc160105149"/>
      <w:r w:rsidRPr="00452029">
        <w:rPr>
          <w:rFonts w:asciiTheme="minorHAnsi" w:hAnsiTheme="minorHAnsi" w:cstheme="minorHAnsi"/>
          <w:sz w:val="20"/>
          <w:szCs w:val="20"/>
        </w:rPr>
        <w:t>7.5.   Données sensibles</w:t>
      </w:r>
      <w:bookmarkEnd w:id="13"/>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4" w:name="_Toc160105150"/>
      <w:r w:rsidRPr="00452029">
        <w:rPr>
          <w:rFonts w:asciiTheme="minorHAnsi" w:hAnsiTheme="minorHAnsi" w:cstheme="minorHAnsi"/>
          <w:sz w:val="20"/>
          <w:szCs w:val="20"/>
        </w:rPr>
        <w:t>7.6.   Documentation et conformité</w:t>
      </w:r>
      <w:bookmarkEnd w:id="14"/>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5"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5"/>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6" w:name="_Toc160105151"/>
      <w:r w:rsidRPr="00452029">
        <w:rPr>
          <w:rFonts w:asciiTheme="minorHAnsi" w:hAnsiTheme="minorHAnsi" w:cstheme="minorHAnsi"/>
          <w:sz w:val="20"/>
          <w:szCs w:val="20"/>
        </w:rPr>
        <w:t>7.7.   Recours à des sous-traitants ultérieurs</w:t>
      </w:r>
      <w:bookmarkEnd w:id="16"/>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7" w:name="_Toc160105152"/>
      <w:r w:rsidRPr="00452029">
        <w:rPr>
          <w:rFonts w:asciiTheme="minorHAnsi" w:hAnsiTheme="minorHAnsi" w:cstheme="minorHAnsi"/>
          <w:sz w:val="20"/>
          <w:szCs w:val="20"/>
        </w:rPr>
        <w:t>7.8.   Transferts internationaux</w:t>
      </w:r>
      <w:bookmarkEnd w:id="17"/>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8"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8"/>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19"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19"/>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0" w:name="_Toc160105155"/>
      <w:bookmarkStart w:id="21" w:name="_Hlk141977409"/>
      <w:r w:rsidRPr="00452029">
        <w:rPr>
          <w:rFonts w:asciiTheme="minorHAnsi" w:hAnsiTheme="minorHAnsi" w:cstheme="minorHAnsi"/>
          <w:sz w:val="20"/>
          <w:szCs w:val="20"/>
        </w:rPr>
        <w:t>9.1.   Violation de données en rapport avec des données traitées par le responsable du traitement</w:t>
      </w:r>
      <w:bookmarkEnd w:id="20"/>
    </w:p>
    <w:bookmarkEnd w:id="21"/>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la</w:t>
      </w:r>
      <w:proofErr w:type="gramEnd"/>
      <w:r w:rsidRPr="00452029">
        <w:rPr>
          <w:rFonts w:cstheme="minorHAnsi"/>
          <w:sz w:val="20"/>
          <w:szCs w:val="20"/>
        </w:rPr>
        <w:t xml:space="preserve">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2" w:name="_Toc160105156"/>
      <w:bookmarkStart w:id="23" w:name="_Hlk141977815"/>
      <w:r w:rsidRPr="00452029">
        <w:rPr>
          <w:rFonts w:asciiTheme="minorHAnsi" w:hAnsiTheme="minorHAnsi" w:cstheme="minorHAnsi"/>
          <w:sz w:val="20"/>
          <w:szCs w:val="20"/>
        </w:rPr>
        <w:t>9.2.   Violation de données en rapport avec des données traitées par le sous-traitant</w:t>
      </w:r>
      <w:bookmarkEnd w:id="22"/>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3"/>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une</w:t>
      </w:r>
      <w:proofErr w:type="gramEnd"/>
      <w:r w:rsidRPr="00452029">
        <w:rPr>
          <w:rFonts w:cstheme="minorHAnsi"/>
          <w:sz w:val="20"/>
          <w:szCs w:val="20"/>
        </w:rPr>
        <w:t xml:space="preserv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lastRenderedPageBreak/>
        <w:t>les</w:t>
      </w:r>
      <w:proofErr w:type="gramEnd"/>
      <w:r w:rsidRPr="00452029">
        <w:rPr>
          <w:rFonts w:cstheme="minorHAnsi"/>
          <w:sz w:val="20"/>
          <w:szCs w:val="20"/>
        </w:rPr>
        <w:t xml:space="preserve">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ses</w:t>
      </w:r>
      <w:proofErr w:type="gramEnd"/>
      <w:r w:rsidRPr="00452029">
        <w:rPr>
          <w:rFonts w:cstheme="minorHAnsi"/>
          <w:sz w:val="20"/>
          <w:szCs w:val="20"/>
        </w:rPr>
        <w:t xml:space="preserve">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4"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4"/>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5"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5"/>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6"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6"/>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AB6CCB" w:rsidRDefault="000E0248" w:rsidP="004361DE">
      <w:pPr>
        <w:pStyle w:val="Paragraphedeliste"/>
        <w:numPr>
          <w:ilvl w:val="0"/>
          <w:numId w:val="100"/>
        </w:numPr>
        <w:jc w:val="both"/>
      </w:pPr>
      <w:r w:rsidRPr="00AB6CCB">
        <w:rPr>
          <w:rFonts w:cstheme="minorHAnsi"/>
          <w:sz w:val="20"/>
          <w:szCs w:val="20"/>
          <w:u w:val="single"/>
        </w:rPr>
        <w:t>Nom, fonction et coordonnées de la personne de contact en charge du suivi du Contrat</w:t>
      </w:r>
      <w:r w:rsidR="00C8640C" w:rsidRPr="00AB6CCB">
        <w:rPr>
          <w:rFonts w:cstheme="minorHAnsi"/>
          <w:sz w:val="20"/>
          <w:szCs w:val="20"/>
          <w:u w:val="single"/>
        </w:rPr>
        <w:t xml:space="preserve"> chez le responsable de traitement</w:t>
      </w:r>
      <w:r w:rsidRPr="00AB6CCB">
        <w:rPr>
          <w:rFonts w:cstheme="minorHAnsi"/>
          <w:sz w:val="20"/>
          <w:szCs w:val="20"/>
        </w:rPr>
        <w:t xml:space="preserve"> : </w:t>
      </w:r>
    </w:p>
    <w:p w14:paraId="1D952655" w14:textId="1CFBEC75" w:rsidR="000E0248" w:rsidRPr="00AB6CCB" w:rsidRDefault="00BA5E2F" w:rsidP="00BB79F6">
      <w:pPr>
        <w:pStyle w:val="Paragraphedeliste"/>
        <w:jc w:val="both"/>
        <w:rPr>
          <w:rFonts w:cstheme="minorHAnsi"/>
          <w:sz w:val="20"/>
          <w:szCs w:val="20"/>
        </w:rPr>
      </w:pPr>
      <w:r w:rsidRPr="00AB6CCB">
        <w:rPr>
          <w:rFonts w:cstheme="minorHAnsi"/>
          <w:sz w:val="20"/>
          <w:szCs w:val="20"/>
        </w:rPr>
        <w:t xml:space="preserve">Madame Isabelle TCHERKEZIAN </w:t>
      </w:r>
    </w:p>
    <w:p w14:paraId="49A563FE" w14:textId="23CF18AD" w:rsidR="00BA5E2F" w:rsidRPr="00AB6CCB" w:rsidRDefault="00BA5E2F" w:rsidP="00BB79F6">
      <w:pPr>
        <w:pStyle w:val="Paragraphedeliste"/>
        <w:jc w:val="both"/>
        <w:rPr>
          <w:rFonts w:cstheme="minorHAnsi"/>
          <w:sz w:val="20"/>
          <w:szCs w:val="20"/>
        </w:rPr>
      </w:pPr>
      <w:r w:rsidRPr="00AB6CCB">
        <w:rPr>
          <w:rFonts w:cstheme="minorHAnsi"/>
          <w:sz w:val="20"/>
          <w:szCs w:val="20"/>
        </w:rPr>
        <w:t>Direction de la Communication, du Mécénat et des Partenariats</w:t>
      </w:r>
    </w:p>
    <w:p w14:paraId="180EA9F0" w14:textId="05F95BA2" w:rsidR="00AB6CCB" w:rsidRPr="00AB6CCB" w:rsidRDefault="00BA5E2F" w:rsidP="00AB6CCB">
      <w:pPr>
        <w:pStyle w:val="Paragraphedeliste"/>
        <w:jc w:val="both"/>
        <w:rPr>
          <w:rFonts w:cstheme="minorHAnsi"/>
          <w:sz w:val="20"/>
          <w:szCs w:val="20"/>
        </w:rPr>
      </w:pPr>
      <w:r w:rsidRPr="00AB6CCB">
        <w:rPr>
          <w:rFonts w:cstheme="minorHAnsi"/>
          <w:sz w:val="20"/>
          <w:szCs w:val="20"/>
        </w:rPr>
        <w:t>56, rue de Lille, 75007 Paris</w:t>
      </w:r>
    </w:p>
    <w:p w14:paraId="62B47E4C" w14:textId="5F8B740B" w:rsidR="007E3273" w:rsidRDefault="002D19BB" w:rsidP="00AB6CCB">
      <w:pPr>
        <w:pStyle w:val="Paragraphedeliste"/>
        <w:jc w:val="both"/>
        <w:rPr>
          <w:rFonts w:cstheme="minorHAnsi"/>
          <w:sz w:val="20"/>
          <w:szCs w:val="20"/>
        </w:rPr>
      </w:pPr>
      <w:hyperlink r:id="rId8" w:history="1">
        <w:r w:rsidR="00AB6CCB" w:rsidRPr="00F44ACE">
          <w:rPr>
            <w:rStyle w:val="Lienhypertexte"/>
            <w:rFonts w:cstheme="minorHAnsi"/>
            <w:sz w:val="20"/>
            <w:szCs w:val="20"/>
          </w:rPr>
          <w:t>isabelle.tcherkezian@caissedesdepots.fr</w:t>
        </w:r>
      </w:hyperlink>
    </w:p>
    <w:p w14:paraId="1EA8F52C" w14:textId="77777777" w:rsidR="00AB6CCB" w:rsidRDefault="00AB6CCB" w:rsidP="00AB6CCB">
      <w:pPr>
        <w:pStyle w:val="Paragraphedeliste"/>
        <w:jc w:val="both"/>
        <w:rPr>
          <w:rFonts w:cstheme="minorHAnsi"/>
          <w:sz w:val="20"/>
          <w:szCs w:val="20"/>
        </w:rPr>
      </w:pPr>
    </w:p>
    <w:p w14:paraId="6916D92D" w14:textId="77777777" w:rsidR="00AB6CCB" w:rsidRPr="004361DE" w:rsidRDefault="00AB6CCB" w:rsidP="00AB6CCB">
      <w:pPr>
        <w:pStyle w:val="Paragraphedeliste"/>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2D19BB" w:rsidP="000272D9">
      <w:pPr>
        <w:pStyle w:val="Paragraphedeliste"/>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Pr="00BA5E2F" w:rsidRDefault="00C8640C" w:rsidP="002B67BD">
      <w:pPr>
        <w:jc w:val="both"/>
        <w:rPr>
          <w:rFonts w:cstheme="minorHAnsi"/>
          <w:color w:val="FF0000"/>
          <w:sz w:val="20"/>
          <w:szCs w:val="20"/>
        </w:rPr>
      </w:pPr>
    </w:p>
    <w:p w14:paraId="70160BD3" w14:textId="6AAC1293" w:rsidR="00C8640C" w:rsidRPr="00AB6CCB" w:rsidRDefault="00C8640C" w:rsidP="004361DE">
      <w:pPr>
        <w:pStyle w:val="Sansinterligne"/>
        <w:numPr>
          <w:ilvl w:val="0"/>
          <w:numId w:val="101"/>
        </w:numPr>
        <w:rPr>
          <w:sz w:val="20"/>
          <w:szCs w:val="20"/>
        </w:rPr>
      </w:pPr>
      <w:r w:rsidRPr="00AB6CCB">
        <w:rPr>
          <w:sz w:val="20"/>
          <w:szCs w:val="20"/>
          <w:u w:val="single"/>
        </w:rPr>
        <w:t>Nom et coordonnées du sous-traitant</w:t>
      </w:r>
      <w:r w:rsidRPr="00AB6CCB">
        <w:rPr>
          <w:sz w:val="20"/>
          <w:szCs w:val="20"/>
        </w:rPr>
        <w:t xml:space="preserve"> : </w:t>
      </w:r>
    </w:p>
    <w:p w14:paraId="5236CDE7" w14:textId="77777777" w:rsidR="00C8640C" w:rsidRPr="00AB6CCB" w:rsidRDefault="00C8640C" w:rsidP="00C8640C">
      <w:pPr>
        <w:jc w:val="both"/>
        <w:rPr>
          <w:rFonts w:cstheme="minorHAnsi"/>
          <w:sz w:val="20"/>
          <w:szCs w:val="20"/>
        </w:rPr>
      </w:pPr>
    </w:p>
    <w:p w14:paraId="1B860B6F" w14:textId="2286A938" w:rsidR="00C8640C" w:rsidRPr="00AB6CCB" w:rsidRDefault="00C8640C" w:rsidP="004361DE">
      <w:pPr>
        <w:pStyle w:val="Paragraphedeliste"/>
        <w:numPr>
          <w:ilvl w:val="0"/>
          <w:numId w:val="101"/>
        </w:numPr>
        <w:jc w:val="both"/>
      </w:pPr>
      <w:r w:rsidRPr="00AB6CCB">
        <w:rPr>
          <w:rFonts w:cstheme="minorHAnsi"/>
          <w:sz w:val="20"/>
          <w:szCs w:val="20"/>
          <w:u w:val="single"/>
        </w:rPr>
        <w:t>Nom, fonction et coordonnées de la personne de contact en charge du suivi du Contrat chez le sous-traitant</w:t>
      </w:r>
      <w:r w:rsidRPr="00AB6CCB">
        <w:rPr>
          <w:rFonts w:cstheme="minorHAnsi"/>
          <w:sz w:val="20"/>
          <w:szCs w:val="20"/>
        </w:rPr>
        <w:t xml:space="preserve"> : </w:t>
      </w:r>
    </w:p>
    <w:p w14:paraId="7061DE9B" w14:textId="1948DD0A" w:rsidR="00605C16" w:rsidRPr="00AB6CCB" w:rsidRDefault="00605C16" w:rsidP="00605C16">
      <w:pPr>
        <w:pStyle w:val="Paragraphedeliste"/>
        <w:jc w:val="both"/>
      </w:pPr>
    </w:p>
    <w:p w14:paraId="19671046" w14:textId="77777777" w:rsidR="00C8640C" w:rsidRPr="00AB6CCB" w:rsidRDefault="00C8640C" w:rsidP="00C8640C">
      <w:pPr>
        <w:jc w:val="both"/>
        <w:rPr>
          <w:rFonts w:cstheme="minorHAnsi"/>
          <w:sz w:val="20"/>
          <w:szCs w:val="20"/>
        </w:rPr>
      </w:pPr>
    </w:p>
    <w:p w14:paraId="21E80794" w14:textId="13FBAB07" w:rsidR="00C8640C" w:rsidRPr="00AB6CCB" w:rsidRDefault="00C8640C" w:rsidP="004361DE">
      <w:pPr>
        <w:pStyle w:val="Paragraphedeliste"/>
        <w:numPr>
          <w:ilvl w:val="0"/>
          <w:numId w:val="101"/>
        </w:numPr>
        <w:jc w:val="both"/>
        <w:rPr>
          <w:rFonts w:cstheme="minorHAnsi"/>
          <w:sz w:val="20"/>
          <w:szCs w:val="20"/>
        </w:rPr>
      </w:pPr>
      <w:r w:rsidRPr="00AB6CCB">
        <w:rPr>
          <w:rFonts w:cstheme="minorHAnsi"/>
          <w:sz w:val="20"/>
          <w:szCs w:val="20"/>
          <w:u w:val="single"/>
        </w:rPr>
        <w:t>Nom et coordonnées du DPO du sous-traitant</w:t>
      </w:r>
      <w:r w:rsidRPr="00AB6CCB">
        <w:rPr>
          <w:rFonts w:cstheme="minorHAnsi"/>
          <w:sz w:val="20"/>
          <w:szCs w:val="20"/>
        </w:rPr>
        <w:t xml:space="preserve"> : </w:t>
      </w:r>
    </w:p>
    <w:p w14:paraId="45EA2CF1" w14:textId="6B480C9B" w:rsidR="00C8640C" w:rsidRPr="0026784E" w:rsidRDefault="00C8640C" w:rsidP="00605C16">
      <w:pPr>
        <w:ind w:left="360"/>
        <w:jc w:val="both"/>
      </w:pPr>
    </w:p>
    <w:p w14:paraId="730C0FB5" w14:textId="5AA30CEB" w:rsidR="0046480D" w:rsidRPr="00997304" w:rsidRDefault="0046480D">
      <w:pPr>
        <w:rPr>
          <w:rFonts w:cstheme="minorHAnsi"/>
        </w:rPr>
      </w:pPr>
    </w:p>
    <w:p w14:paraId="08C78BDE" w14:textId="2C9674AE" w:rsidR="007E3273" w:rsidRDefault="007E3273">
      <w:pPr>
        <w:rPr>
          <w:rFonts w:cstheme="minorHAnsi"/>
        </w:rPr>
      </w:pPr>
      <w:bookmarkStart w:id="27" w:name="_Toc160105160"/>
    </w:p>
    <w:p w14:paraId="60DE14A0" w14:textId="77777777" w:rsidR="00AB6CCB" w:rsidRDefault="00AB6CCB">
      <w:pPr>
        <w:rPr>
          <w:rFonts w:cstheme="minorHAnsi"/>
        </w:rPr>
      </w:pP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7"/>
    </w:p>
    <w:p w14:paraId="7A52FE81" w14:textId="2E1960F8" w:rsidR="006F5157" w:rsidRPr="00997304" w:rsidRDefault="006F5157" w:rsidP="00D92205">
      <w:pPr>
        <w:spacing w:after="0"/>
        <w:rPr>
          <w:rFonts w:cstheme="minorHAnsi"/>
        </w:rPr>
      </w:pPr>
    </w:p>
    <w:p w14:paraId="2113B169" w14:textId="645077A7"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EF60F7" w:rsidRPr="00EF60F7">
        <w:rPr>
          <w:rFonts w:cstheme="minorHAnsi"/>
          <w:bCs/>
          <w:color w:val="FF0000"/>
          <w:sz w:val="20"/>
          <w:szCs w:val="20"/>
        </w:rPr>
        <w:t xml:space="preserve"> </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293026B0" w14:textId="5187CF57" w:rsidR="001F12FF" w:rsidRDefault="00C57AF1" w:rsidP="00A83124">
            <w:pPr>
              <w:jc w:val="both"/>
              <w:rPr>
                <w:rFonts w:cstheme="minorHAnsi"/>
                <w:bCs/>
                <w:sz w:val="20"/>
                <w:szCs w:val="20"/>
              </w:rPr>
            </w:pPr>
            <w:r w:rsidRPr="00C57AF1">
              <w:t>Mise en place d’un dispositif global de veille médiatique visant à produire une revue de presse quotidienne pour le « Groupe », ainsi qu’une synthèse quotidienne de l’actualité</w:t>
            </w:r>
            <w:r>
              <w:t>, élaborée à partir de cette revue de presse et axée sur l’image du Groupe.</w:t>
            </w:r>
            <w:r>
              <w:rPr>
                <w:rFonts w:cstheme="minorHAnsi"/>
                <w:bCs/>
                <w:sz w:val="20"/>
                <w:szCs w:val="20"/>
              </w:rPr>
              <w:t xml:space="preserve"> </w:t>
            </w:r>
            <w:r w:rsidR="00DE058F">
              <w:rPr>
                <w:rFonts w:cstheme="minorHAnsi"/>
                <w:bCs/>
                <w:sz w:val="20"/>
                <w:szCs w:val="20"/>
              </w:rPr>
              <w:t>CDC.</w:t>
            </w:r>
          </w:p>
          <w:p w14:paraId="0D5C75C8" w14:textId="178EE77F" w:rsidR="00DE058F" w:rsidRPr="00C57AF1" w:rsidRDefault="00DE058F" w:rsidP="00A83124">
            <w:pPr>
              <w:jc w:val="both"/>
              <w:rPr>
                <w:rFonts w:cstheme="minorHAnsi"/>
                <w:bCs/>
              </w:rPr>
            </w:pPr>
            <w:r w:rsidRPr="00C57AF1">
              <w:rPr>
                <w:rFonts w:cstheme="minorHAnsi"/>
                <w:bCs/>
              </w:rPr>
              <w:t>Cette prestation est destinée à la Direction de la Communication et au service</w:t>
            </w:r>
            <w:r w:rsidR="001F12FF" w:rsidRPr="00C57AF1">
              <w:rPr>
                <w:rFonts w:cstheme="minorHAnsi"/>
                <w:bCs/>
              </w:rPr>
              <w:t xml:space="preserve"> Relations Presse et Réseaux </w:t>
            </w:r>
            <w:r w:rsidR="00C57AF1" w:rsidRPr="00C57AF1">
              <w:rPr>
                <w:rFonts w:cstheme="minorHAnsi"/>
                <w:bCs/>
              </w:rPr>
              <w:t xml:space="preserve">Sociaux </w:t>
            </w:r>
            <w:r w:rsidR="00C57AF1">
              <w:rPr>
                <w:rFonts w:cstheme="minorHAnsi"/>
                <w:bCs/>
              </w:rPr>
              <w:t xml:space="preserve">et a pour but de </w:t>
            </w:r>
            <w:r w:rsidRPr="00C57AF1">
              <w:rPr>
                <w:rFonts w:cstheme="minorHAnsi"/>
                <w:bCs/>
              </w:rPr>
              <w:t>fournir une vision précise et actualisée des mentions du groupe dans les médias, d’anticiper les enjeux de la communication et d’optimiser la stratégie médiatique.</w:t>
            </w:r>
          </w:p>
          <w:p w14:paraId="7C9727B8" w14:textId="216F458A" w:rsidR="00DE058F" w:rsidRPr="00C57AF1" w:rsidRDefault="00DE058F" w:rsidP="00DE058F">
            <w:pPr>
              <w:jc w:val="both"/>
              <w:rPr>
                <w:rFonts w:cstheme="minorHAnsi"/>
                <w:bCs/>
              </w:rPr>
            </w:pPr>
            <w:r w:rsidRPr="00C57AF1">
              <w:rPr>
                <w:rFonts w:cstheme="minorHAnsi"/>
                <w:bCs/>
              </w:rPr>
              <w:t>Cette plateforme sera dédiée à la fourniture de flux de retombées en continu,</w:t>
            </w:r>
            <w:r w:rsidR="00DE6EF4">
              <w:rPr>
                <w:rFonts w:cstheme="minorHAnsi"/>
                <w:bCs/>
              </w:rPr>
              <w:t xml:space="preserve"> de </w:t>
            </w:r>
            <w:r w:rsidRPr="00C57AF1">
              <w:rPr>
                <w:rFonts w:cstheme="minorHAnsi"/>
                <w:bCs/>
              </w:rPr>
              <w:t>revue</w:t>
            </w:r>
            <w:r w:rsidR="00DE6EF4">
              <w:rPr>
                <w:rFonts w:cstheme="minorHAnsi"/>
                <w:bCs/>
              </w:rPr>
              <w:t>s</w:t>
            </w:r>
            <w:r w:rsidRPr="00C57AF1">
              <w:rPr>
                <w:rFonts w:cstheme="minorHAnsi"/>
                <w:bCs/>
              </w:rPr>
              <w:t xml:space="preserve"> de presse quotidienne « Groupe »</w:t>
            </w:r>
            <w:r w:rsidR="001F12FF" w:rsidRPr="00C57AF1">
              <w:rPr>
                <w:rFonts w:cstheme="minorHAnsi"/>
                <w:bCs/>
              </w:rPr>
              <w:t xml:space="preserve"> </w:t>
            </w:r>
            <w:r w:rsidRPr="00C57AF1">
              <w:rPr>
                <w:rFonts w:cstheme="minorHAnsi"/>
                <w:bCs/>
              </w:rPr>
              <w:t xml:space="preserve">et </w:t>
            </w:r>
            <w:r w:rsidR="00DE6EF4">
              <w:rPr>
                <w:rFonts w:cstheme="minorHAnsi"/>
                <w:bCs/>
              </w:rPr>
              <w:t xml:space="preserve">de </w:t>
            </w:r>
            <w:r w:rsidRPr="00C57AF1">
              <w:rPr>
                <w:rFonts w:cstheme="minorHAnsi"/>
                <w:bCs/>
              </w:rPr>
              <w:t>veilles spécifiques dédié</w:t>
            </w:r>
            <w:r w:rsidR="00DE6EF4">
              <w:rPr>
                <w:rFonts w:cstheme="minorHAnsi"/>
                <w:bCs/>
              </w:rPr>
              <w:t>e</w:t>
            </w:r>
            <w:r w:rsidRPr="00C57AF1">
              <w:rPr>
                <w:rFonts w:cstheme="minorHAnsi"/>
                <w:bCs/>
              </w:rPr>
              <w:t>s.</w:t>
            </w:r>
          </w:p>
          <w:p w14:paraId="1CAD98C2" w14:textId="05EC175D" w:rsidR="00233E07" w:rsidRPr="00AB6CCB" w:rsidRDefault="00233E07" w:rsidP="00233E07">
            <w:pPr>
              <w:jc w:val="both"/>
              <w:rPr>
                <w:bCs/>
              </w:rPr>
            </w:pPr>
          </w:p>
        </w:tc>
      </w:tr>
      <w:tr w:rsidR="00103476" w:rsidRPr="00461C79" w14:paraId="43F5161D" w14:textId="77777777" w:rsidTr="006A50FD">
        <w:trPr>
          <w:trHeight w:val="942"/>
        </w:trPr>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8634904" w14:textId="7557DDC2" w:rsidR="00BA5E2F" w:rsidRPr="00C57AF1" w:rsidRDefault="00AF766C" w:rsidP="00AF766C">
            <w:pPr>
              <w:jc w:val="both"/>
              <w:rPr>
                <w:rFonts w:cstheme="minorHAnsi"/>
                <w:u w:val="single"/>
              </w:rPr>
            </w:pPr>
            <w:r w:rsidRPr="00C57AF1">
              <w:rPr>
                <w:rFonts w:cstheme="minorHAnsi"/>
              </w:rPr>
              <w:t xml:space="preserve">Les données des utilisateurs abonnés seront transmises au futur prestataire afin de permettre </w:t>
            </w:r>
            <w:r w:rsidR="006A50FD">
              <w:rPr>
                <w:rFonts w:cstheme="minorHAnsi"/>
              </w:rPr>
              <w:t>aux</w:t>
            </w:r>
            <w:r w:rsidR="00DE6EF4">
              <w:rPr>
                <w:rFonts w:cstheme="minorHAnsi"/>
              </w:rPr>
              <w:t xml:space="preserve"> utilisateurs</w:t>
            </w:r>
            <w:r w:rsidR="006A50FD">
              <w:rPr>
                <w:rFonts w:cstheme="minorHAnsi"/>
              </w:rPr>
              <w:t xml:space="preserve"> </w:t>
            </w:r>
            <w:r w:rsidRPr="00C57AF1">
              <w:rPr>
                <w:rFonts w:cstheme="minorHAnsi"/>
              </w:rPr>
              <w:t xml:space="preserve">abonnés </w:t>
            </w:r>
            <w:r w:rsidR="00DE6EF4">
              <w:rPr>
                <w:rFonts w:cstheme="minorHAnsi"/>
              </w:rPr>
              <w:t xml:space="preserve">d’accéder à une plateforme dédiée leur permettant </w:t>
            </w:r>
            <w:r w:rsidR="008B56BA">
              <w:rPr>
                <w:rFonts w:cstheme="minorHAnsi"/>
              </w:rPr>
              <w:t xml:space="preserve">de </w:t>
            </w:r>
            <w:r w:rsidR="008B56BA" w:rsidRPr="00C57AF1">
              <w:rPr>
                <w:rFonts w:cstheme="minorHAnsi"/>
              </w:rPr>
              <w:t>consulter</w:t>
            </w:r>
            <w:r w:rsidRPr="00C57AF1">
              <w:rPr>
                <w:rFonts w:cstheme="minorHAnsi"/>
              </w:rPr>
              <w:t xml:space="preserve"> </w:t>
            </w:r>
            <w:r w:rsidR="00CE5196" w:rsidRPr="00C57AF1">
              <w:rPr>
                <w:rFonts w:cstheme="minorHAnsi"/>
              </w:rPr>
              <w:t>les revues</w:t>
            </w:r>
            <w:r w:rsidRPr="00C57AF1">
              <w:rPr>
                <w:rFonts w:cstheme="minorHAnsi"/>
              </w:rPr>
              <w:t xml:space="preserve"> de presse</w:t>
            </w:r>
            <w:r w:rsidR="00DE6EF4">
              <w:rPr>
                <w:rFonts w:cstheme="minorHAnsi"/>
              </w:rPr>
              <w:t>, l’ensemble des retombées médiatiques</w:t>
            </w:r>
            <w:r w:rsidRPr="00C57AF1">
              <w:rPr>
                <w:rFonts w:cstheme="minorHAnsi"/>
              </w:rPr>
              <w:t xml:space="preserve"> et</w:t>
            </w:r>
            <w:r w:rsidR="00DE6EF4">
              <w:rPr>
                <w:rFonts w:cstheme="minorHAnsi"/>
              </w:rPr>
              <w:t xml:space="preserve"> de</w:t>
            </w:r>
            <w:r w:rsidRPr="00C57AF1">
              <w:rPr>
                <w:rFonts w:cstheme="minorHAnsi"/>
              </w:rPr>
              <w:t xml:space="preserve"> réaliser des recherches dans cette base</w:t>
            </w:r>
            <w:r w:rsidR="006A50FD">
              <w:rPr>
                <w:rFonts w:cstheme="minorHAnsi"/>
              </w:rPr>
              <w:t xml:space="preserve"> de données</w:t>
            </w:r>
            <w:r w:rsidRPr="00C57AF1">
              <w:rPr>
                <w:rFonts w:cstheme="minorHAnsi"/>
              </w:rPr>
              <w:t>.</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56665DC4" w14:textId="2A63CA17" w:rsidR="00DC6566" w:rsidRPr="008B56BA" w:rsidRDefault="00DC6566" w:rsidP="008B56BA">
            <w:pPr>
              <w:spacing w:line="259" w:lineRule="auto"/>
              <w:jc w:val="both"/>
              <w:rPr>
                <w:rFonts w:cstheme="minorHAnsi"/>
                <w:bCs/>
                <w:i/>
              </w:rPr>
            </w:pPr>
            <w:r w:rsidRPr="008B56BA">
              <w:rPr>
                <w:rFonts w:cstheme="minorHAnsi"/>
                <w:bCs/>
                <w:u w:val="single"/>
              </w:rPr>
              <w:t>Données des utilisateur</w:t>
            </w:r>
            <w:r w:rsidR="00EB560A" w:rsidRPr="008B56BA">
              <w:rPr>
                <w:rFonts w:cstheme="minorHAnsi"/>
                <w:bCs/>
                <w:u w:val="single"/>
              </w:rPr>
              <w:t>s abonné</w:t>
            </w:r>
            <w:r w:rsidR="00C57AF1" w:rsidRPr="008B56BA">
              <w:rPr>
                <w:rFonts w:cstheme="minorHAnsi"/>
                <w:bCs/>
                <w:u w:val="single"/>
              </w:rPr>
              <w:t>s</w:t>
            </w:r>
            <w:r w:rsidR="00C57AF1" w:rsidRPr="008B56BA">
              <w:rPr>
                <w:rFonts w:cstheme="minorHAnsi"/>
                <w:bCs/>
              </w:rPr>
              <w:t> :</w:t>
            </w:r>
            <w:r w:rsidR="00735ACF" w:rsidRPr="008B56BA">
              <w:rPr>
                <w:rFonts w:cstheme="minorHAnsi"/>
                <w:bCs/>
              </w:rPr>
              <w:t xml:space="preserve"> </w:t>
            </w:r>
            <w:r w:rsidR="00C57AF1" w:rsidRPr="008B56BA">
              <w:rPr>
                <w:rFonts w:cstheme="minorHAnsi"/>
                <w:bCs/>
                <w:iCs/>
              </w:rPr>
              <w:t>Nom, Prénom</w:t>
            </w:r>
            <w:r w:rsidR="00AF766C" w:rsidRPr="008B56BA">
              <w:rPr>
                <w:rFonts w:cstheme="minorHAnsi"/>
                <w:bCs/>
                <w:iCs/>
              </w:rPr>
              <w:t xml:space="preserve">, adresse </w:t>
            </w:r>
            <w:proofErr w:type="gramStart"/>
            <w:r w:rsidR="00AF766C" w:rsidRPr="008B56BA">
              <w:rPr>
                <w:rFonts w:cstheme="minorHAnsi"/>
                <w:bCs/>
                <w:iCs/>
              </w:rPr>
              <w:t>mail</w:t>
            </w:r>
            <w:proofErr w:type="gramEnd"/>
            <w:r w:rsidR="00C57AF1" w:rsidRPr="008B56BA">
              <w:rPr>
                <w:rFonts w:cstheme="minorHAnsi"/>
                <w:bCs/>
                <w:iCs/>
              </w:rPr>
              <w:t xml:space="preserve"> personnel</w:t>
            </w:r>
            <w:r w:rsidR="00AF766C" w:rsidRPr="008B56BA">
              <w:rPr>
                <w:rFonts w:cstheme="minorHAnsi"/>
                <w:bCs/>
                <w:iCs/>
              </w:rPr>
              <w:t xml:space="preserve">, identifiant et mot de </w:t>
            </w:r>
            <w:r w:rsidR="00D3550B" w:rsidRPr="008B56BA">
              <w:rPr>
                <w:rFonts w:cstheme="minorHAnsi"/>
                <w:bCs/>
                <w:iCs/>
              </w:rPr>
              <w:t>passe</w:t>
            </w:r>
            <w:r w:rsidR="00DE6EF4" w:rsidRPr="008B56BA">
              <w:rPr>
                <w:rFonts w:cstheme="minorHAnsi"/>
                <w:bCs/>
                <w:iCs/>
              </w:rPr>
              <w:t>, numéro de téléphone professionnel</w:t>
            </w:r>
            <w:r w:rsidR="00D3550B" w:rsidRPr="008B56BA">
              <w:rPr>
                <w:rFonts w:cstheme="minorHAnsi"/>
                <w:bCs/>
                <w:iCs/>
              </w:rPr>
              <w:t>. Ces</w:t>
            </w:r>
            <w:r w:rsidR="00AF766C" w:rsidRPr="008B56BA">
              <w:rPr>
                <w:rFonts w:cstheme="minorHAnsi"/>
                <w:bCs/>
                <w:iCs/>
              </w:rPr>
              <w:t xml:space="preserve"> données permettront</w:t>
            </w:r>
            <w:r w:rsidR="00C57AF1" w:rsidRPr="008B56BA">
              <w:rPr>
                <w:rFonts w:cstheme="minorHAnsi"/>
                <w:bCs/>
                <w:iCs/>
              </w:rPr>
              <w:t xml:space="preserve"> aux utilisateurs abonnés </w:t>
            </w:r>
            <w:r w:rsidR="00DE6EF4" w:rsidRPr="008B56BA">
              <w:rPr>
                <w:rFonts w:cstheme="minorHAnsi"/>
              </w:rPr>
              <w:t xml:space="preserve">d’accéder à une plateforme dédiée leur permettant </w:t>
            </w:r>
            <w:r w:rsidR="008B56BA">
              <w:rPr>
                <w:rFonts w:cstheme="minorHAnsi"/>
              </w:rPr>
              <w:t xml:space="preserve">ainsi </w:t>
            </w:r>
            <w:r w:rsidR="008B56BA" w:rsidRPr="008B56BA">
              <w:rPr>
                <w:rFonts w:cstheme="minorHAnsi"/>
              </w:rPr>
              <w:t>de consulter</w:t>
            </w:r>
            <w:r w:rsidR="00DE6EF4" w:rsidRPr="008B56BA">
              <w:rPr>
                <w:rFonts w:cstheme="minorHAnsi"/>
              </w:rPr>
              <w:t xml:space="preserve"> les revues de presse, l’ensemble des retombées médiatiques et de réaliser des recherches dans cette base de données</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14CEAE06" w:rsidR="00103476" w:rsidRPr="00C57AF1" w:rsidRDefault="00C57AF1" w:rsidP="00EB560A">
            <w:pPr>
              <w:jc w:val="both"/>
              <w:rPr>
                <w:rFonts w:cstheme="minorHAnsi"/>
                <w:u w:val="single"/>
              </w:rPr>
            </w:pPr>
            <w:r>
              <w:rPr>
                <w:rFonts w:cstheme="minorHAnsi"/>
              </w:rPr>
              <w:t>Les u</w:t>
            </w:r>
            <w:r w:rsidR="00EB560A" w:rsidRPr="00C57AF1">
              <w:rPr>
                <w:rFonts w:cstheme="minorHAnsi"/>
              </w:rPr>
              <w:t>tilisateurs abonnés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3ED55C9" w14:textId="2EC33103" w:rsidR="00095FE7" w:rsidRPr="008B56BA" w:rsidRDefault="00095FE7" w:rsidP="00095FE7">
            <w:pPr>
              <w:pStyle w:val="Paragraphedeliste"/>
              <w:numPr>
                <w:ilvl w:val="0"/>
                <w:numId w:val="105"/>
              </w:numPr>
              <w:spacing w:before="100" w:beforeAutospacing="1" w:after="100" w:afterAutospacing="1"/>
              <w:rPr>
                <w:rFonts w:cstheme="minorHAnsi"/>
                <w:bCs/>
                <w:iCs/>
              </w:rPr>
            </w:pPr>
            <w:r w:rsidRPr="008B56BA">
              <w:rPr>
                <w:rFonts w:cstheme="minorHAnsi"/>
                <w:bCs/>
                <w:iCs/>
              </w:rPr>
              <w:t>Collecte des données de connexion</w:t>
            </w:r>
            <w:r w:rsidR="00C57AF1" w:rsidRPr="008B56BA">
              <w:rPr>
                <w:rFonts w:cstheme="minorHAnsi"/>
                <w:bCs/>
                <w:iCs/>
              </w:rPr>
              <w:t xml:space="preserve"> des utilisateurs abonnés</w:t>
            </w:r>
          </w:p>
          <w:p w14:paraId="27E1D167" w14:textId="77777777" w:rsidR="00095FE7" w:rsidRPr="008B56BA" w:rsidRDefault="00095FE7" w:rsidP="00095FE7">
            <w:pPr>
              <w:pStyle w:val="Paragraphedeliste"/>
              <w:numPr>
                <w:ilvl w:val="0"/>
                <w:numId w:val="105"/>
              </w:numPr>
              <w:spacing w:before="100" w:beforeAutospacing="1" w:after="100" w:afterAutospacing="1"/>
              <w:rPr>
                <w:rFonts w:cstheme="minorHAnsi"/>
                <w:bCs/>
                <w:iCs/>
              </w:rPr>
            </w:pPr>
            <w:r w:rsidRPr="008B56BA">
              <w:rPr>
                <w:rFonts w:cstheme="minorHAnsi"/>
                <w:bCs/>
                <w:iCs/>
              </w:rPr>
              <w:t>Enregistrement et conservation des données</w:t>
            </w:r>
          </w:p>
          <w:p w14:paraId="6ECD8AC0" w14:textId="330E72FC" w:rsidR="00095FE7" w:rsidRPr="008B56BA" w:rsidRDefault="00095FE7" w:rsidP="00095FE7">
            <w:pPr>
              <w:pStyle w:val="Paragraphedeliste"/>
              <w:numPr>
                <w:ilvl w:val="0"/>
                <w:numId w:val="105"/>
              </w:numPr>
              <w:spacing w:before="100" w:beforeAutospacing="1" w:after="100" w:afterAutospacing="1"/>
              <w:rPr>
                <w:rFonts w:cstheme="minorHAnsi"/>
                <w:bCs/>
                <w:iCs/>
              </w:rPr>
            </w:pPr>
            <w:r w:rsidRPr="008B56BA">
              <w:rPr>
                <w:rFonts w:cstheme="minorHAnsi"/>
                <w:bCs/>
                <w:iCs/>
              </w:rPr>
              <w:t>Consultation</w:t>
            </w:r>
            <w:r w:rsidR="00D3550B" w:rsidRPr="008B56BA">
              <w:rPr>
                <w:rFonts w:cstheme="minorHAnsi"/>
                <w:bCs/>
                <w:iCs/>
              </w:rPr>
              <w:t> </w:t>
            </w:r>
          </w:p>
          <w:p w14:paraId="5FBA1A94" w14:textId="4CBEA49D" w:rsidR="00095FE7" w:rsidRPr="008B56BA" w:rsidRDefault="00095FE7" w:rsidP="00095FE7">
            <w:pPr>
              <w:pStyle w:val="Paragraphedeliste"/>
              <w:numPr>
                <w:ilvl w:val="0"/>
                <w:numId w:val="105"/>
              </w:numPr>
              <w:spacing w:before="100" w:beforeAutospacing="1" w:after="100" w:afterAutospacing="1"/>
              <w:rPr>
                <w:rFonts w:cstheme="minorHAnsi"/>
                <w:bCs/>
                <w:iCs/>
              </w:rPr>
            </w:pPr>
            <w:r w:rsidRPr="008B56BA">
              <w:rPr>
                <w:rFonts w:cstheme="minorHAnsi"/>
                <w:bCs/>
                <w:iCs/>
              </w:rPr>
              <w:t>Effacement</w:t>
            </w:r>
            <w:r w:rsidR="00303C49" w:rsidRPr="008B56BA">
              <w:rPr>
                <w:rFonts w:cstheme="minorHAnsi"/>
                <w:bCs/>
                <w:iCs/>
              </w:rPr>
              <w:t xml:space="preserve"> </w:t>
            </w:r>
          </w:p>
          <w:p w14:paraId="12BB9BCF" w14:textId="4FBD83C2" w:rsidR="00103476" w:rsidRPr="00C57AF1" w:rsidRDefault="00103476" w:rsidP="00305C99">
            <w:pPr>
              <w:jc w:val="both"/>
              <w:rPr>
                <w:rFonts w:cstheme="minorHAnsi"/>
                <w:bCs/>
              </w:rPr>
            </w:pPr>
          </w:p>
        </w:tc>
      </w:tr>
      <w:tr w:rsidR="00103476" w:rsidRPr="00461C79" w14:paraId="5326E5F9" w14:textId="77777777" w:rsidTr="00095FE7">
        <w:trPr>
          <w:trHeight w:val="841"/>
        </w:trPr>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042C8788" w:rsidR="00103476" w:rsidRPr="00C57AF1" w:rsidRDefault="00A1210D" w:rsidP="00DC6566">
            <w:pPr>
              <w:jc w:val="both"/>
              <w:rPr>
                <w:rFonts w:cstheme="minorHAnsi"/>
              </w:rPr>
            </w:pPr>
            <w:r w:rsidRPr="00C57AF1">
              <w:rPr>
                <w:rFonts w:cstheme="minorHAnsi"/>
              </w:rPr>
              <w:t xml:space="preserve">Durée du </w:t>
            </w:r>
            <w:r w:rsidR="00D3550B" w:rsidRPr="00C57AF1">
              <w:rPr>
                <w:rFonts w:cstheme="minorHAnsi"/>
              </w:rPr>
              <w:t xml:space="preserve">marché </w:t>
            </w:r>
            <w:r w:rsidR="009739F1" w:rsidRPr="00C57AF1">
              <w:rPr>
                <w:rFonts w:cstheme="minorHAnsi"/>
              </w:rPr>
              <w:t>(4</w:t>
            </w:r>
            <w:r w:rsidR="008B467A" w:rsidRPr="00C57AF1">
              <w:rPr>
                <w:rFonts w:cstheme="minorHAnsi"/>
              </w:rPr>
              <w:t xml:space="preserve"> ans)</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3ADE8058" w14:textId="1B646C91" w:rsidR="00943341" w:rsidRPr="00605C16" w:rsidRDefault="00C42DCD" w:rsidP="00605C16">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28F73D19" w14:textId="77777777" w:rsidR="00943341" w:rsidRPr="00D92205" w:rsidRDefault="00943341" w:rsidP="00943341">
            <w:pPr>
              <w:rPr>
                <w:rFonts w:cstheme="minorHAnsi"/>
                <w:b/>
                <w:sz w:val="18"/>
                <w:szCs w:val="18"/>
                <w:u w:val="single"/>
              </w:rPr>
            </w:pPr>
          </w:p>
          <w:p w14:paraId="08D0E2FF" w14:textId="31AC2DBD"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1"/>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p>
          <w:p w14:paraId="778C9677" w14:textId="77777777" w:rsidR="00943341" w:rsidRPr="00D92205" w:rsidRDefault="00943341" w:rsidP="00E34EF5">
            <w:pPr>
              <w:jc w:val="both"/>
              <w:rPr>
                <w:sz w:val="18"/>
                <w:szCs w:val="18"/>
              </w:rPr>
            </w:pPr>
          </w:p>
          <w:p w14:paraId="2261606F" w14:textId="7B7BF278"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p>
          <w:p w14:paraId="16A01355" w14:textId="77777777" w:rsidR="00943341" w:rsidRPr="00D92205" w:rsidRDefault="00943341" w:rsidP="00D92205">
            <w:pPr>
              <w:rPr>
                <w:sz w:val="18"/>
                <w:szCs w:val="18"/>
              </w:rPr>
            </w:pPr>
          </w:p>
          <w:p w14:paraId="1563852B" w14:textId="5B149596"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lastRenderedPageBreak/>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w:t>
            </w:r>
            <w:proofErr w:type="gramStart"/>
            <w:r w:rsidR="0054098C" w:rsidRPr="00D92205">
              <w:rPr>
                <w:rFonts w:cstheme="minorHAnsi"/>
                <w:b/>
                <w:bCs/>
                <w:color w:val="FF0000"/>
                <w:sz w:val="18"/>
                <w:szCs w:val="18"/>
              </w:rPr>
              <w:t>hors</w:t>
            </w:r>
            <w:proofErr w:type="gramEnd"/>
            <w:r w:rsidR="0054098C" w:rsidRPr="00D92205">
              <w:rPr>
                <w:rFonts w:cstheme="minorHAnsi"/>
                <w:b/>
                <w:bCs/>
                <w:color w:val="FF0000"/>
                <w:sz w:val="18"/>
                <w:szCs w:val="18"/>
              </w:rPr>
              <w:t xml:space="preserve">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2"/>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17DD6D2" w:rsidR="006F5157" w:rsidRPr="00997304" w:rsidRDefault="006F5157" w:rsidP="004237FD">
      <w:pPr>
        <w:pStyle w:val="Titre1"/>
        <w:rPr>
          <w:rFonts w:asciiTheme="minorHAnsi" w:hAnsiTheme="minorHAnsi" w:cstheme="minorHAnsi"/>
          <w:sz w:val="22"/>
          <w:szCs w:val="22"/>
        </w:rPr>
      </w:pPr>
      <w:bookmarkStart w:id="29"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 xml:space="preserve">visant à garantir la sécurité </w:t>
      </w:r>
      <w:proofErr w:type="gramStart"/>
      <w:r w:rsidRPr="00452029">
        <w:rPr>
          <w:rFonts w:asciiTheme="minorHAnsi" w:hAnsiTheme="minorHAnsi" w:cstheme="minorHAnsi"/>
          <w:sz w:val="22"/>
          <w:szCs w:val="22"/>
        </w:rPr>
        <w:t>des donnée</w:t>
      </w:r>
      <w:bookmarkEnd w:id="29"/>
      <w:proofErr w:type="gramEnd"/>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procédures</w:t>
      </w:r>
      <w:proofErr w:type="gramEnd"/>
      <w:r w:rsidRPr="00C1192B">
        <w:rPr>
          <w:rFonts w:cstheme="minorHAnsi"/>
          <w:i/>
          <w:iCs/>
          <w:sz w:val="20"/>
          <w:szCs w:val="20"/>
          <w:highlight w:val="yellow"/>
        </w:rPr>
        <w:t xml:space="preserve">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0"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0"/>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3"/>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proofErr w:type="gramStart"/>
      <w:r w:rsidRPr="00C80862">
        <w:rPr>
          <w:rFonts w:cstheme="minorHAnsi"/>
          <w:i/>
          <w:iCs/>
          <w:sz w:val="20"/>
          <w:szCs w:val="20"/>
        </w:rPr>
        <w:t>via</w:t>
      </w:r>
      <w:proofErr w:type="gramEnd"/>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proofErr w:type="gramStart"/>
      <w:r>
        <w:rPr>
          <w:rFonts w:cstheme="minorHAnsi"/>
          <w:sz w:val="20"/>
          <w:szCs w:val="20"/>
        </w:rPr>
        <w:t>à</w:t>
      </w:r>
      <w:proofErr w:type="gramEnd"/>
      <w:r>
        <w:rPr>
          <w:rFonts w:cstheme="minorHAnsi"/>
          <w:sz w:val="20"/>
          <w:szCs w:val="20"/>
        </w:rPr>
        <w:t xml:space="preserve">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1"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1"/>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w:t>
      </w:r>
      <w:r w:rsidR="00601245" w:rsidRPr="00FB6475">
        <w:rPr>
          <w:rFonts w:cstheme="minorHAnsi"/>
          <w:sz w:val="20"/>
          <w:szCs w:val="20"/>
        </w:rPr>
        <w:t>es</w:t>
      </w:r>
      <w:proofErr w:type="gramEnd"/>
      <w:r w:rsidR="00601245" w:rsidRPr="00FB6475">
        <w:rPr>
          <w:rFonts w:cstheme="minorHAnsi"/>
          <w:sz w:val="20"/>
          <w:szCs w:val="20"/>
        </w:rPr>
        <w:t xml:space="preserve">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FB6475">
        <w:rPr>
          <w:rFonts w:eastAsia="Times New Roman" w:cstheme="minorHAnsi"/>
          <w:color w:val="000000"/>
          <w:sz w:val="20"/>
          <w:szCs w:val="20"/>
        </w:rPr>
        <w:t>l’identité</w:t>
      </w:r>
      <w:proofErr w:type="gramEnd"/>
      <w:r w:rsidRPr="00FB6475">
        <w:rPr>
          <w:rFonts w:eastAsia="Times New Roman" w:cstheme="minorHAnsi"/>
          <w:color w:val="000000"/>
          <w:sz w:val="20"/>
          <w:szCs w:val="20"/>
        </w:rPr>
        <w:t xml:space="preserve">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les</w:t>
      </w:r>
      <w:proofErr w:type="gramEnd"/>
      <w:r w:rsidRPr="004C310E">
        <w:rPr>
          <w:rFonts w:eastAsia="Times New Roman" w:cstheme="minorHAnsi"/>
          <w:color w:val="000000"/>
          <w:sz w:val="20"/>
          <w:szCs w:val="20"/>
        </w:rPr>
        <w:t xml:space="preserve">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proofErr w:type="gramEnd"/>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en</w:t>
      </w:r>
      <w:proofErr w:type="gramEnd"/>
      <w:r w:rsidRPr="00D92205">
        <w:rPr>
          <w:rFonts w:eastAsia="Times New Roman" w:cstheme="minorHAnsi"/>
          <w:color w:val="000000"/>
          <w:sz w:val="20"/>
          <w:szCs w:val="20"/>
        </w:rPr>
        <w:t xml:space="preserve">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2"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3"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3"/>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4"/>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5"/>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avant</w:t>
      </w:r>
      <w:proofErr w:type="gramEnd"/>
      <w:r w:rsidRPr="00855C3E">
        <w:rPr>
          <w:sz w:val="20"/>
          <w:szCs w:val="20"/>
        </w:rPr>
        <w:t xml:space="preserve">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6"/>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p</w:t>
      </w:r>
      <w:r w:rsidR="00E30A7B" w:rsidRPr="00855C3E">
        <w:rPr>
          <w:sz w:val="20"/>
          <w:szCs w:val="20"/>
        </w:rPr>
        <w:t>our</w:t>
      </w:r>
      <w:proofErr w:type="gramEnd"/>
      <w:r w:rsidR="00E30A7B" w:rsidRPr="00855C3E">
        <w:rPr>
          <w:sz w:val="20"/>
          <w:szCs w:val="20"/>
        </w:rPr>
        <w:t xml:space="preserve">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4" w:name="_Hlk162540592"/>
      <w:r w:rsidR="007B35F8" w:rsidRPr="00855C3E">
        <w:rPr>
          <w:sz w:val="20"/>
          <w:szCs w:val="20"/>
        </w:rPr>
        <w:t xml:space="preserve">CCT Transferts – module 3 </w:t>
      </w:r>
      <w:bookmarkEnd w:id="34"/>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7"/>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8"/>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2"/>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EB8DC" w14:textId="77777777" w:rsidR="00DE1710" w:rsidRDefault="00DE1710" w:rsidP="006F5157">
      <w:pPr>
        <w:spacing w:after="0" w:line="240" w:lineRule="auto"/>
      </w:pPr>
      <w:r>
        <w:separator/>
      </w:r>
    </w:p>
  </w:endnote>
  <w:endnote w:type="continuationSeparator" w:id="0">
    <w:p w14:paraId="1EDB22E6" w14:textId="77777777" w:rsidR="00DE1710" w:rsidRDefault="00DE1710"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8D806" w14:textId="77777777" w:rsidR="00DE1710" w:rsidRDefault="00DE1710" w:rsidP="006F5157">
      <w:pPr>
        <w:spacing w:after="0" w:line="240" w:lineRule="auto"/>
      </w:pPr>
      <w:r>
        <w:separator/>
      </w:r>
    </w:p>
  </w:footnote>
  <w:footnote w:type="continuationSeparator" w:id="0">
    <w:p w14:paraId="49D3650A" w14:textId="77777777" w:rsidR="00DE1710" w:rsidRDefault="00DE1710" w:rsidP="006F5157">
      <w:pPr>
        <w:spacing w:after="0" w:line="240" w:lineRule="auto"/>
      </w:pPr>
      <w:r>
        <w:continuationSeparator/>
      </w:r>
    </w:p>
  </w:footnote>
  <w:footnote w:id="1">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1" w:history="1">
        <w:r w:rsidRPr="00DA374B">
          <w:rPr>
            <w:rStyle w:val="Lienhypertexte"/>
            <w:sz w:val="17"/>
            <w:szCs w:val="17"/>
          </w:rPr>
          <w:t>https://www.cnil.fr/fr/la-protection-des-donnees-dans-le-monde</w:t>
        </w:r>
      </w:hyperlink>
      <w:r w:rsidRPr="00DA374B">
        <w:rPr>
          <w:sz w:val="17"/>
          <w:szCs w:val="17"/>
        </w:rPr>
        <w:t xml:space="preserve"> </w:t>
      </w:r>
    </w:p>
  </w:footnote>
  <w:footnote w:id="2">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8" w:name="_Hlk164875551"/>
      <w:r>
        <w:rPr>
          <w:rFonts w:cstheme="minorHAnsi"/>
          <w:color w:val="333333"/>
          <w:sz w:val="17"/>
          <w:szCs w:val="17"/>
          <w:shd w:val="clear" w:color="auto" w:fill="FFFFFF"/>
        </w:rPr>
        <w:t xml:space="preserve">accessibles à l’adresse suivante : </w:t>
      </w:r>
      <w:hyperlink r:id="rId2"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8"/>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3">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3"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r w:rsidRPr="00A93E46">
        <w:rPr>
          <w:i/>
          <w:iCs/>
          <w:sz w:val="17"/>
          <w:szCs w:val="17"/>
        </w:rPr>
        <w:t>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4">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4" w:history="1">
        <w:r w:rsidRPr="00784361">
          <w:rPr>
            <w:rStyle w:val="Lienhypertexte"/>
            <w:rFonts w:cstheme="minorHAnsi"/>
            <w:sz w:val="17"/>
            <w:szCs w:val="17"/>
            <w:shd w:val="clear" w:color="auto" w:fill="FFFFFF"/>
          </w:rPr>
          <w:t>https://eur-lex.europa.eu/eli/dec_impl/2021/914/oj?uri=CELEX:32021D0914&amp;locale=fr</w:t>
        </w:r>
      </w:hyperlink>
    </w:p>
  </w:footnote>
  <w:footnote w:id="5">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5" w:history="1">
        <w:r w:rsidRPr="00DA374B">
          <w:rPr>
            <w:rStyle w:val="Lienhypertexte"/>
            <w:sz w:val="17"/>
            <w:szCs w:val="17"/>
          </w:rPr>
          <w:t>https://www.cnil.fr/fr/la-protection-des-donnees-dans-le-monde</w:t>
        </w:r>
      </w:hyperlink>
      <w:r w:rsidRPr="00DA374B">
        <w:rPr>
          <w:sz w:val="17"/>
          <w:szCs w:val="17"/>
        </w:rPr>
        <w:t xml:space="preserve"> </w:t>
      </w:r>
    </w:p>
  </w:footnote>
  <w:footnote w:id="6">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6"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7">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7"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8">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8"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r w:rsidRPr="008E43EA">
        <w:rPr>
          <w:i/>
          <w:iCs/>
          <w:sz w:val="17"/>
          <w:szCs w:val="17"/>
        </w:rPr>
        <w:t xml:space="preserve">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9"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4D575E0"/>
    <w:multiLevelType w:val="multilevel"/>
    <w:tmpl w:val="C8A03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0226F6"/>
    <w:multiLevelType w:val="multilevel"/>
    <w:tmpl w:val="E5A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3"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5"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6"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74660D4"/>
    <w:multiLevelType w:val="multilevel"/>
    <w:tmpl w:val="D434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2"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3"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0"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7"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6C0B2001"/>
    <w:multiLevelType w:val="hybridMultilevel"/>
    <w:tmpl w:val="CE6ED8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2"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4"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1"/>
  </w:num>
  <w:num w:numId="2" w16cid:durableId="23097890">
    <w:abstractNumId w:val="26"/>
  </w:num>
  <w:num w:numId="3" w16cid:durableId="240330134">
    <w:abstractNumId w:val="63"/>
  </w:num>
  <w:num w:numId="4" w16cid:durableId="100106119">
    <w:abstractNumId w:val="2"/>
  </w:num>
  <w:num w:numId="5" w16cid:durableId="66617201">
    <w:abstractNumId w:val="19"/>
  </w:num>
  <w:num w:numId="6" w16cid:durableId="368073430">
    <w:abstractNumId w:val="11"/>
  </w:num>
  <w:num w:numId="7" w16cid:durableId="40904703">
    <w:abstractNumId w:val="51"/>
  </w:num>
  <w:num w:numId="8" w16cid:durableId="130248672">
    <w:abstractNumId w:val="82"/>
  </w:num>
  <w:num w:numId="9" w16cid:durableId="293412950">
    <w:abstractNumId w:val="16"/>
  </w:num>
  <w:num w:numId="10" w16cid:durableId="2112161915">
    <w:abstractNumId w:val="30"/>
  </w:num>
  <w:num w:numId="11" w16cid:durableId="1955479934">
    <w:abstractNumId w:val="91"/>
  </w:num>
  <w:num w:numId="12" w16cid:durableId="1275401641">
    <w:abstractNumId w:val="36"/>
  </w:num>
  <w:num w:numId="13" w16cid:durableId="208297451">
    <w:abstractNumId w:val="10"/>
  </w:num>
  <w:num w:numId="14" w16cid:durableId="622618649">
    <w:abstractNumId w:val="62"/>
  </w:num>
  <w:num w:numId="15" w16cid:durableId="1243182369">
    <w:abstractNumId w:val="55"/>
  </w:num>
  <w:num w:numId="16" w16cid:durableId="1398625178">
    <w:abstractNumId w:val="0"/>
  </w:num>
  <w:num w:numId="17" w16cid:durableId="1873959320">
    <w:abstractNumId w:val="66"/>
  </w:num>
  <w:num w:numId="18" w16cid:durableId="1440296132">
    <w:abstractNumId w:val="37"/>
  </w:num>
  <w:num w:numId="19" w16cid:durableId="1241988562">
    <w:abstractNumId w:val="59"/>
  </w:num>
  <w:num w:numId="20" w16cid:durableId="696082934">
    <w:abstractNumId w:val="50"/>
  </w:num>
  <w:num w:numId="21" w16cid:durableId="761606446">
    <w:abstractNumId w:val="64"/>
  </w:num>
  <w:num w:numId="22" w16cid:durableId="1528592923">
    <w:abstractNumId w:val="98"/>
  </w:num>
  <w:num w:numId="23" w16cid:durableId="209732561">
    <w:abstractNumId w:val="5"/>
  </w:num>
  <w:num w:numId="24" w16cid:durableId="813760979">
    <w:abstractNumId w:val="71"/>
  </w:num>
  <w:num w:numId="25" w16cid:durableId="2132823762">
    <w:abstractNumId w:val="70"/>
  </w:num>
  <w:num w:numId="26" w16cid:durableId="1680542450">
    <w:abstractNumId w:val="57"/>
  </w:num>
  <w:num w:numId="27" w16cid:durableId="1018967415">
    <w:abstractNumId w:val="75"/>
  </w:num>
  <w:num w:numId="28" w16cid:durableId="1782340786">
    <w:abstractNumId w:val="41"/>
  </w:num>
  <w:num w:numId="29" w16cid:durableId="1958632599">
    <w:abstractNumId w:val="53"/>
  </w:num>
  <w:num w:numId="30" w16cid:durableId="1449545290">
    <w:abstractNumId w:val="48"/>
  </w:num>
  <w:num w:numId="31" w16cid:durableId="2055689273">
    <w:abstractNumId w:val="81"/>
  </w:num>
  <w:num w:numId="32" w16cid:durableId="1920291230">
    <w:abstractNumId w:val="103"/>
  </w:num>
  <w:num w:numId="33" w16cid:durableId="643779450">
    <w:abstractNumId w:val="20"/>
  </w:num>
  <w:num w:numId="34" w16cid:durableId="1776513234">
    <w:abstractNumId w:val="39"/>
  </w:num>
  <w:num w:numId="35" w16cid:durableId="1294870141">
    <w:abstractNumId w:val="43"/>
  </w:num>
  <w:num w:numId="36" w16cid:durableId="1015234180">
    <w:abstractNumId w:val="14"/>
  </w:num>
  <w:num w:numId="37" w16cid:durableId="55130114">
    <w:abstractNumId w:val="86"/>
  </w:num>
  <w:num w:numId="38" w16cid:durableId="1035883137">
    <w:abstractNumId w:val="44"/>
  </w:num>
  <w:num w:numId="39" w16cid:durableId="2020502771">
    <w:abstractNumId w:val="76"/>
  </w:num>
  <w:num w:numId="40" w16cid:durableId="1851404422">
    <w:abstractNumId w:val="69"/>
  </w:num>
  <w:num w:numId="41" w16cid:durableId="745541236">
    <w:abstractNumId w:val="58"/>
  </w:num>
  <w:num w:numId="42" w16cid:durableId="1701278354">
    <w:abstractNumId w:val="31"/>
  </w:num>
  <w:num w:numId="43" w16cid:durableId="2137328851">
    <w:abstractNumId w:val="34"/>
  </w:num>
  <w:num w:numId="44" w16cid:durableId="1611085350">
    <w:abstractNumId w:val="38"/>
  </w:num>
  <w:num w:numId="45" w16cid:durableId="169610300">
    <w:abstractNumId w:val="74"/>
  </w:num>
  <w:num w:numId="46" w16cid:durableId="510224157">
    <w:abstractNumId w:val="13"/>
  </w:num>
  <w:num w:numId="47" w16cid:durableId="289670155">
    <w:abstractNumId w:val="85"/>
  </w:num>
  <w:num w:numId="48" w16cid:durableId="914583439">
    <w:abstractNumId w:val="67"/>
  </w:num>
  <w:num w:numId="49" w16cid:durableId="1395471696">
    <w:abstractNumId w:val="102"/>
  </w:num>
  <w:num w:numId="50" w16cid:durableId="611060444">
    <w:abstractNumId w:val="6"/>
  </w:num>
  <w:num w:numId="51" w16cid:durableId="1564019714">
    <w:abstractNumId w:val="27"/>
  </w:num>
  <w:num w:numId="52" w16cid:durableId="2018654521">
    <w:abstractNumId w:val="80"/>
  </w:num>
  <w:num w:numId="53" w16cid:durableId="1612587041">
    <w:abstractNumId w:val="83"/>
  </w:num>
  <w:num w:numId="54" w16cid:durableId="1847864772">
    <w:abstractNumId w:val="92"/>
  </w:num>
  <w:num w:numId="55" w16cid:durableId="1021199975">
    <w:abstractNumId w:val="9"/>
  </w:num>
  <w:num w:numId="56" w16cid:durableId="2094085599">
    <w:abstractNumId w:val="52"/>
  </w:num>
  <w:num w:numId="57" w16cid:durableId="1879395154">
    <w:abstractNumId w:val="78"/>
  </w:num>
  <w:num w:numId="58" w16cid:durableId="1085031833">
    <w:abstractNumId w:val="8"/>
  </w:num>
  <w:num w:numId="59" w16cid:durableId="1319310168">
    <w:abstractNumId w:val="49"/>
  </w:num>
  <w:num w:numId="60" w16cid:durableId="372968689">
    <w:abstractNumId w:val="45"/>
  </w:num>
  <w:num w:numId="61" w16cid:durableId="1598052128">
    <w:abstractNumId w:val="93"/>
  </w:num>
  <w:num w:numId="62" w16cid:durableId="311564762">
    <w:abstractNumId w:val="46"/>
  </w:num>
  <w:num w:numId="63" w16cid:durableId="1564219956">
    <w:abstractNumId w:val="99"/>
  </w:num>
  <w:num w:numId="64" w16cid:durableId="1240871798">
    <w:abstractNumId w:val="87"/>
  </w:num>
  <w:num w:numId="65" w16cid:durableId="1038507853">
    <w:abstractNumId w:val="47"/>
  </w:num>
  <w:num w:numId="66" w16cid:durableId="711924739">
    <w:abstractNumId w:val="54"/>
  </w:num>
  <w:num w:numId="67" w16cid:durableId="1072390450">
    <w:abstractNumId w:val="77"/>
  </w:num>
  <w:num w:numId="68" w16cid:durableId="650718916">
    <w:abstractNumId w:val="72"/>
  </w:num>
  <w:num w:numId="69" w16cid:durableId="259027228">
    <w:abstractNumId w:val="35"/>
  </w:num>
  <w:num w:numId="70" w16cid:durableId="521746409">
    <w:abstractNumId w:val="89"/>
  </w:num>
  <w:num w:numId="71" w16cid:durableId="1642610408">
    <w:abstractNumId w:val="88"/>
  </w:num>
  <w:num w:numId="72" w16cid:durableId="1645815816">
    <w:abstractNumId w:val="28"/>
  </w:num>
  <w:num w:numId="73" w16cid:durableId="1359548465">
    <w:abstractNumId w:val="23"/>
  </w:num>
  <w:num w:numId="74" w16cid:durableId="1322344471">
    <w:abstractNumId w:val="29"/>
  </w:num>
  <w:num w:numId="75" w16cid:durableId="1921064339">
    <w:abstractNumId w:val="79"/>
  </w:num>
  <w:num w:numId="76" w16cid:durableId="161900139">
    <w:abstractNumId w:val="65"/>
  </w:num>
  <w:num w:numId="77" w16cid:durableId="214703921">
    <w:abstractNumId w:val="25"/>
  </w:num>
  <w:num w:numId="78" w16cid:durableId="317853913">
    <w:abstractNumId w:val="15"/>
  </w:num>
  <w:num w:numId="79" w16cid:durableId="418141768">
    <w:abstractNumId w:val="7"/>
  </w:num>
  <w:num w:numId="80" w16cid:durableId="2117942878">
    <w:abstractNumId w:val="97"/>
  </w:num>
  <w:num w:numId="81" w16cid:durableId="227040620">
    <w:abstractNumId w:val="60"/>
  </w:num>
  <w:num w:numId="82" w16cid:durableId="238558043">
    <w:abstractNumId w:val="22"/>
  </w:num>
  <w:num w:numId="83" w16cid:durableId="1555001007">
    <w:abstractNumId w:val="12"/>
  </w:num>
  <w:num w:numId="84" w16cid:durableId="1698895351">
    <w:abstractNumId w:val="94"/>
  </w:num>
  <w:num w:numId="85" w16cid:durableId="204635537">
    <w:abstractNumId w:val="1"/>
  </w:num>
  <w:num w:numId="86" w16cid:durableId="185339333">
    <w:abstractNumId w:val="84"/>
  </w:num>
  <w:num w:numId="87" w16cid:durableId="2124225558">
    <w:abstractNumId w:val="32"/>
  </w:num>
  <w:num w:numId="88" w16cid:durableId="779027641">
    <w:abstractNumId w:val="56"/>
  </w:num>
  <w:num w:numId="89" w16cid:durableId="416752988">
    <w:abstractNumId w:val="104"/>
  </w:num>
  <w:num w:numId="90" w16cid:durableId="1469518990">
    <w:abstractNumId w:val="101"/>
  </w:num>
  <w:num w:numId="91" w16cid:durableId="1341932611">
    <w:abstractNumId w:val="3"/>
  </w:num>
  <w:num w:numId="92" w16cid:durableId="1063453558">
    <w:abstractNumId w:val="42"/>
  </w:num>
  <w:num w:numId="93" w16cid:durableId="492569533">
    <w:abstractNumId w:val="4"/>
  </w:num>
  <w:num w:numId="94" w16cid:durableId="1178227408">
    <w:abstractNumId w:val="40"/>
  </w:num>
  <w:num w:numId="95" w16cid:durableId="989792465">
    <w:abstractNumId w:val="100"/>
  </w:num>
  <w:num w:numId="96" w16cid:durableId="750129303">
    <w:abstractNumId w:val="33"/>
  </w:num>
  <w:num w:numId="97" w16cid:durableId="1751148697">
    <w:abstractNumId w:val="96"/>
  </w:num>
  <w:num w:numId="98" w16cid:durableId="2025667598">
    <w:abstractNumId w:val="24"/>
  </w:num>
  <w:num w:numId="99" w16cid:durableId="740713684">
    <w:abstractNumId w:val="95"/>
  </w:num>
  <w:num w:numId="100" w16cid:durableId="895244199">
    <w:abstractNumId w:val="73"/>
  </w:num>
  <w:num w:numId="101" w16cid:durableId="1196384538">
    <w:abstractNumId w:val="61"/>
  </w:num>
  <w:num w:numId="102" w16cid:durableId="186800402">
    <w:abstractNumId w:val="18"/>
  </w:num>
  <w:num w:numId="103" w16cid:durableId="1376156226">
    <w:abstractNumId w:val="17"/>
  </w:num>
  <w:num w:numId="104" w16cid:durableId="7293619">
    <w:abstractNumId w:val="68"/>
  </w:num>
  <w:num w:numId="105" w16cid:durableId="2098018907">
    <w:abstractNumId w:val="9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95FE7"/>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460F"/>
    <w:rsid w:val="000F5D86"/>
    <w:rsid w:val="000F7908"/>
    <w:rsid w:val="00103476"/>
    <w:rsid w:val="0010385E"/>
    <w:rsid w:val="00113877"/>
    <w:rsid w:val="00113CB7"/>
    <w:rsid w:val="00116FEA"/>
    <w:rsid w:val="001234CA"/>
    <w:rsid w:val="00134CB9"/>
    <w:rsid w:val="00135E6F"/>
    <w:rsid w:val="001366FE"/>
    <w:rsid w:val="00142681"/>
    <w:rsid w:val="0014552C"/>
    <w:rsid w:val="00145E89"/>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12FF"/>
    <w:rsid w:val="001F220D"/>
    <w:rsid w:val="001F4A5D"/>
    <w:rsid w:val="0020473E"/>
    <w:rsid w:val="0020783C"/>
    <w:rsid w:val="002158AB"/>
    <w:rsid w:val="00215AC3"/>
    <w:rsid w:val="00216896"/>
    <w:rsid w:val="002222E9"/>
    <w:rsid w:val="00224656"/>
    <w:rsid w:val="00231EC3"/>
    <w:rsid w:val="00232C43"/>
    <w:rsid w:val="00233E07"/>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9BB"/>
    <w:rsid w:val="002D1DC8"/>
    <w:rsid w:val="002D2353"/>
    <w:rsid w:val="002D346A"/>
    <w:rsid w:val="002E13D9"/>
    <w:rsid w:val="002F3770"/>
    <w:rsid w:val="002F64AA"/>
    <w:rsid w:val="002F6685"/>
    <w:rsid w:val="00301335"/>
    <w:rsid w:val="00301AF5"/>
    <w:rsid w:val="00302ADE"/>
    <w:rsid w:val="00303790"/>
    <w:rsid w:val="00303C49"/>
    <w:rsid w:val="00305C99"/>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3B0F"/>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4F83"/>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5C16"/>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50FD"/>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ACF"/>
    <w:rsid w:val="00735B92"/>
    <w:rsid w:val="00736200"/>
    <w:rsid w:val="00742F70"/>
    <w:rsid w:val="00745492"/>
    <w:rsid w:val="007463E9"/>
    <w:rsid w:val="00753B99"/>
    <w:rsid w:val="00753E54"/>
    <w:rsid w:val="0075482E"/>
    <w:rsid w:val="00757C6B"/>
    <w:rsid w:val="007607FA"/>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A58FD"/>
    <w:rsid w:val="008B4573"/>
    <w:rsid w:val="008B467A"/>
    <w:rsid w:val="008B56BA"/>
    <w:rsid w:val="008B5E62"/>
    <w:rsid w:val="008B69B9"/>
    <w:rsid w:val="008D16D6"/>
    <w:rsid w:val="008D1711"/>
    <w:rsid w:val="008D512C"/>
    <w:rsid w:val="008E2ED1"/>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39F1"/>
    <w:rsid w:val="009764D0"/>
    <w:rsid w:val="00987FE4"/>
    <w:rsid w:val="009927E7"/>
    <w:rsid w:val="00992CFB"/>
    <w:rsid w:val="00997304"/>
    <w:rsid w:val="009A318B"/>
    <w:rsid w:val="009A5A74"/>
    <w:rsid w:val="009B1114"/>
    <w:rsid w:val="009B3841"/>
    <w:rsid w:val="009C01B3"/>
    <w:rsid w:val="009C32AB"/>
    <w:rsid w:val="009C7A24"/>
    <w:rsid w:val="009C7B1A"/>
    <w:rsid w:val="009C7C13"/>
    <w:rsid w:val="009D5565"/>
    <w:rsid w:val="009D6B86"/>
    <w:rsid w:val="009D79AF"/>
    <w:rsid w:val="009E35B1"/>
    <w:rsid w:val="009E4AA8"/>
    <w:rsid w:val="009F428D"/>
    <w:rsid w:val="009F5A18"/>
    <w:rsid w:val="00A05CDA"/>
    <w:rsid w:val="00A10970"/>
    <w:rsid w:val="00A1210D"/>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2FB"/>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95828"/>
    <w:rsid w:val="00AA0E66"/>
    <w:rsid w:val="00AA7E70"/>
    <w:rsid w:val="00AB1345"/>
    <w:rsid w:val="00AB2EB4"/>
    <w:rsid w:val="00AB35F2"/>
    <w:rsid w:val="00AB4BE9"/>
    <w:rsid w:val="00AB6CCB"/>
    <w:rsid w:val="00AC31E8"/>
    <w:rsid w:val="00AC5471"/>
    <w:rsid w:val="00AD0DCD"/>
    <w:rsid w:val="00AD2916"/>
    <w:rsid w:val="00AD3D9E"/>
    <w:rsid w:val="00AD7833"/>
    <w:rsid w:val="00AF0775"/>
    <w:rsid w:val="00AF1CA5"/>
    <w:rsid w:val="00AF3D21"/>
    <w:rsid w:val="00AF5209"/>
    <w:rsid w:val="00AF7327"/>
    <w:rsid w:val="00AF766C"/>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A5E2F"/>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57AF1"/>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5196"/>
    <w:rsid w:val="00CE6679"/>
    <w:rsid w:val="00CF17E7"/>
    <w:rsid w:val="00CF65F5"/>
    <w:rsid w:val="00CF7FB5"/>
    <w:rsid w:val="00D01940"/>
    <w:rsid w:val="00D019D1"/>
    <w:rsid w:val="00D0644F"/>
    <w:rsid w:val="00D07A88"/>
    <w:rsid w:val="00D11F61"/>
    <w:rsid w:val="00D12698"/>
    <w:rsid w:val="00D1279A"/>
    <w:rsid w:val="00D15C42"/>
    <w:rsid w:val="00D165A8"/>
    <w:rsid w:val="00D20B6F"/>
    <w:rsid w:val="00D26720"/>
    <w:rsid w:val="00D327F3"/>
    <w:rsid w:val="00D33654"/>
    <w:rsid w:val="00D34516"/>
    <w:rsid w:val="00D3550B"/>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0FD6"/>
    <w:rsid w:val="00DA2481"/>
    <w:rsid w:val="00DB19DA"/>
    <w:rsid w:val="00DB32FC"/>
    <w:rsid w:val="00DB5702"/>
    <w:rsid w:val="00DB70A5"/>
    <w:rsid w:val="00DC6566"/>
    <w:rsid w:val="00DD1688"/>
    <w:rsid w:val="00DD209E"/>
    <w:rsid w:val="00DD240C"/>
    <w:rsid w:val="00DD6967"/>
    <w:rsid w:val="00DE0222"/>
    <w:rsid w:val="00DE058F"/>
    <w:rsid w:val="00DE1710"/>
    <w:rsid w:val="00DE3FBE"/>
    <w:rsid w:val="00DE5BDB"/>
    <w:rsid w:val="00DE6EF4"/>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60A"/>
    <w:rsid w:val="00EB570C"/>
    <w:rsid w:val="00EC368B"/>
    <w:rsid w:val="00EC493C"/>
    <w:rsid w:val="00EC4C16"/>
    <w:rsid w:val="00EC7EFC"/>
    <w:rsid w:val="00ED1D7B"/>
    <w:rsid w:val="00ED6568"/>
    <w:rsid w:val="00EE2D20"/>
    <w:rsid w:val="00EE352D"/>
    <w:rsid w:val="00EE5D25"/>
    <w:rsid w:val="00EE5E91"/>
    <w:rsid w:val="00EE6E42"/>
    <w:rsid w:val="00EF5BAF"/>
    <w:rsid w:val="00EF60F7"/>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43B0"/>
    <w:rsid w:val="00F86731"/>
    <w:rsid w:val="00F914BB"/>
    <w:rsid w:val="00F9236A"/>
    <w:rsid w:val="00F924D6"/>
    <w:rsid w:val="00F95133"/>
    <w:rsid w:val="00F9528C"/>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styleId="NormalWeb">
    <w:name w:val="Normal (Web)"/>
    <w:basedOn w:val="Normal"/>
    <w:uiPriority w:val="99"/>
    <w:semiHidden/>
    <w:unhideWhenUsed/>
    <w:rsid w:val="00233E0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33E07"/>
    <w:rPr>
      <w:b/>
      <w:bCs/>
    </w:rPr>
  </w:style>
  <w:style w:type="paragraph" w:styleId="Corpsdetexte">
    <w:name w:val="Body Text"/>
    <w:basedOn w:val="Normal"/>
    <w:link w:val="CorpsdetexteCar"/>
    <w:uiPriority w:val="99"/>
    <w:unhideWhenUsed/>
    <w:rsid w:val="00DE058F"/>
    <w:pPr>
      <w:spacing w:after="120" w:line="240" w:lineRule="auto"/>
      <w:jc w:val="both"/>
    </w:pPr>
    <w:rPr>
      <w:rFonts w:ascii="Calibri" w:eastAsia="Times New Roman" w:hAnsi="Calibri" w:cs="Times New Roman"/>
      <w:sz w:val="20"/>
      <w:szCs w:val="24"/>
      <w:lang w:eastAsia="fr-FR"/>
    </w:rPr>
  </w:style>
  <w:style w:type="character" w:customStyle="1" w:styleId="CorpsdetexteCar">
    <w:name w:val="Corps de texte Car"/>
    <w:basedOn w:val="Policepardfaut"/>
    <w:link w:val="Corpsdetexte"/>
    <w:uiPriority w:val="99"/>
    <w:rsid w:val="00DE058F"/>
    <w:rPr>
      <w:rFonts w:ascii="Calibri" w:eastAsia="Times New Roman" w:hAnsi="Calibri" w:cs="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576865329">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149059393">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sabelle.tcherkezian@caissedesdepot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aissedesdepots.f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ission.europa.eu/law/law-topic/data-protection/international-dimension-data-protection/eu-us-data-transfers_en" TargetMode="External"/><Relationship Id="rId3" Type="http://schemas.openxmlformats.org/officeDocument/2006/relationships/hyperlink" Target="https://www.cnil.fr/fr/reglement-europeen-protection-donnees" TargetMode="External"/><Relationship Id="rId7" Type="http://schemas.openxmlformats.org/officeDocument/2006/relationships/hyperlink" Target="https://edpb.europa.eu/our-work-tools/documents/public-consultations/2020/recommendations-012020-measures-supplement_fr" TargetMode="External"/><Relationship Id="rId2" Type="http://schemas.openxmlformats.org/officeDocument/2006/relationships/hyperlink" Target="https://eur-lex.europa.eu/eli/dec_impl/2021/914/oj?uri=CELEX:32021D0914&amp;locale=fr" TargetMode="External"/><Relationship Id="rId1" Type="http://schemas.openxmlformats.org/officeDocument/2006/relationships/hyperlink" Target="https://www.cnil.fr/fr/la-protection-des-donnees-dans-le-monde" TargetMode="External"/><Relationship Id="rId6" Type="http://schemas.openxmlformats.org/officeDocument/2006/relationships/hyperlink" Target="https://edpb.europa.eu/our-work-tools/our-documents/recommendations/recommendations-022020-european-essential-guarantees_fr" TargetMode="External"/><Relationship Id="rId5" Type="http://schemas.openxmlformats.org/officeDocument/2006/relationships/hyperlink" Target="https://www.cnil.fr/fr/la-protection-des-donnees-dans-le-monde" TargetMode="External"/><Relationship Id="rId4" Type="http://schemas.openxmlformats.org/officeDocument/2006/relationships/hyperlink" Target="https://eur-lex.europa.eu/eli/dec_impl/2021/914/oj?uri=CELEX:32021D0914&amp;locale=fr" TargetMode="External"/><Relationship Id="rId9" Type="http://schemas.openxmlformats.org/officeDocument/2006/relationships/hyperlink" Target="https://www.dataprivacyframework.gov/li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8062</Words>
  <Characters>44344</Characters>
  <Application>Microsoft Office Word</Application>
  <DocSecurity>4</DocSecurity>
  <Lines>369</Lines>
  <Paragraphs>104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Madouni, Nadia</cp:lastModifiedBy>
  <cp:revision>2</cp:revision>
  <cp:lastPrinted>2024-04-25T17:33:00Z</cp:lastPrinted>
  <dcterms:created xsi:type="dcterms:W3CDTF">2025-01-31T13:55:00Z</dcterms:created>
  <dcterms:modified xsi:type="dcterms:W3CDTF">2025-01-31T13:55:00Z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