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99E13" w14:textId="77777777" w:rsidR="00F90C96" w:rsidRPr="00A52637" w:rsidRDefault="00A52637">
      <w:pPr>
        <w:pStyle w:val="Retraitcorpsdetexte"/>
        <w:spacing w:before="1080"/>
        <w:rPr>
          <w:rFonts w:ascii="Open Sans" w:hAnsi="Open Sans" w:cs="Open Sans"/>
        </w:rPr>
      </w:pPr>
      <w:r w:rsidRPr="00A52637">
        <w:rPr>
          <w:rFonts w:ascii="Open Sans" w:hAnsi="Open Sans" w:cs="Open Sans"/>
          <w:noProof/>
        </w:rPr>
        <w:drawing>
          <wp:anchor distT="0" distB="0" distL="114300" distR="114300" simplePos="0" relativeHeight="251673088" behindDoc="0" locked="0" layoutInCell="1" allowOverlap="1" wp14:anchorId="1F2F8B36" wp14:editId="7DFC479E">
            <wp:simplePos x="0" y="0"/>
            <wp:positionH relativeFrom="column">
              <wp:posOffset>2004939</wp:posOffset>
            </wp:positionH>
            <wp:positionV relativeFrom="paragraph">
              <wp:posOffset>-279253</wp:posOffset>
            </wp:positionV>
            <wp:extent cx="4554220" cy="84137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4220" cy="841375"/>
                    </a:xfrm>
                    <a:prstGeom prst="rect">
                      <a:avLst/>
                    </a:prstGeom>
                    <a:noFill/>
                  </pic:spPr>
                </pic:pic>
              </a:graphicData>
            </a:graphic>
            <wp14:sizeRelH relativeFrom="page">
              <wp14:pctWidth>0</wp14:pctWidth>
            </wp14:sizeRelH>
            <wp14:sizeRelV relativeFrom="page">
              <wp14:pctHeight>0</wp14:pctHeight>
            </wp14:sizeRelV>
          </wp:anchor>
        </w:drawing>
      </w:r>
      <w:r w:rsidR="00F90C96" w:rsidRPr="00A52637">
        <w:rPr>
          <w:rFonts w:ascii="Open Sans" w:hAnsi="Open Sans" w:cs="Open Sans"/>
        </w:rPr>
        <w:t>REGLEMENT DE LA CONSULTATION</w:t>
      </w:r>
    </w:p>
    <w:p w14:paraId="73B201F6" w14:textId="77777777" w:rsidR="00F90C96" w:rsidRPr="00A52637" w:rsidRDefault="00F90C96">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b/>
          <w:bCs/>
          <w:sz w:val="40"/>
          <w:szCs w:val="40"/>
        </w:rPr>
      </w:pPr>
    </w:p>
    <w:p w14:paraId="0F022A03" w14:textId="77777777" w:rsidR="00F90C96" w:rsidRPr="00A52637" w:rsidRDefault="00F90C96">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b/>
          <w:bCs/>
          <w:sz w:val="40"/>
          <w:szCs w:val="40"/>
        </w:rPr>
      </w:pPr>
      <w:r w:rsidRPr="00A52637">
        <w:rPr>
          <w:rFonts w:cs="Open Sans"/>
          <w:b/>
          <w:bCs/>
          <w:sz w:val="40"/>
          <w:szCs w:val="40"/>
        </w:rPr>
        <w:t xml:space="preserve">n° </w:t>
      </w:r>
      <w:r w:rsidR="00F15560">
        <w:rPr>
          <w:rFonts w:cs="Open Sans"/>
          <w:b/>
          <w:bCs/>
          <w:sz w:val="40"/>
          <w:szCs w:val="40"/>
        </w:rPr>
        <w:t>24-034 IT</w:t>
      </w:r>
      <w:r w:rsidRPr="00A52637">
        <w:rPr>
          <w:rFonts w:cs="Open Sans"/>
          <w:b/>
          <w:bCs/>
          <w:sz w:val="40"/>
          <w:szCs w:val="40"/>
        </w:rPr>
        <w:t xml:space="preserve"> </w:t>
      </w:r>
    </w:p>
    <w:p w14:paraId="61128171" w14:textId="77777777" w:rsidR="00F90C96" w:rsidRPr="00A52637" w:rsidRDefault="00F90C96">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sz w:val="40"/>
          <w:szCs w:val="40"/>
        </w:rPr>
      </w:pPr>
    </w:p>
    <w:p w14:paraId="1DFCA96A" w14:textId="77777777" w:rsidR="00F90C96" w:rsidRPr="00A52637" w:rsidRDefault="00923138">
      <w:pPr>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ind w:left="3969"/>
        <w:jc w:val="center"/>
        <w:rPr>
          <w:rFonts w:cs="Open Sans"/>
          <w:b/>
          <w:bCs/>
          <w:sz w:val="40"/>
          <w:szCs w:val="40"/>
        </w:rPr>
      </w:pPr>
      <w:r w:rsidRPr="00A52637">
        <w:rPr>
          <w:rFonts w:cs="Open Sans"/>
          <w:b/>
          <w:bCs/>
          <w:i/>
          <w:sz w:val="40"/>
          <w:szCs w:val="40"/>
        </w:rPr>
        <w:t>Appel d’offres</w:t>
      </w:r>
      <w:r w:rsidR="00FC4E55" w:rsidRPr="00A52637">
        <w:rPr>
          <w:rFonts w:cs="Open Sans"/>
          <w:b/>
          <w:bCs/>
          <w:i/>
          <w:sz w:val="40"/>
          <w:szCs w:val="40"/>
        </w:rPr>
        <w:t xml:space="preserve"> ouvert</w:t>
      </w:r>
    </w:p>
    <w:p w14:paraId="00FC076D" w14:textId="77777777" w:rsidR="00F90C96" w:rsidRPr="00A52637" w:rsidRDefault="00F90C96">
      <w:pPr>
        <w:widowControl w:val="0"/>
        <w:autoSpaceDE w:val="0"/>
        <w:autoSpaceDN w:val="0"/>
        <w:adjustRightInd w:val="0"/>
        <w:jc w:val="center"/>
        <w:rPr>
          <w:rFonts w:cs="Open Sans"/>
          <w:szCs w:val="20"/>
        </w:rPr>
      </w:pPr>
    </w:p>
    <w:p w14:paraId="5FB591C0" w14:textId="77777777" w:rsidR="00F90C96" w:rsidRPr="00A52637" w:rsidRDefault="00F90C96">
      <w:pPr>
        <w:widowControl w:val="0"/>
        <w:autoSpaceDE w:val="0"/>
        <w:autoSpaceDN w:val="0"/>
        <w:adjustRightInd w:val="0"/>
        <w:jc w:val="center"/>
        <w:rPr>
          <w:rFonts w:cs="Open Sans"/>
          <w:szCs w:val="20"/>
        </w:rPr>
      </w:pPr>
    </w:p>
    <w:p w14:paraId="53A55295" w14:textId="77777777" w:rsidR="00F90C96" w:rsidRDefault="00F90C96">
      <w:pPr>
        <w:widowControl w:val="0"/>
        <w:autoSpaceDE w:val="0"/>
        <w:autoSpaceDN w:val="0"/>
        <w:adjustRightInd w:val="0"/>
        <w:jc w:val="center"/>
        <w:rPr>
          <w:rFonts w:cs="Open Sans"/>
          <w:szCs w:val="20"/>
        </w:rPr>
      </w:pPr>
    </w:p>
    <w:p w14:paraId="085E0FA6" w14:textId="77777777" w:rsidR="000169CB" w:rsidRPr="00A52637" w:rsidRDefault="000169CB">
      <w:pPr>
        <w:widowControl w:val="0"/>
        <w:autoSpaceDE w:val="0"/>
        <w:autoSpaceDN w:val="0"/>
        <w:adjustRightInd w:val="0"/>
        <w:jc w:val="center"/>
        <w:rPr>
          <w:rFonts w:cs="Open Sans"/>
          <w:szCs w:val="20"/>
        </w:rPr>
      </w:pPr>
    </w:p>
    <w:p w14:paraId="1B8B0DE7" w14:textId="77777777" w:rsidR="00F90C96" w:rsidRPr="00A52637" w:rsidRDefault="00F90C96">
      <w:pPr>
        <w:widowControl w:val="0"/>
        <w:autoSpaceDE w:val="0"/>
        <w:autoSpaceDN w:val="0"/>
        <w:adjustRightInd w:val="0"/>
        <w:rPr>
          <w:rFonts w:cs="Open Sans"/>
          <w:szCs w:val="20"/>
        </w:rPr>
      </w:pPr>
    </w:p>
    <w:p w14:paraId="40A10C0B" w14:textId="68CB2086" w:rsidR="00F90C96" w:rsidRPr="00A52637" w:rsidRDefault="00F90C96" w:rsidP="00E327F0">
      <w:r w:rsidRPr="00A52637">
        <w:rPr>
          <w:u w:val="single"/>
        </w:rPr>
        <w:t>Objet</w:t>
      </w:r>
      <w:r w:rsidRPr="00A52637">
        <w:t xml:space="preserve"> :</w:t>
      </w:r>
      <w:r w:rsidRPr="00A52637">
        <w:tab/>
      </w:r>
      <w:r w:rsidR="002E7B67" w:rsidRPr="00A52637">
        <w:t xml:space="preserve">Réalisation de prestations d’assistance technique pour la mise en œuvre et l’exploitation des services opérationnels </w:t>
      </w:r>
      <w:r w:rsidR="00E327F0" w:rsidRPr="00A52637">
        <w:t>informatiques</w:t>
      </w:r>
      <w:r w:rsidR="00E327F0">
        <w:t xml:space="preserve"> de</w:t>
      </w:r>
      <w:r w:rsidR="00F15560">
        <w:t xml:space="preserve"> l’AP-HP (AT INFRA)</w:t>
      </w:r>
    </w:p>
    <w:p w14:paraId="52CAEA7D" w14:textId="31145CE0" w:rsidR="00F90C96" w:rsidRDefault="00F90C96" w:rsidP="00E327F0"/>
    <w:p w14:paraId="753BDD48" w14:textId="77777777" w:rsidR="00E327F0" w:rsidRPr="00A52637" w:rsidRDefault="00E327F0" w:rsidP="00E327F0"/>
    <w:p w14:paraId="4D92AF73" w14:textId="607074D0" w:rsidR="00F90C96" w:rsidRPr="00A52637" w:rsidRDefault="00F90C96" w:rsidP="00E327F0">
      <w:r w:rsidRPr="00A52637">
        <w:rPr>
          <w:u w:val="single"/>
        </w:rPr>
        <w:t>Date limite de remise des</w:t>
      </w:r>
      <w:r w:rsidR="00B93D8C" w:rsidRPr="00A52637">
        <w:rPr>
          <w:u w:val="single"/>
        </w:rPr>
        <w:t xml:space="preserve"> candidatures et des</w:t>
      </w:r>
      <w:r w:rsidRPr="00A52637">
        <w:rPr>
          <w:u w:val="single"/>
        </w:rPr>
        <w:t xml:space="preserve"> offres</w:t>
      </w:r>
      <w:r w:rsidRPr="00A52637">
        <w:t xml:space="preserve"> </w:t>
      </w:r>
      <w:r w:rsidRPr="00D8482E">
        <w:t xml:space="preserve">: </w:t>
      </w:r>
      <w:r w:rsidR="00F81277">
        <w:t xml:space="preserve">le </w:t>
      </w:r>
      <w:r w:rsidR="007D469C">
        <w:t>24/03/2025 à 12h00</w:t>
      </w:r>
    </w:p>
    <w:p w14:paraId="0F61BA27" w14:textId="77777777" w:rsidR="00F90C96" w:rsidRPr="00A52637" w:rsidRDefault="00F90C96">
      <w:pPr>
        <w:widowControl w:val="0"/>
        <w:autoSpaceDE w:val="0"/>
        <w:autoSpaceDN w:val="0"/>
        <w:adjustRightInd w:val="0"/>
        <w:rPr>
          <w:rFonts w:cs="Open Sans"/>
          <w:sz w:val="18"/>
          <w:szCs w:val="18"/>
        </w:rPr>
      </w:pPr>
    </w:p>
    <w:p w14:paraId="332F28CF" w14:textId="77777777" w:rsidR="00F90C96" w:rsidRPr="00A52637" w:rsidRDefault="00F90C96">
      <w:pPr>
        <w:widowControl w:val="0"/>
        <w:autoSpaceDE w:val="0"/>
        <w:autoSpaceDN w:val="0"/>
        <w:adjustRightInd w:val="0"/>
        <w:rPr>
          <w:rFonts w:cs="Open Sans"/>
          <w:sz w:val="18"/>
          <w:szCs w:val="18"/>
        </w:rPr>
      </w:pPr>
    </w:p>
    <w:p w14:paraId="333D6158" w14:textId="77777777" w:rsidR="00F90C96" w:rsidRPr="00A52637" w:rsidRDefault="00F90C96">
      <w:pPr>
        <w:widowControl w:val="0"/>
        <w:autoSpaceDE w:val="0"/>
        <w:autoSpaceDN w:val="0"/>
        <w:adjustRightInd w:val="0"/>
        <w:rPr>
          <w:rFonts w:cs="Open Sans"/>
          <w:sz w:val="18"/>
          <w:szCs w:val="18"/>
        </w:rPr>
      </w:pPr>
    </w:p>
    <w:p w14:paraId="54CC4622" w14:textId="77777777" w:rsidR="00F90C96" w:rsidRPr="00A52637" w:rsidRDefault="00F90C96" w:rsidP="00F96D16">
      <w:pPr>
        <w:widowControl w:val="0"/>
        <w:autoSpaceDE w:val="0"/>
        <w:autoSpaceDN w:val="0"/>
        <w:adjustRightInd w:val="0"/>
        <w:rPr>
          <w:rFonts w:cs="Open Sans"/>
          <w:i/>
          <w:iCs/>
          <w:sz w:val="18"/>
          <w:szCs w:val="18"/>
        </w:rPr>
      </w:pPr>
      <w:r w:rsidRPr="00A52637">
        <w:rPr>
          <w:rFonts w:cs="Open Sans"/>
          <w:b/>
          <w:bCs/>
          <w:sz w:val="18"/>
          <w:szCs w:val="18"/>
        </w:rPr>
        <w:br w:type="page"/>
      </w:r>
    </w:p>
    <w:p w14:paraId="3BAB6609" w14:textId="77777777" w:rsidR="00F90C96" w:rsidRPr="00A52637" w:rsidRDefault="00F90C96">
      <w:pPr>
        <w:keepNext/>
        <w:widowControl w:val="0"/>
        <w:autoSpaceDE w:val="0"/>
        <w:autoSpaceDN w:val="0"/>
        <w:adjustRightInd w:val="0"/>
        <w:jc w:val="center"/>
        <w:rPr>
          <w:rFonts w:cs="Open Sans"/>
          <w:b/>
          <w:bCs/>
          <w:sz w:val="48"/>
          <w:szCs w:val="20"/>
        </w:rPr>
      </w:pPr>
      <w:r w:rsidRPr="00A52637">
        <w:rPr>
          <w:rFonts w:cs="Open Sans"/>
          <w:b/>
          <w:bCs/>
          <w:sz w:val="48"/>
          <w:szCs w:val="20"/>
        </w:rPr>
        <w:lastRenderedPageBreak/>
        <w:t>SOMMAIRE</w:t>
      </w:r>
    </w:p>
    <w:p w14:paraId="39763F63" w14:textId="77777777" w:rsidR="00F90C96" w:rsidRPr="00A52637" w:rsidRDefault="00F90C96">
      <w:pPr>
        <w:keepNext/>
        <w:widowControl w:val="0"/>
        <w:autoSpaceDE w:val="0"/>
        <w:autoSpaceDN w:val="0"/>
        <w:adjustRightInd w:val="0"/>
        <w:rPr>
          <w:rFonts w:cs="Open Sans"/>
          <w:b/>
          <w:bCs/>
          <w:szCs w:val="20"/>
        </w:rPr>
      </w:pPr>
    </w:p>
    <w:p w14:paraId="086A83D2" w14:textId="77777777" w:rsidR="007A117F" w:rsidRPr="000169CB" w:rsidRDefault="00F90C96" w:rsidP="000169CB">
      <w:pPr>
        <w:pStyle w:val="TM1"/>
        <w:rPr>
          <w:rFonts w:eastAsiaTheme="minorEastAsia"/>
          <w:noProof/>
          <w:szCs w:val="22"/>
        </w:rPr>
      </w:pPr>
      <w:r w:rsidRPr="000169CB">
        <w:rPr>
          <w:rFonts w:ascii="Times New Roman" w:hAnsi="Times New Roman"/>
          <w:b/>
          <w:bCs/>
          <w:sz w:val="18"/>
          <w:szCs w:val="20"/>
        </w:rPr>
        <w:fldChar w:fldCharType="begin"/>
      </w:r>
      <w:r w:rsidRPr="000169CB">
        <w:rPr>
          <w:b/>
          <w:bCs/>
          <w:sz w:val="18"/>
          <w:szCs w:val="20"/>
        </w:rPr>
        <w:instrText xml:space="preserve"> TOC \o "1-2" \h \z </w:instrText>
      </w:r>
      <w:r w:rsidRPr="000169CB">
        <w:rPr>
          <w:rFonts w:ascii="Times New Roman" w:hAnsi="Times New Roman"/>
          <w:b/>
          <w:bCs/>
          <w:sz w:val="18"/>
          <w:szCs w:val="20"/>
        </w:rPr>
        <w:fldChar w:fldCharType="separate"/>
      </w:r>
      <w:hyperlink w:anchor="_Toc45803545" w:history="1">
        <w:r w:rsidR="007A117F" w:rsidRPr="000169CB">
          <w:rPr>
            <w:rStyle w:val="Lienhypertexte"/>
            <w:rFonts w:ascii="Open Sans" w:hAnsi="Open Sans" w:cs="Open Sans"/>
            <w:noProof/>
            <w:sz w:val="22"/>
          </w:rPr>
          <w:t>ARTICLE 1.</w:t>
        </w:r>
        <w:r w:rsidR="007A117F" w:rsidRPr="000169CB">
          <w:rPr>
            <w:rFonts w:eastAsiaTheme="minorEastAsia"/>
            <w:noProof/>
            <w:szCs w:val="22"/>
          </w:rPr>
          <w:tab/>
        </w:r>
        <w:r w:rsidR="007A117F" w:rsidRPr="000169CB">
          <w:rPr>
            <w:rStyle w:val="Lienhypertexte"/>
            <w:rFonts w:ascii="Open Sans" w:hAnsi="Open Sans" w:cs="Open Sans"/>
            <w:noProof/>
            <w:sz w:val="22"/>
          </w:rPr>
          <w:t>CONTENU DE CHAQUE MARCHE DE LA CONSULTATION</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_Toc45803545 \h </w:instrText>
        </w:r>
        <w:r w:rsidR="007A117F" w:rsidRPr="000169CB">
          <w:rPr>
            <w:noProof/>
            <w:webHidden/>
          </w:rPr>
        </w:r>
        <w:r w:rsidR="007A117F" w:rsidRPr="000169CB">
          <w:rPr>
            <w:noProof/>
            <w:webHidden/>
          </w:rPr>
          <w:fldChar w:fldCharType="separate"/>
        </w:r>
        <w:r w:rsidR="006E5758">
          <w:rPr>
            <w:noProof/>
            <w:webHidden/>
          </w:rPr>
          <w:t>3</w:t>
        </w:r>
        <w:r w:rsidR="007A117F" w:rsidRPr="000169CB">
          <w:rPr>
            <w:noProof/>
            <w:webHidden/>
          </w:rPr>
          <w:fldChar w:fldCharType="end"/>
        </w:r>
      </w:hyperlink>
    </w:p>
    <w:p w14:paraId="794FD45F" w14:textId="77777777" w:rsidR="007A117F" w:rsidRPr="000169CB" w:rsidRDefault="00307568">
      <w:pPr>
        <w:pStyle w:val="TM2"/>
        <w:rPr>
          <w:rFonts w:eastAsiaTheme="minorEastAsia" w:cs="Open Sans"/>
          <w:noProof/>
          <w:szCs w:val="22"/>
        </w:rPr>
      </w:pPr>
      <w:hyperlink w:anchor="_Toc45803546" w:history="1">
        <w:r w:rsidR="007A117F" w:rsidRPr="000169CB">
          <w:rPr>
            <w:rStyle w:val="Lienhypertexte"/>
            <w:rFonts w:ascii="Open Sans" w:hAnsi="Open Sans" w:cs="Open Sans"/>
            <w:noProof/>
            <w:sz w:val="22"/>
          </w:rPr>
          <w:t>1.1</w:t>
        </w:r>
        <w:r w:rsidR="007A117F" w:rsidRPr="000169CB">
          <w:rPr>
            <w:rFonts w:eastAsiaTheme="minorEastAsia" w:cs="Open Sans"/>
            <w:noProof/>
            <w:szCs w:val="22"/>
          </w:rPr>
          <w:tab/>
        </w:r>
        <w:r w:rsidR="007A117F" w:rsidRPr="000169CB">
          <w:rPr>
            <w:rStyle w:val="Lienhypertexte"/>
            <w:rFonts w:ascii="Open Sans" w:hAnsi="Open Sans" w:cs="Open Sans"/>
            <w:noProof/>
            <w:sz w:val="22"/>
          </w:rPr>
          <w:t>Objet</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_Toc45803546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3</w:t>
        </w:r>
        <w:r w:rsidR="007A117F" w:rsidRPr="000169CB">
          <w:rPr>
            <w:rFonts w:cs="Open Sans"/>
            <w:noProof/>
            <w:webHidden/>
            <w:sz w:val="22"/>
          </w:rPr>
          <w:fldChar w:fldCharType="end"/>
        </w:r>
      </w:hyperlink>
    </w:p>
    <w:p w14:paraId="06932C7D" w14:textId="77777777" w:rsidR="007A117F" w:rsidRPr="000169CB" w:rsidRDefault="00307568">
      <w:pPr>
        <w:pStyle w:val="TM2"/>
        <w:rPr>
          <w:rFonts w:eastAsiaTheme="minorEastAsia" w:cs="Open Sans"/>
          <w:noProof/>
          <w:szCs w:val="22"/>
        </w:rPr>
      </w:pPr>
      <w:hyperlink w:anchor="_Toc45803547" w:history="1">
        <w:r w:rsidR="007A117F" w:rsidRPr="000169CB">
          <w:rPr>
            <w:rStyle w:val="Lienhypertexte"/>
            <w:rFonts w:ascii="Open Sans" w:hAnsi="Open Sans" w:cs="Open Sans"/>
            <w:noProof/>
            <w:sz w:val="22"/>
          </w:rPr>
          <w:t>1.2</w:t>
        </w:r>
        <w:r w:rsidR="007A117F" w:rsidRPr="000169CB">
          <w:rPr>
            <w:rFonts w:eastAsiaTheme="minorEastAsia" w:cs="Open Sans"/>
            <w:noProof/>
            <w:szCs w:val="22"/>
          </w:rPr>
          <w:tab/>
        </w:r>
        <w:r w:rsidR="007A117F" w:rsidRPr="000169CB">
          <w:rPr>
            <w:rStyle w:val="Lienhypertexte"/>
            <w:rFonts w:ascii="Open Sans" w:hAnsi="Open Sans" w:cs="Open Sans"/>
            <w:noProof/>
            <w:sz w:val="22"/>
          </w:rPr>
          <w:t>Durée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_Toc45803547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3</w:t>
        </w:r>
        <w:r w:rsidR="007A117F" w:rsidRPr="000169CB">
          <w:rPr>
            <w:rFonts w:cs="Open Sans"/>
            <w:noProof/>
            <w:webHidden/>
            <w:sz w:val="22"/>
          </w:rPr>
          <w:fldChar w:fldCharType="end"/>
        </w:r>
      </w:hyperlink>
    </w:p>
    <w:p w14:paraId="571E6125" w14:textId="77777777" w:rsidR="007A117F" w:rsidRPr="000169CB" w:rsidRDefault="00307568">
      <w:pPr>
        <w:pStyle w:val="TM2"/>
        <w:rPr>
          <w:rFonts w:eastAsiaTheme="minorEastAsia" w:cs="Open Sans"/>
          <w:noProof/>
          <w:szCs w:val="22"/>
        </w:rPr>
      </w:pPr>
      <w:hyperlink w:anchor="_Toc45803548" w:history="1">
        <w:r w:rsidR="007A117F" w:rsidRPr="000169CB">
          <w:rPr>
            <w:rStyle w:val="Lienhypertexte"/>
            <w:rFonts w:ascii="Open Sans" w:hAnsi="Open Sans" w:cs="Open Sans"/>
            <w:noProof/>
            <w:sz w:val="22"/>
          </w:rPr>
          <w:t>1.3</w:t>
        </w:r>
        <w:r w:rsidR="007A117F" w:rsidRPr="000169CB">
          <w:rPr>
            <w:rFonts w:eastAsiaTheme="minorEastAsia" w:cs="Open Sans"/>
            <w:noProof/>
            <w:szCs w:val="22"/>
          </w:rPr>
          <w:tab/>
        </w:r>
        <w:r w:rsidR="007A117F" w:rsidRPr="000169CB">
          <w:rPr>
            <w:rStyle w:val="Lienhypertexte"/>
            <w:rFonts w:ascii="Open Sans" w:hAnsi="Open Sans" w:cs="Open Sans"/>
            <w:noProof/>
            <w:sz w:val="22"/>
          </w:rPr>
          <w:t>Prix</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_Toc45803548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3</w:t>
        </w:r>
        <w:r w:rsidR="007A117F" w:rsidRPr="000169CB">
          <w:rPr>
            <w:rFonts w:cs="Open Sans"/>
            <w:noProof/>
            <w:webHidden/>
            <w:sz w:val="22"/>
          </w:rPr>
          <w:fldChar w:fldCharType="end"/>
        </w:r>
      </w:hyperlink>
    </w:p>
    <w:p w14:paraId="4381A8F3" w14:textId="77777777" w:rsidR="007A117F" w:rsidRPr="000169CB" w:rsidRDefault="00307568">
      <w:pPr>
        <w:pStyle w:val="TM2"/>
        <w:rPr>
          <w:rFonts w:eastAsiaTheme="minorEastAsia" w:cs="Open Sans"/>
          <w:noProof/>
          <w:szCs w:val="22"/>
        </w:rPr>
      </w:pPr>
      <w:hyperlink w:anchor="_Toc45803549" w:history="1">
        <w:r w:rsidR="007A117F" w:rsidRPr="000169CB">
          <w:rPr>
            <w:rStyle w:val="Lienhypertexte"/>
            <w:rFonts w:ascii="Open Sans" w:hAnsi="Open Sans" w:cs="Open Sans"/>
            <w:noProof/>
            <w:sz w:val="22"/>
          </w:rPr>
          <w:t>1.4</w:t>
        </w:r>
        <w:r w:rsidR="007A117F" w:rsidRPr="000169CB">
          <w:rPr>
            <w:rFonts w:eastAsiaTheme="minorEastAsia" w:cs="Open Sans"/>
            <w:noProof/>
            <w:szCs w:val="22"/>
          </w:rPr>
          <w:tab/>
        </w:r>
        <w:r w:rsidR="007A117F" w:rsidRPr="000169CB">
          <w:rPr>
            <w:rStyle w:val="Lienhypertexte"/>
            <w:rFonts w:ascii="Open Sans" w:hAnsi="Open Sans" w:cs="Open Sans"/>
            <w:noProof/>
            <w:sz w:val="22"/>
          </w:rPr>
          <w:t>Organisation de l’achat</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_Toc45803549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4</w:t>
        </w:r>
        <w:r w:rsidR="007A117F" w:rsidRPr="000169CB">
          <w:rPr>
            <w:rFonts w:cs="Open Sans"/>
            <w:noProof/>
            <w:webHidden/>
            <w:sz w:val="22"/>
          </w:rPr>
          <w:fldChar w:fldCharType="end"/>
        </w:r>
      </w:hyperlink>
    </w:p>
    <w:p w14:paraId="603B4A51" w14:textId="77777777" w:rsidR="007A117F" w:rsidRPr="000169CB" w:rsidRDefault="00307568">
      <w:pPr>
        <w:pStyle w:val="TM2"/>
        <w:rPr>
          <w:rFonts w:eastAsiaTheme="minorEastAsia" w:cs="Open Sans"/>
          <w:noProof/>
          <w:szCs w:val="22"/>
        </w:rPr>
      </w:pPr>
      <w:hyperlink w:anchor="_Toc45803550" w:history="1">
        <w:r w:rsidR="007A117F" w:rsidRPr="000169CB">
          <w:rPr>
            <w:rStyle w:val="Lienhypertexte"/>
            <w:rFonts w:ascii="Open Sans" w:hAnsi="Open Sans" w:cs="Open Sans"/>
            <w:noProof/>
            <w:sz w:val="22"/>
          </w:rPr>
          <w:t>1.5</w:t>
        </w:r>
        <w:r w:rsidR="007A117F" w:rsidRPr="000169CB">
          <w:rPr>
            <w:rFonts w:eastAsiaTheme="minorEastAsia" w:cs="Open Sans"/>
            <w:noProof/>
            <w:szCs w:val="22"/>
          </w:rPr>
          <w:tab/>
        </w:r>
        <w:r w:rsidR="007A117F" w:rsidRPr="000169CB">
          <w:rPr>
            <w:rStyle w:val="Lienhypertexte"/>
            <w:rFonts w:ascii="Open Sans" w:hAnsi="Open Sans" w:cs="Open Sans"/>
            <w:noProof/>
            <w:sz w:val="22"/>
          </w:rPr>
          <w:t>Modalités de modification des marchés en cours d’exécution</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_Toc45803550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4</w:t>
        </w:r>
        <w:r w:rsidR="007A117F" w:rsidRPr="000169CB">
          <w:rPr>
            <w:rFonts w:cs="Open Sans"/>
            <w:noProof/>
            <w:webHidden/>
            <w:sz w:val="22"/>
          </w:rPr>
          <w:fldChar w:fldCharType="end"/>
        </w:r>
      </w:hyperlink>
    </w:p>
    <w:p w14:paraId="5D9EEFAC" w14:textId="77777777" w:rsidR="007A117F" w:rsidRPr="000169CB" w:rsidRDefault="00307568">
      <w:pPr>
        <w:pStyle w:val="TM2"/>
        <w:rPr>
          <w:rFonts w:eastAsiaTheme="minorEastAsia" w:cs="Open Sans"/>
          <w:noProof/>
          <w:szCs w:val="22"/>
        </w:rPr>
      </w:pPr>
      <w:hyperlink w:anchor="_Toc45803551" w:history="1">
        <w:r w:rsidR="007A117F" w:rsidRPr="000169CB">
          <w:rPr>
            <w:rStyle w:val="Lienhypertexte"/>
            <w:rFonts w:ascii="Open Sans" w:hAnsi="Open Sans" w:cs="Open Sans"/>
            <w:iCs/>
            <w:noProof/>
            <w:sz w:val="22"/>
          </w:rPr>
          <w:t>1.6</w:t>
        </w:r>
        <w:r w:rsidR="007A117F" w:rsidRPr="000169CB">
          <w:rPr>
            <w:rFonts w:eastAsiaTheme="minorEastAsia" w:cs="Open Sans"/>
            <w:noProof/>
            <w:szCs w:val="22"/>
          </w:rPr>
          <w:tab/>
        </w:r>
        <w:r w:rsidR="007A117F" w:rsidRPr="000169CB">
          <w:rPr>
            <w:rStyle w:val="Lienhypertexte"/>
            <w:rFonts w:ascii="Open Sans" w:hAnsi="Open Sans" w:cs="Open Sans"/>
            <w:noProof/>
            <w:sz w:val="22"/>
          </w:rPr>
          <w:t>Clause sociale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_Toc45803551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5</w:t>
        </w:r>
        <w:r w:rsidR="007A117F" w:rsidRPr="000169CB">
          <w:rPr>
            <w:rFonts w:cs="Open Sans"/>
            <w:noProof/>
            <w:webHidden/>
            <w:sz w:val="22"/>
          </w:rPr>
          <w:fldChar w:fldCharType="end"/>
        </w:r>
      </w:hyperlink>
    </w:p>
    <w:p w14:paraId="355D890E" w14:textId="77777777" w:rsidR="007A117F" w:rsidRPr="000169CB" w:rsidRDefault="00307568" w:rsidP="000169CB">
      <w:pPr>
        <w:pStyle w:val="TM1"/>
        <w:rPr>
          <w:rFonts w:eastAsiaTheme="minorEastAsia"/>
          <w:noProof/>
          <w:szCs w:val="22"/>
        </w:rPr>
      </w:pPr>
      <w:hyperlink w:anchor="_Toc45803552" w:history="1">
        <w:r w:rsidR="007A117F" w:rsidRPr="000169CB">
          <w:rPr>
            <w:rStyle w:val="Lienhypertexte"/>
            <w:rFonts w:ascii="Open Sans" w:hAnsi="Open Sans" w:cs="Open Sans"/>
            <w:noProof/>
            <w:sz w:val="22"/>
          </w:rPr>
          <w:t>ARTICLE 2.</w:t>
        </w:r>
        <w:r w:rsidR="007A117F" w:rsidRPr="000169CB">
          <w:rPr>
            <w:rFonts w:eastAsiaTheme="minorEastAsia"/>
            <w:noProof/>
            <w:szCs w:val="22"/>
          </w:rPr>
          <w:tab/>
        </w:r>
        <w:r w:rsidR="007A117F" w:rsidRPr="000169CB">
          <w:rPr>
            <w:rStyle w:val="Lienhypertexte"/>
            <w:rFonts w:ascii="Open Sans" w:hAnsi="Open Sans" w:cs="Open Sans"/>
            <w:noProof/>
            <w:sz w:val="22"/>
          </w:rPr>
          <w:t>MODALITES DE LA CONSULTATION</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_Toc45803552 \h </w:instrText>
        </w:r>
        <w:r w:rsidR="007A117F" w:rsidRPr="000169CB">
          <w:rPr>
            <w:noProof/>
            <w:webHidden/>
          </w:rPr>
        </w:r>
        <w:r w:rsidR="007A117F" w:rsidRPr="000169CB">
          <w:rPr>
            <w:noProof/>
            <w:webHidden/>
          </w:rPr>
          <w:fldChar w:fldCharType="separate"/>
        </w:r>
        <w:r w:rsidR="006E5758">
          <w:rPr>
            <w:noProof/>
            <w:webHidden/>
          </w:rPr>
          <w:t>5</w:t>
        </w:r>
        <w:r w:rsidR="007A117F" w:rsidRPr="000169CB">
          <w:rPr>
            <w:noProof/>
            <w:webHidden/>
          </w:rPr>
          <w:fldChar w:fldCharType="end"/>
        </w:r>
      </w:hyperlink>
    </w:p>
    <w:p w14:paraId="605FA351" w14:textId="77777777" w:rsidR="007A117F" w:rsidRPr="000169CB" w:rsidRDefault="00307568">
      <w:pPr>
        <w:pStyle w:val="TM2"/>
        <w:rPr>
          <w:rFonts w:eastAsiaTheme="minorEastAsia" w:cs="Open Sans"/>
          <w:noProof/>
          <w:szCs w:val="22"/>
        </w:rPr>
      </w:pPr>
      <w:hyperlink w:anchor="_Toc45803553" w:history="1">
        <w:r w:rsidR="007A117F" w:rsidRPr="000169CB">
          <w:rPr>
            <w:rStyle w:val="Lienhypertexte"/>
            <w:rFonts w:ascii="Open Sans" w:hAnsi="Open Sans" w:cs="Open Sans"/>
            <w:noProof/>
            <w:sz w:val="22"/>
          </w:rPr>
          <w:t>2.1</w:t>
        </w:r>
        <w:r w:rsidR="007A117F" w:rsidRPr="000169CB">
          <w:rPr>
            <w:rFonts w:eastAsiaTheme="minorEastAsia" w:cs="Open Sans"/>
            <w:noProof/>
            <w:szCs w:val="22"/>
          </w:rPr>
          <w:tab/>
        </w:r>
        <w:r w:rsidR="007A117F" w:rsidRPr="000169CB">
          <w:rPr>
            <w:rStyle w:val="Lienhypertexte"/>
            <w:rFonts w:ascii="Open Sans" w:hAnsi="Open Sans" w:cs="Open Sans"/>
            <w:noProof/>
            <w:sz w:val="22"/>
          </w:rPr>
          <w:t>Choix de la procédure de passation</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_Toc45803553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5</w:t>
        </w:r>
        <w:r w:rsidR="007A117F" w:rsidRPr="000169CB">
          <w:rPr>
            <w:rFonts w:cs="Open Sans"/>
            <w:noProof/>
            <w:webHidden/>
            <w:sz w:val="22"/>
          </w:rPr>
          <w:fldChar w:fldCharType="end"/>
        </w:r>
      </w:hyperlink>
    </w:p>
    <w:p w14:paraId="50095455" w14:textId="77777777" w:rsidR="007A117F" w:rsidRPr="000169CB" w:rsidRDefault="00307568">
      <w:pPr>
        <w:pStyle w:val="TM2"/>
        <w:rPr>
          <w:rFonts w:eastAsiaTheme="minorEastAsia" w:cs="Open Sans"/>
          <w:noProof/>
          <w:szCs w:val="22"/>
        </w:rPr>
      </w:pPr>
      <w:hyperlink w:anchor="_Toc45803554" w:history="1">
        <w:r w:rsidR="007A117F" w:rsidRPr="000169CB">
          <w:rPr>
            <w:rStyle w:val="Lienhypertexte"/>
            <w:rFonts w:ascii="Open Sans" w:hAnsi="Open Sans" w:cs="Open Sans"/>
            <w:noProof/>
            <w:sz w:val="22"/>
          </w:rPr>
          <w:t>2.2</w:t>
        </w:r>
        <w:r w:rsidR="007A117F" w:rsidRPr="000169CB">
          <w:rPr>
            <w:rFonts w:eastAsiaTheme="minorEastAsia" w:cs="Open Sans"/>
            <w:noProof/>
            <w:szCs w:val="22"/>
          </w:rPr>
          <w:tab/>
        </w:r>
        <w:r w:rsidR="007A117F" w:rsidRPr="000169CB">
          <w:rPr>
            <w:rStyle w:val="Lienhypertexte"/>
            <w:rFonts w:ascii="Open Sans" w:hAnsi="Open Sans" w:cs="Open Sans"/>
            <w:noProof/>
            <w:sz w:val="22"/>
          </w:rPr>
          <w:t>Date limite de remise des candidatures et des offres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_Toc45803554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5</w:t>
        </w:r>
        <w:r w:rsidR="007A117F" w:rsidRPr="000169CB">
          <w:rPr>
            <w:rFonts w:cs="Open Sans"/>
            <w:noProof/>
            <w:webHidden/>
            <w:sz w:val="22"/>
          </w:rPr>
          <w:fldChar w:fldCharType="end"/>
        </w:r>
      </w:hyperlink>
    </w:p>
    <w:p w14:paraId="10F52F07" w14:textId="77777777" w:rsidR="007A117F" w:rsidRPr="000169CB" w:rsidRDefault="00307568">
      <w:pPr>
        <w:pStyle w:val="TM2"/>
        <w:rPr>
          <w:rFonts w:eastAsiaTheme="minorEastAsia" w:cs="Open Sans"/>
          <w:noProof/>
          <w:szCs w:val="22"/>
        </w:rPr>
      </w:pPr>
      <w:hyperlink w:anchor="_Toc45803555" w:history="1">
        <w:r w:rsidR="007A117F" w:rsidRPr="000169CB">
          <w:rPr>
            <w:rStyle w:val="Lienhypertexte"/>
            <w:rFonts w:ascii="Open Sans" w:hAnsi="Open Sans" w:cs="Open Sans"/>
            <w:noProof/>
            <w:sz w:val="22"/>
          </w:rPr>
          <w:t>2.3</w:t>
        </w:r>
        <w:r w:rsidR="007A117F" w:rsidRPr="000169CB">
          <w:rPr>
            <w:rFonts w:eastAsiaTheme="minorEastAsia" w:cs="Open Sans"/>
            <w:noProof/>
            <w:szCs w:val="22"/>
          </w:rPr>
          <w:tab/>
        </w:r>
        <w:r w:rsidR="007A117F" w:rsidRPr="000169CB">
          <w:rPr>
            <w:rStyle w:val="Lienhypertexte"/>
            <w:rFonts w:ascii="Open Sans" w:hAnsi="Open Sans" w:cs="Open Sans"/>
            <w:noProof/>
            <w:sz w:val="22"/>
          </w:rPr>
          <w:t>Variante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_Toc45803555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2919D378" w14:textId="77777777" w:rsidR="007A117F" w:rsidRPr="000169CB" w:rsidRDefault="00307568">
      <w:pPr>
        <w:pStyle w:val="TM2"/>
        <w:rPr>
          <w:rFonts w:eastAsiaTheme="minorEastAsia" w:cs="Open Sans"/>
          <w:noProof/>
          <w:szCs w:val="22"/>
        </w:rPr>
      </w:pPr>
      <w:hyperlink w:anchor="_Toc45803556" w:history="1">
        <w:r w:rsidR="007A117F" w:rsidRPr="000169CB">
          <w:rPr>
            <w:rStyle w:val="Lienhypertexte"/>
            <w:rFonts w:ascii="Open Sans" w:hAnsi="Open Sans" w:cs="Open Sans"/>
            <w:noProof/>
            <w:sz w:val="22"/>
          </w:rPr>
          <w:t>2.4</w:t>
        </w:r>
        <w:r w:rsidR="007A117F" w:rsidRPr="000169CB">
          <w:rPr>
            <w:rFonts w:eastAsiaTheme="minorEastAsia" w:cs="Open Sans"/>
            <w:noProof/>
            <w:szCs w:val="22"/>
          </w:rPr>
          <w:tab/>
        </w:r>
        <w:r w:rsidR="007A117F" w:rsidRPr="000169CB">
          <w:rPr>
            <w:rStyle w:val="Lienhypertexte"/>
            <w:rFonts w:ascii="Open Sans" w:hAnsi="Open Sans" w:cs="Open Sans"/>
            <w:noProof/>
            <w:sz w:val="22"/>
          </w:rPr>
          <w:t>Délai de validité des candidatures et des offres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_Toc45803556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5ED277B6" w14:textId="77777777" w:rsidR="007A117F" w:rsidRPr="000169CB" w:rsidRDefault="00307568">
      <w:pPr>
        <w:pStyle w:val="TM2"/>
        <w:rPr>
          <w:rFonts w:eastAsiaTheme="minorEastAsia" w:cs="Open Sans"/>
          <w:noProof/>
          <w:szCs w:val="22"/>
        </w:rPr>
      </w:pPr>
      <w:hyperlink w:anchor="_Toc45803557" w:history="1">
        <w:r w:rsidR="007A117F" w:rsidRPr="000169CB">
          <w:rPr>
            <w:rStyle w:val="Lienhypertexte"/>
            <w:rFonts w:ascii="Open Sans" w:hAnsi="Open Sans" w:cs="Open Sans"/>
            <w:noProof/>
            <w:sz w:val="22"/>
          </w:rPr>
          <w:t>2.5</w:t>
        </w:r>
        <w:r w:rsidR="007A117F" w:rsidRPr="000169CB">
          <w:rPr>
            <w:rFonts w:eastAsiaTheme="minorEastAsia" w:cs="Open Sans"/>
            <w:noProof/>
            <w:szCs w:val="22"/>
          </w:rPr>
          <w:tab/>
        </w:r>
        <w:r w:rsidR="007A117F" w:rsidRPr="000169CB">
          <w:rPr>
            <w:rStyle w:val="Lienhypertexte"/>
            <w:rFonts w:ascii="Open Sans" w:hAnsi="Open Sans" w:cs="Open Sans"/>
            <w:noProof/>
            <w:sz w:val="22"/>
          </w:rPr>
          <w:t>Modification du dossier de consultation</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_Toc45803557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4B476825" w14:textId="77777777" w:rsidR="007A117F" w:rsidRPr="000169CB" w:rsidRDefault="00307568">
      <w:pPr>
        <w:pStyle w:val="TM2"/>
        <w:rPr>
          <w:rFonts w:eastAsiaTheme="minorEastAsia" w:cs="Open Sans"/>
          <w:noProof/>
          <w:szCs w:val="22"/>
        </w:rPr>
      </w:pPr>
      <w:hyperlink w:anchor="_Toc45803558" w:history="1">
        <w:r w:rsidR="007A117F" w:rsidRPr="000169CB">
          <w:rPr>
            <w:rStyle w:val="Lienhypertexte"/>
            <w:rFonts w:ascii="Open Sans" w:hAnsi="Open Sans" w:cs="Open Sans"/>
            <w:noProof/>
            <w:sz w:val="22"/>
          </w:rPr>
          <w:t>2.6</w:t>
        </w:r>
        <w:r w:rsidR="007A117F" w:rsidRPr="000169CB">
          <w:rPr>
            <w:rFonts w:eastAsiaTheme="minorEastAsia" w:cs="Open Sans"/>
            <w:noProof/>
            <w:szCs w:val="22"/>
          </w:rPr>
          <w:tab/>
        </w:r>
        <w:r w:rsidR="007A117F" w:rsidRPr="000169CB">
          <w:rPr>
            <w:rStyle w:val="Lienhypertexte"/>
            <w:rFonts w:ascii="Open Sans" w:hAnsi="Open Sans" w:cs="Open Sans"/>
            <w:noProof/>
            <w:sz w:val="22"/>
          </w:rPr>
          <w:t>Groupement de candidats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_Toc45803558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6</w:t>
        </w:r>
        <w:r w:rsidR="007A117F" w:rsidRPr="000169CB">
          <w:rPr>
            <w:rFonts w:cs="Open Sans"/>
            <w:noProof/>
            <w:webHidden/>
            <w:sz w:val="22"/>
          </w:rPr>
          <w:fldChar w:fldCharType="end"/>
        </w:r>
      </w:hyperlink>
    </w:p>
    <w:p w14:paraId="0D7323EB" w14:textId="77777777" w:rsidR="007A117F" w:rsidRPr="000169CB" w:rsidRDefault="00307568">
      <w:pPr>
        <w:pStyle w:val="TM2"/>
        <w:rPr>
          <w:rFonts w:eastAsiaTheme="minorEastAsia" w:cs="Open Sans"/>
          <w:noProof/>
          <w:szCs w:val="22"/>
        </w:rPr>
      </w:pPr>
      <w:hyperlink w:anchor="_Toc45803559" w:history="1">
        <w:r w:rsidR="007A117F" w:rsidRPr="000169CB">
          <w:rPr>
            <w:rStyle w:val="Lienhypertexte"/>
            <w:rFonts w:ascii="Open Sans" w:hAnsi="Open Sans" w:cs="Open Sans"/>
            <w:iCs/>
            <w:noProof/>
            <w:sz w:val="22"/>
          </w:rPr>
          <w:t>2.7</w:t>
        </w:r>
        <w:r w:rsidR="007A117F" w:rsidRPr="000169CB">
          <w:rPr>
            <w:rFonts w:eastAsiaTheme="minorEastAsia" w:cs="Open Sans"/>
            <w:noProof/>
            <w:szCs w:val="22"/>
          </w:rPr>
          <w:tab/>
        </w:r>
        <w:r w:rsidR="007A117F" w:rsidRPr="000169CB">
          <w:rPr>
            <w:rStyle w:val="Lienhypertexte"/>
            <w:rFonts w:ascii="Open Sans" w:hAnsi="Open Sans" w:cs="Open Sans"/>
            <w:iCs/>
            <w:noProof/>
            <w:sz w:val="22"/>
          </w:rPr>
          <w:t>Sous-traitance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_Toc45803559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7</w:t>
        </w:r>
        <w:r w:rsidR="007A117F" w:rsidRPr="000169CB">
          <w:rPr>
            <w:rFonts w:cs="Open Sans"/>
            <w:noProof/>
            <w:webHidden/>
            <w:sz w:val="22"/>
          </w:rPr>
          <w:fldChar w:fldCharType="end"/>
        </w:r>
      </w:hyperlink>
    </w:p>
    <w:p w14:paraId="1535A4FF" w14:textId="77777777" w:rsidR="007A117F" w:rsidRPr="000169CB" w:rsidRDefault="00307568" w:rsidP="000169CB">
      <w:pPr>
        <w:pStyle w:val="TM1"/>
        <w:rPr>
          <w:rFonts w:eastAsiaTheme="minorEastAsia"/>
          <w:noProof/>
          <w:szCs w:val="22"/>
        </w:rPr>
      </w:pPr>
      <w:hyperlink w:anchor="_Toc45803560" w:history="1">
        <w:r w:rsidR="007A117F" w:rsidRPr="000169CB">
          <w:rPr>
            <w:rStyle w:val="Lienhypertexte"/>
            <w:rFonts w:ascii="Open Sans" w:hAnsi="Open Sans" w:cs="Open Sans"/>
            <w:noProof/>
            <w:sz w:val="22"/>
          </w:rPr>
          <w:t>ARTICLE 3.</w:t>
        </w:r>
        <w:r w:rsidR="007A117F" w:rsidRPr="000169CB">
          <w:rPr>
            <w:rFonts w:eastAsiaTheme="minorEastAsia"/>
            <w:noProof/>
            <w:szCs w:val="22"/>
          </w:rPr>
          <w:tab/>
        </w:r>
        <w:r w:rsidR="007A117F" w:rsidRPr="000169CB">
          <w:rPr>
            <w:rStyle w:val="Lienhypertexte"/>
            <w:rFonts w:ascii="Open Sans" w:hAnsi="Open Sans" w:cs="Open Sans"/>
            <w:noProof/>
            <w:sz w:val="22"/>
          </w:rPr>
          <w:t>CONSTITUTION DES DOSSIERS DE CANDIDATURE ET DES DOSSIERS D’OFFRE</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_Toc45803560 \h </w:instrText>
        </w:r>
        <w:r w:rsidR="007A117F" w:rsidRPr="000169CB">
          <w:rPr>
            <w:noProof/>
            <w:webHidden/>
          </w:rPr>
        </w:r>
        <w:r w:rsidR="007A117F" w:rsidRPr="000169CB">
          <w:rPr>
            <w:noProof/>
            <w:webHidden/>
          </w:rPr>
          <w:fldChar w:fldCharType="separate"/>
        </w:r>
        <w:r w:rsidR="006E5758">
          <w:rPr>
            <w:noProof/>
            <w:webHidden/>
          </w:rPr>
          <w:t>8</w:t>
        </w:r>
        <w:r w:rsidR="007A117F" w:rsidRPr="000169CB">
          <w:rPr>
            <w:noProof/>
            <w:webHidden/>
          </w:rPr>
          <w:fldChar w:fldCharType="end"/>
        </w:r>
      </w:hyperlink>
    </w:p>
    <w:p w14:paraId="46078E12" w14:textId="77777777" w:rsidR="007A117F" w:rsidRPr="000169CB" w:rsidRDefault="00307568">
      <w:pPr>
        <w:pStyle w:val="TM2"/>
        <w:rPr>
          <w:rFonts w:eastAsiaTheme="minorEastAsia" w:cs="Open Sans"/>
          <w:noProof/>
          <w:szCs w:val="22"/>
        </w:rPr>
      </w:pPr>
      <w:hyperlink w:anchor="_Toc45803561" w:history="1">
        <w:r w:rsidR="007A117F" w:rsidRPr="000169CB">
          <w:rPr>
            <w:rStyle w:val="Lienhypertexte"/>
            <w:rFonts w:ascii="Open Sans" w:hAnsi="Open Sans" w:cs="Open Sans"/>
            <w:noProof/>
            <w:sz w:val="22"/>
          </w:rPr>
          <w:t>3.1</w:t>
        </w:r>
        <w:r w:rsidR="007A117F" w:rsidRPr="000169CB">
          <w:rPr>
            <w:rFonts w:eastAsiaTheme="minorEastAsia" w:cs="Open Sans"/>
            <w:noProof/>
            <w:szCs w:val="22"/>
          </w:rPr>
          <w:tab/>
        </w:r>
        <w:r w:rsidR="007A117F" w:rsidRPr="000169CB">
          <w:rPr>
            <w:rStyle w:val="Lienhypertexte"/>
            <w:rFonts w:ascii="Open Sans" w:hAnsi="Open Sans" w:cs="Open Sans"/>
            <w:noProof/>
            <w:sz w:val="22"/>
          </w:rPr>
          <w:t>Les conditions de langue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_Toc45803561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8</w:t>
        </w:r>
        <w:r w:rsidR="007A117F" w:rsidRPr="000169CB">
          <w:rPr>
            <w:rFonts w:cs="Open Sans"/>
            <w:noProof/>
            <w:webHidden/>
            <w:sz w:val="22"/>
          </w:rPr>
          <w:fldChar w:fldCharType="end"/>
        </w:r>
      </w:hyperlink>
    </w:p>
    <w:p w14:paraId="2AE234AA" w14:textId="77777777" w:rsidR="007A117F" w:rsidRPr="000169CB" w:rsidRDefault="00307568">
      <w:pPr>
        <w:pStyle w:val="TM2"/>
        <w:rPr>
          <w:rFonts w:eastAsiaTheme="minorEastAsia" w:cs="Open Sans"/>
          <w:noProof/>
          <w:szCs w:val="22"/>
        </w:rPr>
      </w:pPr>
      <w:hyperlink w:anchor="_Toc45803562" w:history="1">
        <w:r w:rsidR="007A117F" w:rsidRPr="000169CB">
          <w:rPr>
            <w:rStyle w:val="Lienhypertexte"/>
            <w:rFonts w:ascii="Open Sans" w:hAnsi="Open Sans" w:cs="Open Sans"/>
            <w:noProof/>
            <w:sz w:val="22"/>
          </w:rPr>
          <w:t>3.2</w:t>
        </w:r>
        <w:r w:rsidR="007A117F" w:rsidRPr="000169CB">
          <w:rPr>
            <w:rFonts w:eastAsiaTheme="minorEastAsia" w:cs="Open Sans"/>
            <w:noProof/>
            <w:szCs w:val="22"/>
          </w:rPr>
          <w:tab/>
        </w:r>
        <w:r w:rsidR="007A117F" w:rsidRPr="000169CB">
          <w:rPr>
            <w:rStyle w:val="Lienhypertexte"/>
            <w:rFonts w:ascii="Open Sans" w:hAnsi="Open Sans" w:cs="Open Sans"/>
            <w:noProof/>
            <w:sz w:val="22"/>
          </w:rPr>
          <w:t>Le dossier de candidature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_Toc45803562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8</w:t>
        </w:r>
        <w:r w:rsidR="007A117F" w:rsidRPr="000169CB">
          <w:rPr>
            <w:rFonts w:cs="Open Sans"/>
            <w:noProof/>
            <w:webHidden/>
            <w:sz w:val="22"/>
          </w:rPr>
          <w:fldChar w:fldCharType="end"/>
        </w:r>
      </w:hyperlink>
    </w:p>
    <w:p w14:paraId="430B155B" w14:textId="77777777" w:rsidR="007A117F" w:rsidRPr="000169CB" w:rsidRDefault="00307568">
      <w:pPr>
        <w:pStyle w:val="TM2"/>
        <w:rPr>
          <w:rFonts w:eastAsiaTheme="minorEastAsia" w:cs="Open Sans"/>
          <w:noProof/>
          <w:szCs w:val="22"/>
        </w:rPr>
      </w:pPr>
      <w:hyperlink w:anchor="_Toc45803563" w:history="1">
        <w:r w:rsidR="007A117F" w:rsidRPr="000169CB">
          <w:rPr>
            <w:rStyle w:val="Lienhypertexte"/>
            <w:rFonts w:ascii="Open Sans" w:hAnsi="Open Sans" w:cs="Open Sans"/>
            <w:noProof/>
            <w:sz w:val="22"/>
          </w:rPr>
          <w:t>3.3</w:t>
        </w:r>
        <w:r w:rsidR="007A117F" w:rsidRPr="000169CB">
          <w:rPr>
            <w:rFonts w:eastAsiaTheme="minorEastAsia" w:cs="Open Sans"/>
            <w:noProof/>
            <w:szCs w:val="22"/>
          </w:rPr>
          <w:tab/>
        </w:r>
        <w:r w:rsidR="007A117F" w:rsidRPr="000169CB">
          <w:rPr>
            <w:rStyle w:val="Lienhypertexte"/>
            <w:rFonts w:ascii="Open Sans" w:hAnsi="Open Sans" w:cs="Open Sans"/>
            <w:noProof/>
            <w:sz w:val="22"/>
          </w:rPr>
          <w:t>Offre technique et financière</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_Toc45803563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11</w:t>
        </w:r>
        <w:r w:rsidR="007A117F" w:rsidRPr="000169CB">
          <w:rPr>
            <w:rFonts w:cs="Open Sans"/>
            <w:noProof/>
            <w:webHidden/>
            <w:sz w:val="22"/>
          </w:rPr>
          <w:fldChar w:fldCharType="end"/>
        </w:r>
      </w:hyperlink>
    </w:p>
    <w:p w14:paraId="1B3F155C" w14:textId="77777777" w:rsidR="007A117F" w:rsidRPr="000169CB" w:rsidRDefault="00307568">
      <w:pPr>
        <w:pStyle w:val="TM2"/>
        <w:rPr>
          <w:rFonts w:eastAsiaTheme="minorEastAsia" w:cs="Open Sans"/>
          <w:noProof/>
          <w:szCs w:val="22"/>
        </w:rPr>
      </w:pPr>
      <w:hyperlink w:anchor="_Toc45803564" w:history="1">
        <w:r w:rsidR="007A117F" w:rsidRPr="000169CB">
          <w:rPr>
            <w:rStyle w:val="Lienhypertexte"/>
            <w:rFonts w:ascii="Open Sans" w:hAnsi="Open Sans" w:cs="Open Sans"/>
            <w:noProof/>
            <w:sz w:val="22"/>
          </w:rPr>
          <w:t>3.4</w:t>
        </w:r>
        <w:r w:rsidR="007A117F" w:rsidRPr="000169CB">
          <w:rPr>
            <w:rFonts w:eastAsiaTheme="minorEastAsia" w:cs="Open Sans"/>
            <w:noProof/>
            <w:szCs w:val="22"/>
          </w:rPr>
          <w:tab/>
        </w:r>
        <w:r w:rsidR="007A117F" w:rsidRPr="000169CB">
          <w:rPr>
            <w:rStyle w:val="Lienhypertexte"/>
            <w:rFonts w:ascii="Open Sans" w:hAnsi="Open Sans" w:cs="Open Sans"/>
            <w:noProof/>
            <w:sz w:val="22"/>
          </w:rPr>
          <w:t>Présentation des candidatures et des offres dématérialisées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_Toc45803564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12</w:t>
        </w:r>
        <w:r w:rsidR="007A117F" w:rsidRPr="000169CB">
          <w:rPr>
            <w:rFonts w:cs="Open Sans"/>
            <w:noProof/>
            <w:webHidden/>
            <w:sz w:val="22"/>
          </w:rPr>
          <w:fldChar w:fldCharType="end"/>
        </w:r>
      </w:hyperlink>
    </w:p>
    <w:p w14:paraId="5E2320F8" w14:textId="77777777" w:rsidR="007A117F" w:rsidRPr="000169CB" w:rsidRDefault="00307568" w:rsidP="000169CB">
      <w:pPr>
        <w:pStyle w:val="TM1"/>
        <w:rPr>
          <w:rFonts w:eastAsiaTheme="minorEastAsia"/>
          <w:noProof/>
          <w:szCs w:val="22"/>
        </w:rPr>
      </w:pPr>
      <w:hyperlink w:anchor="_Toc45803565" w:history="1">
        <w:r w:rsidR="007A117F" w:rsidRPr="000169CB">
          <w:rPr>
            <w:rStyle w:val="Lienhypertexte"/>
            <w:rFonts w:ascii="Open Sans" w:hAnsi="Open Sans" w:cs="Open Sans"/>
            <w:noProof/>
            <w:sz w:val="22"/>
          </w:rPr>
          <w:t>ARTICLE 4.</w:t>
        </w:r>
        <w:r w:rsidR="007A117F" w:rsidRPr="000169CB">
          <w:rPr>
            <w:rFonts w:eastAsiaTheme="minorEastAsia"/>
            <w:noProof/>
            <w:szCs w:val="22"/>
          </w:rPr>
          <w:tab/>
        </w:r>
        <w:r w:rsidR="007A117F" w:rsidRPr="000169CB">
          <w:rPr>
            <w:rStyle w:val="Lienhypertexte"/>
            <w:rFonts w:ascii="Open Sans" w:hAnsi="Open Sans" w:cs="Open Sans"/>
            <w:noProof/>
            <w:sz w:val="22"/>
          </w:rPr>
          <w:t>CONDITIONS D’ENVOI OU DE REMISE DES PLIS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_Toc45803565 \h </w:instrText>
        </w:r>
        <w:r w:rsidR="007A117F" w:rsidRPr="000169CB">
          <w:rPr>
            <w:noProof/>
            <w:webHidden/>
          </w:rPr>
        </w:r>
        <w:r w:rsidR="007A117F" w:rsidRPr="000169CB">
          <w:rPr>
            <w:noProof/>
            <w:webHidden/>
          </w:rPr>
          <w:fldChar w:fldCharType="separate"/>
        </w:r>
        <w:r w:rsidR="006E5758">
          <w:rPr>
            <w:noProof/>
            <w:webHidden/>
          </w:rPr>
          <w:t>13</w:t>
        </w:r>
        <w:r w:rsidR="007A117F" w:rsidRPr="000169CB">
          <w:rPr>
            <w:noProof/>
            <w:webHidden/>
          </w:rPr>
          <w:fldChar w:fldCharType="end"/>
        </w:r>
      </w:hyperlink>
    </w:p>
    <w:p w14:paraId="04B4ACEE" w14:textId="77777777" w:rsidR="007A117F" w:rsidRPr="000169CB" w:rsidRDefault="00307568" w:rsidP="000169CB">
      <w:pPr>
        <w:pStyle w:val="TM1"/>
        <w:rPr>
          <w:rFonts w:eastAsiaTheme="minorEastAsia"/>
          <w:noProof/>
          <w:szCs w:val="22"/>
        </w:rPr>
      </w:pPr>
      <w:hyperlink w:anchor="_Toc45803566" w:history="1">
        <w:r w:rsidR="007A117F" w:rsidRPr="000169CB">
          <w:rPr>
            <w:rStyle w:val="Lienhypertexte"/>
            <w:rFonts w:ascii="Open Sans" w:hAnsi="Open Sans" w:cs="Open Sans"/>
            <w:iCs/>
            <w:noProof/>
            <w:sz w:val="22"/>
          </w:rPr>
          <w:t>ARTICLE 5.</w:t>
        </w:r>
        <w:r w:rsidR="007A117F" w:rsidRPr="000169CB">
          <w:rPr>
            <w:rFonts w:eastAsiaTheme="minorEastAsia"/>
            <w:noProof/>
            <w:szCs w:val="22"/>
          </w:rPr>
          <w:tab/>
        </w:r>
        <w:r w:rsidR="007A117F" w:rsidRPr="000169CB">
          <w:rPr>
            <w:rStyle w:val="Lienhypertexte"/>
            <w:rFonts w:ascii="Open Sans" w:hAnsi="Open Sans" w:cs="Open Sans"/>
            <w:iCs/>
            <w:noProof/>
            <w:sz w:val="22"/>
          </w:rPr>
          <w:t>DEPOT D’ECHANTILLONS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_Toc45803566 \h </w:instrText>
        </w:r>
        <w:r w:rsidR="007A117F" w:rsidRPr="000169CB">
          <w:rPr>
            <w:noProof/>
            <w:webHidden/>
          </w:rPr>
        </w:r>
        <w:r w:rsidR="007A117F" w:rsidRPr="000169CB">
          <w:rPr>
            <w:noProof/>
            <w:webHidden/>
          </w:rPr>
          <w:fldChar w:fldCharType="separate"/>
        </w:r>
        <w:r w:rsidR="006E5758">
          <w:rPr>
            <w:noProof/>
            <w:webHidden/>
          </w:rPr>
          <w:t>16</w:t>
        </w:r>
        <w:r w:rsidR="007A117F" w:rsidRPr="000169CB">
          <w:rPr>
            <w:noProof/>
            <w:webHidden/>
          </w:rPr>
          <w:fldChar w:fldCharType="end"/>
        </w:r>
      </w:hyperlink>
    </w:p>
    <w:p w14:paraId="225AC9FB" w14:textId="77777777" w:rsidR="007A117F" w:rsidRPr="000169CB" w:rsidRDefault="00307568" w:rsidP="000169CB">
      <w:pPr>
        <w:pStyle w:val="TM1"/>
        <w:rPr>
          <w:rFonts w:eastAsiaTheme="minorEastAsia"/>
          <w:noProof/>
          <w:szCs w:val="22"/>
        </w:rPr>
      </w:pPr>
      <w:hyperlink w:anchor="_Toc45803567" w:history="1">
        <w:r w:rsidR="007A117F" w:rsidRPr="000169CB">
          <w:rPr>
            <w:rStyle w:val="Lienhypertexte"/>
            <w:rFonts w:ascii="Open Sans" w:hAnsi="Open Sans" w:cs="Open Sans"/>
            <w:noProof/>
            <w:sz w:val="22"/>
          </w:rPr>
          <w:t>ARTICLE 6.</w:t>
        </w:r>
        <w:r w:rsidR="007A117F" w:rsidRPr="000169CB">
          <w:rPr>
            <w:rFonts w:eastAsiaTheme="minorEastAsia"/>
            <w:noProof/>
            <w:szCs w:val="22"/>
          </w:rPr>
          <w:tab/>
        </w:r>
        <w:r w:rsidR="007A117F" w:rsidRPr="000169CB">
          <w:rPr>
            <w:rStyle w:val="Lienhypertexte"/>
            <w:rFonts w:ascii="Open Sans" w:hAnsi="Open Sans" w:cs="Open Sans"/>
            <w:noProof/>
            <w:sz w:val="22"/>
          </w:rPr>
          <w:t>SELECTION DES CANDIDATURES ET ANALYSE DES OFFRES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_Toc45803567 \h </w:instrText>
        </w:r>
        <w:r w:rsidR="007A117F" w:rsidRPr="000169CB">
          <w:rPr>
            <w:noProof/>
            <w:webHidden/>
          </w:rPr>
        </w:r>
        <w:r w:rsidR="007A117F" w:rsidRPr="000169CB">
          <w:rPr>
            <w:noProof/>
            <w:webHidden/>
          </w:rPr>
          <w:fldChar w:fldCharType="separate"/>
        </w:r>
        <w:r w:rsidR="006E5758">
          <w:rPr>
            <w:noProof/>
            <w:webHidden/>
          </w:rPr>
          <w:t>16</w:t>
        </w:r>
        <w:r w:rsidR="007A117F" w:rsidRPr="000169CB">
          <w:rPr>
            <w:noProof/>
            <w:webHidden/>
          </w:rPr>
          <w:fldChar w:fldCharType="end"/>
        </w:r>
      </w:hyperlink>
    </w:p>
    <w:p w14:paraId="10035969" w14:textId="77777777" w:rsidR="007A117F" w:rsidRPr="000169CB" w:rsidRDefault="00307568">
      <w:pPr>
        <w:pStyle w:val="TM2"/>
        <w:rPr>
          <w:rFonts w:eastAsiaTheme="minorEastAsia" w:cs="Open Sans"/>
          <w:noProof/>
          <w:szCs w:val="22"/>
        </w:rPr>
      </w:pPr>
      <w:hyperlink w:anchor="_Toc45803568" w:history="1">
        <w:r w:rsidR="007A117F" w:rsidRPr="000169CB">
          <w:rPr>
            <w:rStyle w:val="Lienhypertexte"/>
            <w:rFonts w:ascii="Open Sans" w:eastAsia="Arial Unicode MS" w:hAnsi="Open Sans" w:cs="Open Sans"/>
            <w:noProof/>
            <w:sz w:val="22"/>
          </w:rPr>
          <w:t>6.1</w:t>
        </w:r>
        <w:r w:rsidR="007A117F" w:rsidRPr="000169CB">
          <w:rPr>
            <w:rFonts w:eastAsiaTheme="minorEastAsia" w:cs="Open Sans"/>
            <w:noProof/>
            <w:szCs w:val="22"/>
          </w:rPr>
          <w:tab/>
        </w:r>
        <w:r w:rsidR="007A117F" w:rsidRPr="000169CB">
          <w:rPr>
            <w:rStyle w:val="Lienhypertexte"/>
            <w:rFonts w:ascii="Open Sans" w:eastAsia="Arial Unicode MS" w:hAnsi="Open Sans" w:cs="Open Sans"/>
            <w:noProof/>
            <w:sz w:val="22"/>
          </w:rPr>
          <w:t>Admission des candidatures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_Toc45803568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16</w:t>
        </w:r>
        <w:r w:rsidR="007A117F" w:rsidRPr="000169CB">
          <w:rPr>
            <w:rFonts w:cs="Open Sans"/>
            <w:noProof/>
            <w:webHidden/>
            <w:sz w:val="22"/>
          </w:rPr>
          <w:fldChar w:fldCharType="end"/>
        </w:r>
      </w:hyperlink>
    </w:p>
    <w:p w14:paraId="6B89BF99" w14:textId="77777777" w:rsidR="007A117F" w:rsidRPr="000169CB" w:rsidRDefault="00307568">
      <w:pPr>
        <w:pStyle w:val="TM2"/>
        <w:rPr>
          <w:rFonts w:eastAsiaTheme="minorEastAsia" w:cs="Open Sans"/>
          <w:noProof/>
          <w:szCs w:val="22"/>
        </w:rPr>
      </w:pPr>
      <w:hyperlink w:anchor="_Toc45803569" w:history="1">
        <w:r w:rsidR="007A117F" w:rsidRPr="000169CB">
          <w:rPr>
            <w:rStyle w:val="Lienhypertexte"/>
            <w:rFonts w:ascii="Open Sans" w:eastAsia="Arial Unicode MS" w:hAnsi="Open Sans" w:cs="Open Sans"/>
            <w:noProof/>
            <w:sz w:val="22"/>
          </w:rPr>
          <w:t>6.2</w:t>
        </w:r>
        <w:r w:rsidR="007A117F" w:rsidRPr="000169CB">
          <w:rPr>
            <w:rFonts w:eastAsiaTheme="minorEastAsia" w:cs="Open Sans"/>
            <w:noProof/>
            <w:szCs w:val="22"/>
          </w:rPr>
          <w:tab/>
        </w:r>
        <w:r w:rsidR="007A117F" w:rsidRPr="000169CB">
          <w:rPr>
            <w:rStyle w:val="Lienhypertexte"/>
            <w:rFonts w:ascii="Open Sans" w:eastAsia="Arial Unicode MS" w:hAnsi="Open Sans" w:cs="Open Sans"/>
            <w:noProof/>
            <w:sz w:val="22"/>
          </w:rPr>
          <w:t>Analyse des offres</w:t>
        </w:r>
        <w:r w:rsidR="007A117F" w:rsidRPr="000169CB">
          <w:rPr>
            <w:rFonts w:cs="Open Sans"/>
            <w:noProof/>
            <w:webHidden/>
            <w:sz w:val="22"/>
          </w:rPr>
          <w:tab/>
        </w:r>
        <w:r w:rsidR="007A117F" w:rsidRPr="000169CB">
          <w:rPr>
            <w:rFonts w:cs="Open Sans"/>
            <w:noProof/>
            <w:webHidden/>
            <w:sz w:val="22"/>
          </w:rPr>
          <w:fldChar w:fldCharType="begin"/>
        </w:r>
        <w:r w:rsidR="007A117F" w:rsidRPr="000169CB">
          <w:rPr>
            <w:rFonts w:cs="Open Sans"/>
            <w:noProof/>
            <w:webHidden/>
            <w:sz w:val="22"/>
          </w:rPr>
          <w:instrText xml:space="preserve"> PAGEREF _Toc45803569 \h </w:instrText>
        </w:r>
        <w:r w:rsidR="007A117F" w:rsidRPr="000169CB">
          <w:rPr>
            <w:rFonts w:cs="Open Sans"/>
            <w:noProof/>
            <w:webHidden/>
            <w:sz w:val="22"/>
          </w:rPr>
        </w:r>
        <w:r w:rsidR="007A117F" w:rsidRPr="000169CB">
          <w:rPr>
            <w:rFonts w:cs="Open Sans"/>
            <w:noProof/>
            <w:webHidden/>
            <w:sz w:val="22"/>
          </w:rPr>
          <w:fldChar w:fldCharType="separate"/>
        </w:r>
        <w:r w:rsidR="006E5758">
          <w:rPr>
            <w:rFonts w:cs="Open Sans"/>
            <w:noProof/>
            <w:webHidden/>
            <w:sz w:val="22"/>
          </w:rPr>
          <w:t>16</w:t>
        </w:r>
        <w:r w:rsidR="007A117F" w:rsidRPr="000169CB">
          <w:rPr>
            <w:rFonts w:cs="Open Sans"/>
            <w:noProof/>
            <w:webHidden/>
            <w:sz w:val="22"/>
          </w:rPr>
          <w:fldChar w:fldCharType="end"/>
        </w:r>
      </w:hyperlink>
    </w:p>
    <w:p w14:paraId="1E88421A" w14:textId="77777777" w:rsidR="007A117F" w:rsidRPr="000169CB" w:rsidRDefault="00307568" w:rsidP="000169CB">
      <w:pPr>
        <w:pStyle w:val="TM1"/>
        <w:rPr>
          <w:rFonts w:eastAsiaTheme="minorEastAsia"/>
          <w:noProof/>
          <w:szCs w:val="22"/>
        </w:rPr>
      </w:pPr>
      <w:hyperlink w:anchor="_Toc45803570" w:history="1">
        <w:r w:rsidR="007A117F" w:rsidRPr="000169CB">
          <w:rPr>
            <w:rStyle w:val="Lienhypertexte"/>
            <w:rFonts w:ascii="Open Sans" w:hAnsi="Open Sans" w:cs="Open Sans"/>
            <w:noProof/>
            <w:sz w:val="22"/>
          </w:rPr>
          <w:t>ARTICLE 7.</w:t>
        </w:r>
        <w:r w:rsidR="007A117F" w:rsidRPr="000169CB">
          <w:rPr>
            <w:rFonts w:eastAsiaTheme="minorEastAsia"/>
            <w:noProof/>
            <w:szCs w:val="22"/>
          </w:rPr>
          <w:tab/>
        </w:r>
        <w:r w:rsidR="007A117F" w:rsidRPr="000169CB">
          <w:rPr>
            <w:rStyle w:val="Lienhypertexte"/>
            <w:rFonts w:ascii="Open Sans" w:hAnsi="Open Sans" w:cs="Open Sans"/>
            <w:noProof/>
            <w:sz w:val="22"/>
          </w:rPr>
          <w:t>NOTIFICATION DES RESULTATS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_Toc45803570 \h </w:instrText>
        </w:r>
        <w:r w:rsidR="007A117F" w:rsidRPr="000169CB">
          <w:rPr>
            <w:noProof/>
            <w:webHidden/>
          </w:rPr>
        </w:r>
        <w:r w:rsidR="007A117F" w:rsidRPr="000169CB">
          <w:rPr>
            <w:noProof/>
            <w:webHidden/>
          </w:rPr>
          <w:fldChar w:fldCharType="separate"/>
        </w:r>
        <w:r w:rsidR="006E5758">
          <w:rPr>
            <w:noProof/>
            <w:webHidden/>
          </w:rPr>
          <w:t>18</w:t>
        </w:r>
        <w:r w:rsidR="007A117F" w:rsidRPr="000169CB">
          <w:rPr>
            <w:noProof/>
            <w:webHidden/>
          </w:rPr>
          <w:fldChar w:fldCharType="end"/>
        </w:r>
      </w:hyperlink>
    </w:p>
    <w:p w14:paraId="6C5C9A1D" w14:textId="77777777" w:rsidR="007A117F" w:rsidRPr="000169CB" w:rsidRDefault="00307568" w:rsidP="000169CB">
      <w:pPr>
        <w:pStyle w:val="TM1"/>
        <w:rPr>
          <w:rFonts w:eastAsiaTheme="minorEastAsia"/>
          <w:noProof/>
          <w:szCs w:val="22"/>
        </w:rPr>
      </w:pPr>
      <w:hyperlink w:anchor="_Toc45803571" w:history="1">
        <w:r w:rsidR="007A117F" w:rsidRPr="000169CB">
          <w:rPr>
            <w:rStyle w:val="Lienhypertexte"/>
            <w:rFonts w:ascii="Open Sans" w:hAnsi="Open Sans" w:cs="Open Sans"/>
            <w:iCs/>
            <w:noProof/>
            <w:sz w:val="22"/>
          </w:rPr>
          <w:t>ARTICLE 8.</w:t>
        </w:r>
        <w:r w:rsidR="007A117F" w:rsidRPr="000169CB">
          <w:rPr>
            <w:rFonts w:eastAsiaTheme="minorEastAsia"/>
            <w:noProof/>
            <w:szCs w:val="22"/>
          </w:rPr>
          <w:tab/>
        </w:r>
        <w:r w:rsidR="007A117F" w:rsidRPr="000169CB">
          <w:rPr>
            <w:rStyle w:val="Lienhypertexte"/>
            <w:rFonts w:ascii="Open Sans" w:hAnsi="Open Sans" w:cs="Open Sans"/>
            <w:iCs/>
            <w:noProof/>
            <w:sz w:val="22"/>
          </w:rPr>
          <w:t>CONSTITUTION DES CATALOGUES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_Toc45803571 \h </w:instrText>
        </w:r>
        <w:r w:rsidR="007A117F" w:rsidRPr="000169CB">
          <w:rPr>
            <w:noProof/>
            <w:webHidden/>
          </w:rPr>
        </w:r>
        <w:r w:rsidR="007A117F" w:rsidRPr="000169CB">
          <w:rPr>
            <w:noProof/>
            <w:webHidden/>
          </w:rPr>
          <w:fldChar w:fldCharType="separate"/>
        </w:r>
        <w:r w:rsidR="006E5758">
          <w:rPr>
            <w:noProof/>
            <w:webHidden/>
          </w:rPr>
          <w:t>18</w:t>
        </w:r>
        <w:r w:rsidR="007A117F" w:rsidRPr="000169CB">
          <w:rPr>
            <w:noProof/>
            <w:webHidden/>
          </w:rPr>
          <w:fldChar w:fldCharType="end"/>
        </w:r>
      </w:hyperlink>
    </w:p>
    <w:p w14:paraId="37912CFE" w14:textId="77777777" w:rsidR="007A117F" w:rsidRPr="000169CB" w:rsidRDefault="00307568" w:rsidP="000169CB">
      <w:pPr>
        <w:pStyle w:val="TM1"/>
        <w:rPr>
          <w:rFonts w:eastAsiaTheme="minorEastAsia"/>
          <w:noProof/>
          <w:szCs w:val="22"/>
        </w:rPr>
      </w:pPr>
      <w:hyperlink w:anchor="_Toc45803572" w:history="1">
        <w:r w:rsidR="007A117F" w:rsidRPr="000169CB">
          <w:rPr>
            <w:rStyle w:val="Lienhypertexte"/>
            <w:rFonts w:ascii="Open Sans" w:hAnsi="Open Sans" w:cs="Open Sans"/>
            <w:noProof/>
            <w:sz w:val="22"/>
          </w:rPr>
          <w:t>ARTICLE 9.</w:t>
        </w:r>
        <w:r w:rsidR="007A117F" w:rsidRPr="000169CB">
          <w:rPr>
            <w:rFonts w:eastAsiaTheme="minorEastAsia"/>
            <w:noProof/>
            <w:szCs w:val="22"/>
          </w:rPr>
          <w:tab/>
        </w:r>
        <w:r w:rsidR="007A117F" w:rsidRPr="000169CB">
          <w:rPr>
            <w:rStyle w:val="Lienhypertexte"/>
            <w:rFonts w:ascii="Open Sans" w:hAnsi="Open Sans" w:cs="Open Sans"/>
            <w:noProof/>
            <w:sz w:val="22"/>
          </w:rPr>
          <w:t>VOIES DE RECOURS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_Toc45803572 \h </w:instrText>
        </w:r>
        <w:r w:rsidR="007A117F" w:rsidRPr="000169CB">
          <w:rPr>
            <w:noProof/>
            <w:webHidden/>
          </w:rPr>
        </w:r>
        <w:r w:rsidR="007A117F" w:rsidRPr="000169CB">
          <w:rPr>
            <w:noProof/>
            <w:webHidden/>
          </w:rPr>
          <w:fldChar w:fldCharType="separate"/>
        </w:r>
        <w:r w:rsidR="006E5758">
          <w:rPr>
            <w:noProof/>
            <w:webHidden/>
          </w:rPr>
          <w:t>18</w:t>
        </w:r>
        <w:r w:rsidR="007A117F" w:rsidRPr="000169CB">
          <w:rPr>
            <w:noProof/>
            <w:webHidden/>
          </w:rPr>
          <w:fldChar w:fldCharType="end"/>
        </w:r>
      </w:hyperlink>
    </w:p>
    <w:p w14:paraId="5777D9D3" w14:textId="77777777" w:rsidR="007A117F" w:rsidRPr="000169CB" w:rsidRDefault="00307568" w:rsidP="000169CB">
      <w:pPr>
        <w:pStyle w:val="TM1"/>
        <w:rPr>
          <w:rFonts w:eastAsiaTheme="minorEastAsia"/>
          <w:noProof/>
          <w:szCs w:val="22"/>
        </w:rPr>
      </w:pPr>
      <w:hyperlink w:anchor="_Toc45803573" w:history="1">
        <w:r w:rsidR="007A117F" w:rsidRPr="000169CB">
          <w:rPr>
            <w:rStyle w:val="Lienhypertexte"/>
            <w:rFonts w:ascii="Open Sans" w:hAnsi="Open Sans" w:cs="Open Sans"/>
            <w:noProof/>
            <w:sz w:val="22"/>
          </w:rPr>
          <w:t>ARTICLE 10.</w:t>
        </w:r>
        <w:r w:rsidR="007A117F" w:rsidRPr="000169CB">
          <w:rPr>
            <w:rFonts w:eastAsiaTheme="minorEastAsia"/>
            <w:noProof/>
            <w:szCs w:val="22"/>
          </w:rPr>
          <w:tab/>
        </w:r>
        <w:r w:rsidR="007A117F" w:rsidRPr="000169CB">
          <w:rPr>
            <w:rStyle w:val="Lienhypertexte"/>
            <w:rFonts w:ascii="Open Sans" w:hAnsi="Open Sans" w:cs="Open Sans"/>
            <w:noProof/>
            <w:sz w:val="22"/>
          </w:rPr>
          <w:t>RENSEIGNEMENTS COMPLEMENTAIRES</w:t>
        </w:r>
        <w:r w:rsidR="007A117F" w:rsidRPr="000169CB">
          <w:rPr>
            <w:noProof/>
            <w:webHidden/>
          </w:rPr>
          <w:tab/>
        </w:r>
        <w:r w:rsidR="007A117F" w:rsidRPr="000169CB">
          <w:rPr>
            <w:noProof/>
            <w:webHidden/>
          </w:rPr>
          <w:fldChar w:fldCharType="begin"/>
        </w:r>
        <w:r w:rsidR="007A117F" w:rsidRPr="000169CB">
          <w:rPr>
            <w:noProof/>
            <w:webHidden/>
          </w:rPr>
          <w:instrText xml:space="preserve"> PAGEREF _Toc45803573 \h </w:instrText>
        </w:r>
        <w:r w:rsidR="007A117F" w:rsidRPr="000169CB">
          <w:rPr>
            <w:noProof/>
            <w:webHidden/>
          </w:rPr>
        </w:r>
        <w:r w:rsidR="007A117F" w:rsidRPr="000169CB">
          <w:rPr>
            <w:noProof/>
            <w:webHidden/>
          </w:rPr>
          <w:fldChar w:fldCharType="separate"/>
        </w:r>
        <w:r w:rsidR="006E5758">
          <w:rPr>
            <w:noProof/>
            <w:webHidden/>
          </w:rPr>
          <w:t>19</w:t>
        </w:r>
        <w:r w:rsidR="007A117F" w:rsidRPr="000169CB">
          <w:rPr>
            <w:noProof/>
            <w:webHidden/>
          </w:rPr>
          <w:fldChar w:fldCharType="end"/>
        </w:r>
      </w:hyperlink>
    </w:p>
    <w:p w14:paraId="2BEC4D6B" w14:textId="77777777" w:rsidR="00503BCA" w:rsidRPr="00A52637" w:rsidRDefault="00F90C96">
      <w:pPr>
        <w:keepNext/>
        <w:widowControl w:val="0"/>
        <w:autoSpaceDE w:val="0"/>
        <w:autoSpaceDN w:val="0"/>
        <w:adjustRightInd w:val="0"/>
        <w:rPr>
          <w:rFonts w:cs="Open Sans"/>
          <w:b/>
          <w:bCs/>
          <w:szCs w:val="20"/>
        </w:rPr>
      </w:pPr>
      <w:r w:rsidRPr="000169CB">
        <w:rPr>
          <w:rFonts w:cs="Open Sans"/>
          <w:b/>
          <w:bCs/>
          <w:sz w:val="18"/>
          <w:szCs w:val="20"/>
        </w:rPr>
        <w:fldChar w:fldCharType="end"/>
      </w:r>
    </w:p>
    <w:p w14:paraId="2362CC94" w14:textId="77777777" w:rsidR="009F1897" w:rsidRPr="00A52637" w:rsidRDefault="009F1897" w:rsidP="009F1897">
      <w:pPr>
        <w:widowControl w:val="0"/>
        <w:autoSpaceDE w:val="0"/>
        <w:autoSpaceDN w:val="0"/>
        <w:adjustRightInd w:val="0"/>
        <w:rPr>
          <w:rFonts w:cs="Open Sans"/>
          <w:b/>
          <w:bCs/>
          <w:szCs w:val="20"/>
        </w:rPr>
      </w:pPr>
    </w:p>
    <w:p w14:paraId="204F00EA" w14:textId="77777777" w:rsidR="008D2EDD" w:rsidRDefault="008D2EDD" w:rsidP="009F1897">
      <w:pPr>
        <w:widowControl w:val="0"/>
        <w:autoSpaceDE w:val="0"/>
        <w:autoSpaceDN w:val="0"/>
        <w:adjustRightInd w:val="0"/>
        <w:rPr>
          <w:rFonts w:cs="Open Sans"/>
          <w:b/>
          <w:bCs/>
          <w:szCs w:val="20"/>
        </w:rPr>
      </w:pPr>
    </w:p>
    <w:p w14:paraId="11E2DEDD" w14:textId="77777777" w:rsidR="00BA6675" w:rsidRPr="00A52637" w:rsidRDefault="00BA6675" w:rsidP="009F1897">
      <w:pPr>
        <w:widowControl w:val="0"/>
        <w:autoSpaceDE w:val="0"/>
        <w:autoSpaceDN w:val="0"/>
        <w:adjustRightInd w:val="0"/>
        <w:rPr>
          <w:rFonts w:cs="Open Sans"/>
          <w:b/>
          <w:bCs/>
          <w:szCs w:val="20"/>
        </w:rPr>
      </w:pPr>
    </w:p>
    <w:p w14:paraId="478C6D32" w14:textId="77777777" w:rsidR="00F02989" w:rsidRPr="00A52637" w:rsidRDefault="00F02989" w:rsidP="009F1897">
      <w:pPr>
        <w:widowControl w:val="0"/>
        <w:autoSpaceDE w:val="0"/>
        <w:autoSpaceDN w:val="0"/>
        <w:adjustRightInd w:val="0"/>
        <w:rPr>
          <w:rFonts w:cs="Open Sans"/>
          <w:b/>
          <w:bCs/>
          <w:szCs w:val="20"/>
        </w:rPr>
      </w:pPr>
    </w:p>
    <w:p w14:paraId="7145F7BE" w14:textId="77777777" w:rsidR="00F02989" w:rsidRDefault="00F02989" w:rsidP="009F1897">
      <w:pPr>
        <w:widowControl w:val="0"/>
        <w:autoSpaceDE w:val="0"/>
        <w:autoSpaceDN w:val="0"/>
        <w:adjustRightInd w:val="0"/>
        <w:rPr>
          <w:rFonts w:cs="Open Sans"/>
          <w:b/>
          <w:bCs/>
          <w:szCs w:val="20"/>
        </w:rPr>
      </w:pPr>
    </w:p>
    <w:p w14:paraId="243E3966" w14:textId="77777777" w:rsidR="000169CB" w:rsidRPr="00A52637" w:rsidRDefault="000169CB" w:rsidP="009F1897">
      <w:pPr>
        <w:widowControl w:val="0"/>
        <w:autoSpaceDE w:val="0"/>
        <w:autoSpaceDN w:val="0"/>
        <w:adjustRightInd w:val="0"/>
        <w:rPr>
          <w:rFonts w:cs="Open Sans"/>
          <w:b/>
          <w:bCs/>
          <w:szCs w:val="20"/>
        </w:rPr>
      </w:pPr>
    </w:p>
    <w:p w14:paraId="022CBDD3" w14:textId="77777777" w:rsidR="002A2101" w:rsidRPr="00A52637" w:rsidRDefault="002A2101" w:rsidP="009F1897">
      <w:pPr>
        <w:widowControl w:val="0"/>
        <w:autoSpaceDE w:val="0"/>
        <w:autoSpaceDN w:val="0"/>
        <w:adjustRightInd w:val="0"/>
        <w:rPr>
          <w:rFonts w:cs="Open Sans"/>
          <w:szCs w:val="20"/>
        </w:rPr>
      </w:pPr>
    </w:p>
    <w:p w14:paraId="642A0F82" w14:textId="46BD40A3" w:rsidR="00E327F0" w:rsidRDefault="00E327F0" w:rsidP="009F1897">
      <w:pPr>
        <w:pStyle w:val="Titre1"/>
        <w:rPr>
          <w:rFonts w:ascii="Open Sans" w:hAnsi="Open Sans" w:cs="Open Sans"/>
        </w:rPr>
      </w:pPr>
      <w:bookmarkStart w:id="0" w:name="_Toc45803545"/>
      <w:r>
        <w:rPr>
          <w:rFonts w:ascii="Open Sans" w:hAnsi="Open Sans" w:cs="Open Sans"/>
        </w:rPr>
        <w:t>ACHETEUR</w:t>
      </w:r>
    </w:p>
    <w:p w14:paraId="65657E96" w14:textId="01B62460" w:rsidR="00E327F0" w:rsidRDefault="00E327F0" w:rsidP="00E327F0"/>
    <w:p w14:paraId="4E697937" w14:textId="77777777" w:rsidR="00E327F0" w:rsidRDefault="00E327F0" w:rsidP="00E327F0">
      <w:r>
        <w:t xml:space="preserve">La personne publique pour laquelle l’accord cadre est : </w:t>
      </w:r>
    </w:p>
    <w:p w14:paraId="3F5C228D" w14:textId="77777777" w:rsidR="00E327F0" w:rsidRDefault="00E327F0" w:rsidP="00E327F0">
      <w:r>
        <w:t>L’Assistance Publique – Hôpitaux de Paris (AP-HP)</w:t>
      </w:r>
    </w:p>
    <w:p w14:paraId="4CA64075" w14:textId="77777777" w:rsidR="00E327F0" w:rsidRDefault="00E327F0" w:rsidP="00E327F0">
      <w:r>
        <w:t>AGENCE GENERALE DES EQUIPEMENTS ET PRODUITS DE SANTE (AGEPS)</w:t>
      </w:r>
    </w:p>
    <w:p w14:paraId="21039C0D" w14:textId="77777777" w:rsidR="00E327F0" w:rsidRDefault="00E327F0" w:rsidP="00E327F0">
      <w:r>
        <w:t>7, rue du Fer à Moulin</w:t>
      </w:r>
    </w:p>
    <w:p w14:paraId="22866682" w14:textId="77777777" w:rsidR="00E327F0" w:rsidRDefault="00E327F0" w:rsidP="00E327F0">
      <w:r>
        <w:t>75221 - PARIS CEDEX 05</w:t>
      </w:r>
    </w:p>
    <w:p w14:paraId="19173D28" w14:textId="77777777" w:rsidR="00E327F0" w:rsidRDefault="00E327F0" w:rsidP="00E327F0">
      <w:r>
        <w:lastRenderedPageBreak/>
        <w:t>SIRET : 267 500 452 01928</w:t>
      </w:r>
    </w:p>
    <w:p w14:paraId="2B91D64A" w14:textId="77777777" w:rsidR="00E327F0" w:rsidRDefault="00E327F0" w:rsidP="00E327F0">
      <w:r>
        <w:t>Tél. : 01 46 69 13 13</w:t>
      </w:r>
    </w:p>
    <w:p w14:paraId="14D6958D" w14:textId="77777777" w:rsidR="00E327F0" w:rsidRDefault="00E327F0" w:rsidP="00E327F0"/>
    <w:p w14:paraId="0D4F3970" w14:textId="6DFE55DD" w:rsidR="00E327F0" w:rsidRDefault="00E327F0" w:rsidP="00E327F0">
      <w:r>
        <w:t>Elle est représentée par le Directeur de l’AGEPS bénéficiant d’une délégation de signature du Directeur général de l’AP-HP à cet effet en application de l’arrêté n°75-2022-07-08-00005 du 08 juillet 2022.</w:t>
      </w:r>
    </w:p>
    <w:p w14:paraId="4D06C398" w14:textId="51021F4D" w:rsidR="00E327F0" w:rsidRPr="00E327F0" w:rsidRDefault="00E327F0" w:rsidP="00E327F0"/>
    <w:bookmarkEnd w:id="0"/>
    <w:p w14:paraId="097AEADF" w14:textId="4B862D6E" w:rsidR="00F90C96" w:rsidRPr="00A52637" w:rsidRDefault="00E327F0" w:rsidP="009F1897">
      <w:pPr>
        <w:pStyle w:val="Titre1"/>
        <w:rPr>
          <w:rFonts w:ascii="Open Sans" w:hAnsi="Open Sans" w:cs="Open Sans"/>
        </w:rPr>
      </w:pPr>
      <w:r>
        <w:rPr>
          <w:rFonts w:ascii="Open Sans" w:hAnsi="Open Sans" w:cs="Open Sans"/>
        </w:rPr>
        <w:t xml:space="preserve">OBJET DE LA CONSULTATION </w:t>
      </w:r>
    </w:p>
    <w:p w14:paraId="59BB0B87" w14:textId="7589A26F" w:rsidR="00241CE1" w:rsidRDefault="00241CE1" w:rsidP="00241CE1">
      <w:pPr>
        <w:rPr>
          <w:rFonts w:cs="Open Sans"/>
          <w:szCs w:val="20"/>
        </w:rPr>
      </w:pPr>
    </w:p>
    <w:p w14:paraId="15400A3D" w14:textId="39D25F70" w:rsidR="00241CE1" w:rsidRDefault="00E327F0" w:rsidP="00E327F0">
      <w:r>
        <w:rPr>
          <w:rFonts w:cs="Open Sans"/>
          <w:szCs w:val="20"/>
        </w:rPr>
        <w:t xml:space="preserve">Le présent accord-cadre vise à procurer un support contractuel à l’AP-HO lui permettant de réaliser des </w:t>
      </w:r>
      <w:r w:rsidRPr="00E327F0">
        <w:t>prestations d’assistance technique pour la mise en œuvre et de l’exploitation des services opérationnels informatiques de l’AP-HP</w:t>
      </w:r>
      <w:r>
        <w:t xml:space="preserve"> </w:t>
      </w:r>
      <w:r w:rsidR="001A6C1A" w:rsidRPr="006E5758">
        <w:t>»</w:t>
      </w:r>
      <w:r w:rsidR="00241CE1" w:rsidRPr="006E5758">
        <w:t>.</w:t>
      </w:r>
      <w:r w:rsidR="00290C58">
        <w:t xml:space="preserve"> </w:t>
      </w:r>
      <w:r>
        <w:t>La consultation</w:t>
      </w:r>
      <w:r w:rsidR="00290C58">
        <w:t xml:space="preserve"> est constituée de </w:t>
      </w:r>
      <w:r>
        <w:t>4</w:t>
      </w:r>
      <w:r w:rsidR="00290C58">
        <w:t xml:space="preserve"> lots décrits dans les pièces de la consultation.</w:t>
      </w:r>
    </w:p>
    <w:p w14:paraId="58F76F7F" w14:textId="77777777" w:rsidR="00E327F0" w:rsidRDefault="00E327F0" w:rsidP="00E327F0"/>
    <w:p w14:paraId="56A41976" w14:textId="277D3F18" w:rsidR="00E327F0" w:rsidRDefault="00E327F0" w:rsidP="00E327F0">
      <w:r w:rsidRPr="00E327F0">
        <w:t>Le détail des prestations faisant l’objet du marché est précisé dans le cahier des clauses administratives particulières et le cahier des clauses techniques particulières.</w:t>
      </w:r>
    </w:p>
    <w:p w14:paraId="0AEA3B09" w14:textId="56E78E67" w:rsidR="00E327F0" w:rsidRDefault="00E327F0" w:rsidP="00E327F0"/>
    <w:p w14:paraId="0C4EDFDC" w14:textId="3D52C5ED" w:rsidR="00E327F0" w:rsidRDefault="00E327F0" w:rsidP="00E327F0">
      <w:pPr>
        <w:pStyle w:val="Titre1"/>
      </w:pPr>
      <w:r>
        <w:t xml:space="preserve">CONDITIONS DE LA CONSULTATION </w:t>
      </w:r>
    </w:p>
    <w:p w14:paraId="54DB1679" w14:textId="77777777" w:rsidR="00E327F0" w:rsidRPr="00E327F0" w:rsidRDefault="00E327F0" w:rsidP="00E327F0">
      <w:pPr>
        <w:rPr>
          <w:rFonts w:cs="Open Sans"/>
        </w:rPr>
      </w:pPr>
    </w:p>
    <w:p w14:paraId="54D584F3" w14:textId="0D425DAE" w:rsidR="00290C58" w:rsidRDefault="00E327F0" w:rsidP="00E327F0">
      <w:pPr>
        <w:pStyle w:val="Titre2"/>
      </w:pPr>
      <w:r>
        <w:t xml:space="preserve">Procédure de passation </w:t>
      </w:r>
    </w:p>
    <w:p w14:paraId="46108366" w14:textId="77777777" w:rsidR="00E327F0" w:rsidRDefault="00E327F0" w:rsidP="00E327F0"/>
    <w:p w14:paraId="0D567AEB" w14:textId="77777777" w:rsidR="00E327F0" w:rsidRDefault="00E327F0" w:rsidP="00E327F0">
      <w:r>
        <w:t>En application de l’article R. 2124-2 du Code de la commande publique en vigueur à la date de la publication de l’avis d’appel public à la concurrence, la présente consultation est mise en œuvre sous la forme d’un appel d’offres ouvert permettant à tout opérateur économique intéressé de soumissionner.</w:t>
      </w:r>
    </w:p>
    <w:p w14:paraId="49B648D6" w14:textId="77777777" w:rsidR="00E327F0" w:rsidRDefault="00E327F0" w:rsidP="00E327F0"/>
    <w:p w14:paraId="71150DCF" w14:textId="77777777" w:rsidR="00E327F0" w:rsidRDefault="00E327F0" w:rsidP="00E327F0">
      <w:r>
        <w:t>Le marché sera couvert par l’accord international sur les marchés publics (AMP).</w:t>
      </w:r>
    </w:p>
    <w:p w14:paraId="3FA79AD0" w14:textId="1BEB00EC" w:rsidR="00144829" w:rsidRDefault="00144829" w:rsidP="00E327F0"/>
    <w:p w14:paraId="218F0BAB" w14:textId="53CD525D" w:rsidR="00144829" w:rsidRDefault="00144829" w:rsidP="00E327F0">
      <w:r w:rsidRPr="00966782">
        <w:t>Le Représentant du Pouvoir Adjudicateur se réserve la possibilité de recourir ultérieurement à la procédure négociée pour la réalisation de prestations similaires au sens de l'article R. 2122-7 du Code de la commande publique.</w:t>
      </w:r>
    </w:p>
    <w:p w14:paraId="126FE0D3" w14:textId="6910B25A" w:rsidR="00E327F0" w:rsidRDefault="00E327F0" w:rsidP="00E327F0"/>
    <w:p w14:paraId="40970D46" w14:textId="0223CDAE" w:rsidR="00E327F0" w:rsidRDefault="00E327F0" w:rsidP="00144829">
      <w:pPr>
        <w:pStyle w:val="Titre2"/>
      </w:pPr>
      <w:r>
        <w:t xml:space="preserve">Allotissement </w:t>
      </w:r>
    </w:p>
    <w:p w14:paraId="35CCEDE8" w14:textId="77777777" w:rsidR="00144829" w:rsidRDefault="00144829" w:rsidP="00144829"/>
    <w:p w14:paraId="39977B6B" w14:textId="01730D2B" w:rsidR="00144829" w:rsidRDefault="00144829" w:rsidP="00144829">
      <w:r w:rsidRPr="00144829">
        <w:t>Le présent marché porte sur la réalisation de prestations d’assistance technique pour les solutions et applications du Système d’Information du Patient de l’AP-HP. Les prestations sont alloties de la manière suivante :</w:t>
      </w:r>
    </w:p>
    <w:p w14:paraId="4FD8AD9D" w14:textId="46893E72" w:rsidR="00144829" w:rsidRDefault="00144829" w:rsidP="00144829"/>
    <w:p w14:paraId="5BCF37A7" w14:textId="77777777" w:rsidR="00144829" w:rsidRDefault="00144829" w:rsidP="00144829">
      <w:r w:rsidRPr="00144829">
        <w:rPr>
          <w:b/>
          <w:bCs/>
        </w:rPr>
        <w:t>Lot n° 1</w:t>
      </w:r>
      <w:r>
        <w:t xml:space="preserve"> - Prestations d’assistance technique à l’Intégration, la supervision et l’exploitation des applications du SI.</w:t>
      </w:r>
    </w:p>
    <w:p w14:paraId="3796D61D" w14:textId="77777777" w:rsidR="00144829" w:rsidRDefault="00144829" w:rsidP="00144829"/>
    <w:p w14:paraId="30A0E536" w14:textId="77777777" w:rsidR="00144829" w:rsidRDefault="00144829" w:rsidP="00144829">
      <w:r w:rsidRPr="00144829">
        <w:rPr>
          <w:b/>
          <w:bCs/>
        </w:rPr>
        <w:t>Lot n° 2</w:t>
      </w:r>
      <w:r>
        <w:t xml:space="preserve"> - Prestations pour le maintien en condition opérationnelle des applications et de l’infrastructure du SI par de l’expertise sur les domaines techniques </w:t>
      </w:r>
      <w:proofErr w:type="spellStart"/>
      <w:r>
        <w:t>Wintel</w:t>
      </w:r>
      <w:proofErr w:type="spellEnd"/>
      <w:r>
        <w:t>, Citrix et de virtualisation pour les services opérationnels informatiques et de communication de l’AP-HP.</w:t>
      </w:r>
    </w:p>
    <w:p w14:paraId="278617D1" w14:textId="77777777" w:rsidR="00144829" w:rsidRDefault="00144829" w:rsidP="00144829"/>
    <w:p w14:paraId="5E4C868A" w14:textId="77777777" w:rsidR="00144829" w:rsidRDefault="00144829" w:rsidP="00144829">
      <w:r w:rsidRPr="00144829">
        <w:rPr>
          <w:b/>
          <w:bCs/>
        </w:rPr>
        <w:t>Lot n° 3</w:t>
      </w:r>
      <w:r>
        <w:t xml:space="preserve"> - Prestations pour le maintien en condition opérationnelle des applications et de l’infrastructure du SI par de l’expertise sur les domaines techniques des systèmes d’exploitation et des systèmes de gestion des bases de données pour les services opérationnels informatiques et de communication de l’AP-HP.</w:t>
      </w:r>
    </w:p>
    <w:p w14:paraId="38D23F44" w14:textId="77777777" w:rsidR="00144829" w:rsidRDefault="00144829" w:rsidP="00144829"/>
    <w:p w14:paraId="1A2D7029" w14:textId="74D1D317" w:rsidR="00144829" w:rsidRPr="00144829" w:rsidRDefault="00144829" w:rsidP="00144829">
      <w:r w:rsidRPr="00144829">
        <w:rPr>
          <w:b/>
          <w:bCs/>
        </w:rPr>
        <w:t>Lot n° 4</w:t>
      </w:r>
      <w:r>
        <w:t xml:space="preserve"> - Prestations de métrologie et mesure de la performance.</w:t>
      </w:r>
    </w:p>
    <w:p w14:paraId="03F7820F" w14:textId="77777777" w:rsidR="00E327F0" w:rsidRDefault="00E327F0" w:rsidP="00E327F0"/>
    <w:p w14:paraId="31A68F31" w14:textId="6DA4AAAE" w:rsidR="00241CE1" w:rsidRPr="00144829" w:rsidRDefault="00290C58" w:rsidP="00144829">
      <w:r>
        <w:t>Chaque lot</w:t>
      </w:r>
      <w:r w:rsidRPr="000118F3">
        <w:t xml:space="preserve"> prend la forme d’un accord cadre mono-attributaire à bons de commande en application de l’article R2162-2 alinéa 2 du code de la commande publique. </w:t>
      </w:r>
    </w:p>
    <w:p w14:paraId="5DD02217" w14:textId="77777777" w:rsidR="00000B4F" w:rsidRPr="006E5758" w:rsidRDefault="00000B4F" w:rsidP="00241CE1">
      <w:pPr>
        <w:widowControl w:val="0"/>
        <w:autoSpaceDE w:val="0"/>
        <w:autoSpaceDN w:val="0"/>
        <w:adjustRightInd w:val="0"/>
        <w:rPr>
          <w:rFonts w:cs="Open Sans"/>
          <w:szCs w:val="20"/>
        </w:rPr>
      </w:pPr>
    </w:p>
    <w:p w14:paraId="14B8BDA6" w14:textId="77777777" w:rsidR="00241CE1" w:rsidRPr="006E5758" w:rsidRDefault="00241CE1" w:rsidP="00241CE1">
      <w:pPr>
        <w:pStyle w:val="Titre2"/>
        <w:rPr>
          <w:rFonts w:cs="Open Sans"/>
        </w:rPr>
      </w:pPr>
      <w:bookmarkStart w:id="1" w:name="_Toc45803547"/>
      <w:r w:rsidRPr="006E5758">
        <w:rPr>
          <w:rFonts w:cs="Open Sans"/>
        </w:rPr>
        <w:t>Durée</w:t>
      </w:r>
      <w:bookmarkEnd w:id="1"/>
    </w:p>
    <w:p w14:paraId="0E50555C" w14:textId="77777777" w:rsidR="00241CE1" w:rsidRPr="006E5758" w:rsidRDefault="00241CE1" w:rsidP="00241CE1">
      <w:pPr>
        <w:widowControl w:val="0"/>
        <w:autoSpaceDE w:val="0"/>
        <w:autoSpaceDN w:val="0"/>
        <w:adjustRightInd w:val="0"/>
        <w:rPr>
          <w:rFonts w:cs="Open Sans"/>
          <w:szCs w:val="20"/>
        </w:rPr>
      </w:pPr>
    </w:p>
    <w:p w14:paraId="3AE76BE9" w14:textId="57D8CA4C" w:rsidR="002F6B0D" w:rsidRPr="006E5758" w:rsidRDefault="002F6B0D" w:rsidP="00E327F0">
      <w:r w:rsidRPr="006E5758">
        <w:t>Le présent marché est conclu</w:t>
      </w:r>
      <w:r w:rsidR="00000B4F" w:rsidRPr="006E5758">
        <w:t xml:space="preserve"> pour </w:t>
      </w:r>
      <w:r w:rsidR="001A6C1A" w:rsidRPr="006E5758">
        <w:t xml:space="preserve">une période </w:t>
      </w:r>
      <w:r w:rsidR="00E327F0">
        <w:t>allant de la notification du marché au 21 octobre 2028</w:t>
      </w:r>
      <w:r w:rsidR="001A6C1A" w:rsidRPr="006E5758">
        <w:t xml:space="preserve">, </w:t>
      </w:r>
      <w:r w:rsidR="00000B4F" w:rsidRPr="006E5758">
        <w:t>résiliable sans indemnité à la seule initiative de l’Assistance Publique – Hôpitaux de Paris</w:t>
      </w:r>
      <w:r w:rsidR="000169CB" w:rsidRPr="006E5758">
        <w:t>, 6 mois à compter de la date de fin du marché</w:t>
      </w:r>
      <w:r w:rsidR="00000B4F" w:rsidRPr="006E5758">
        <w:t xml:space="preserve">. </w:t>
      </w:r>
    </w:p>
    <w:p w14:paraId="5B239A0B" w14:textId="77777777" w:rsidR="00000B4F" w:rsidRPr="006E5758" w:rsidRDefault="00000B4F" w:rsidP="00241CE1">
      <w:pPr>
        <w:widowControl w:val="0"/>
        <w:autoSpaceDE w:val="0"/>
        <w:autoSpaceDN w:val="0"/>
        <w:adjustRightInd w:val="0"/>
        <w:rPr>
          <w:rFonts w:cs="Open Sans"/>
          <w:sz w:val="18"/>
          <w:szCs w:val="18"/>
        </w:rPr>
      </w:pPr>
    </w:p>
    <w:p w14:paraId="7FD96E03" w14:textId="77777777" w:rsidR="00241CE1" w:rsidRPr="006E5758" w:rsidRDefault="00241CE1" w:rsidP="00241CE1">
      <w:pPr>
        <w:widowControl w:val="0"/>
        <w:autoSpaceDE w:val="0"/>
        <w:autoSpaceDN w:val="0"/>
        <w:adjustRightInd w:val="0"/>
        <w:rPr>
          <w:rFonts w:cs="Open Sans"/>
          <w:i/>
          <w:iCs/>
          <w:sz w:val="18"/>
          <w:szCs w:val="18"/>
        </w:rPr>
      </w:pPr>
    </w:p>
    <w:p w14:paraId="535E5702" w14:textId="77777777" w:rsidR="00241CE1" w:rsidRPr="006E5758" w:rsidRDefault="00241CE1" w:rsidP="00733DA3">
      <w:pPr>
        <w:pStyle w:val="Titre2"/>
        <w:rPr>
          <w:rFonts w:cs="Open Sans"/>
        </w:rPr>
      </w:pPr>
      <w:bookmarkStart w:id="2" w:name="_Toc45803548"/>
      <w:r w:rsidRPr="006E5758">
        <w:rPr>
          <w:rFonts w:cs="Open Sans"/>
        </w:rPr>
        <w:t>Prix</w:t>
      </w:r>
      <w:bookmarkEnd w:id="2"/>
    </w:p>
    <w:p w14:paraId="4FA2DA7B" w14:textId="77777777" w:rsidR="00241CE1" w:rsidRPr="006E5758" w:rsidRDefault="00241CE1" w:rsidP="00241CE1">
      <w:pPr>
        <w:widowControl w:val="0"/>
        <w:autoSpaceDE w:val="0"/>
        <w:autoSpaceDN w:val="0"/>
        <w:adjustRightInd w:val="0"/>
        <w:rPr>
          <w:rFonts w:cs="Open Sans"/>
        </w:rPr>
      </w:pPr>
    </w:p>
    <w:p w14:paraId="35A47C19" w14:textId="77777777" w:rsidR="00241CE1" w:rsidRPr="006E5758" w:rsidRDefault="00241CE1" w:rsidP="00E327F0">
      <w:pPr>
        <w:rPr>
          <w:i/>
          <w:iCs/>
        </w:rPr>
      </w:pPr>
      <w:r w:rsidRPr="006E5758">
        <w:rPr>
          <w:iCs/>
        </w:rPr>
        <w:t xml:space="preserve">Au sens </w:t>
      </w:r>
      <w:r w:rsidRPr="006E5758">
        <w:t>de l’article R. 2112-6 du Code de la commande publique,</w:t>
      </w:r>
      <w:r w:rsidRPr="006E5758">
        <w:rPr>
          <w:iCs/>
        </w:rPr>
        <w:t xml:space="preserve"> le marché est conclu sous la forme</w:t>
      </w:r>
      <w:r w:rsidR="000B3176" w:rsidRPr="006E5758">
        <w:rPr>
          <w:iCs/>
        </w:rPr>
        <w:t xml:space="preserve"> </w:t>
      </w:r>
      <w:r w:rsidR="000B3176" w:rsidRPr="006E5758">
        <w:t>de prix u</w:t>
      </w:r>
      <w:r w:rsidRPr="006E5758">
        <w:t>nitaire</w:t>
      </w:r>
      <w:r w:rsidR="000B3176" w:rsidRPr="006E5758">
        <w:t>s</w:t>
      </w:r>
      <w:r w:rsidRPr="006E5758">
        <w:t xml:space="preserve"> </w:t>
      </w:r>
      <w:r w:rsidR="002E7B67" w:rsidRPr="006E5758">
        <w:t>et forfaitaires</w:t>
      </w:r>
      <w:r w:rsidR="004B6593" w:rsidRPr="006E5758">
        <w:t xml:space="preserve">. </w:t>
      </w:r>
    </w:p>
    <w:p w14:paraId="6BD0E47A" w14:textId="77777777" w:rsidR="00241CE1" w:rsidRPr="006E5758" w:rsidRDefault="00241CE1" w:rsidP="00E327F0"/>
    <w:p w14:paraId="47DA01D9" w14:textId="18B930A7" w:rsidR="00241CE1" w:rsidRDefault="00241CE1" w:rsidP="00E327F0">
      <w:pPr>
        <w:rPr>
          <w:iCs/>
        </w:rPr>
      </w:pPr>
      <w:r w:rsidRPr="006E5758">
        <w:rPr>
          <w:iCs/>
        </w:rPr>
        <w:t xml:space="preserve">Au sens </w:t>
      </w:r>
      <w:r w:rsidRPr="006E5758">
        <w:t>de l’article R. 2112-7 à R. 2112-8 du Code de la commande publique</w:t>
      </w:r>
      <w:r w:rsidRPr="006E5758">
        <w:rPr>
          <w:i/>
        </w:rPr>
        <w:t>,</w:t>
      </w:r>
      <w:r w:rsidRPr="006E5758">
        <w:rPr>
          <w:i/>
          <w:iCs/>
        </w:rPr>
        <w:t xml:space="preserve"> </w:t>
      </w:r>
      <w:r w:rsidRPr="006E5758">
        <w:rPr>
          <w:iCs/>
        </w:rPr>
        <w:t>le marché est conclu à prix </w:t>
      </w:r>
      <w:r w:rsidR="003256B5" w:rsidRPr="006E5758">
        <w:rPr>
          <w:iCs/>
        </w:rPr>
        <w:t>définitif</w:t>
      </w:r>
      <w:r w:rsidRPr="006E5758">
        <w:rPr>
          <w:iCs/>
        </w:rPr>
        <w:t xml:space="preserve">. </w:t>
      </w:r>
    </w:p>
    <w:p w14:paraId="138C34DD" w14:textId="04D4ACA0" w:rsidR="00144829" w:rsidRDefault="00144829" w:rsidP="00E327F0">
      <w:pPr>
        <w:rPr>
          <w:iCs/>
        </w:rPr>
      </w:pPr>
    </w:p>
    <w:p w14:paraId="08F6C352" w14:textId="71B1FC09" w:rsidR="00144829" w:rsidRPr="009F58E8" w:rsidRDefault="00144829" w:rsidP="00144829">
      <w:r w:rsidRPr="009F58E8">
        <w:t xml:space="preserve">Le titulaire s’engage sur un montant maximum représenté par </w:t>
      </w:r>
      <w:r>
        <w:t>150</w:t>
      </w:r>
      <w:r w:rsidRPr="009F58E8">
        <w:t>% du montant de chaque lot valorisé au niveau de son offre sur la durée totale du marché.</w:t>
      </w:r>
    </w:p>
    <w:p w14:paraId="1185C078" w14:textId="77777777" w:rsidR="00241CE1" w:rsidRPr="006E5758" w:rsidRDefault="00241CE1" w:rsidP="00E327F0">
      <w:pPr>
        <w:rPr>
          <w:i/>
        </w:rPr>
      </w:pPr>
    </w:p>
    <w:p w14:paraId="53357EE1" w14:textId="77777777" w:rsidR="00241CE1" w:rsidRPr="006E5758" w:rsidRDefault="00241CE1" w:rsidP="00E327F0">
      <w:r w:rsidRPr="006E5758">
        <w:t xml:space="preserve">Ce prix fera l’objet d’une actualisation </w:t>
      </w:r>
      <w:r w:rsidR="00BC61B8" w:rsidRPr="006E5758">
        <w:t>si</w:t>
      </w:r>
      <w:r w:rsidRPr="006E5758">
        <w:t xml:space="preserve"> un délai de trois mois s’écoule entre la date à laquelle le soumissionnaire a fixé son prix dans l’offre et la date de début d’exécution des prestations. </w:t>
      </w:r>
    </w:p>
    <w:p w14:paraId="46515BEC" w14:textId="77777777" w:rsidR="00592DBF" w:rsidRPr="006E5758" w:rsidRDefault="00592DBF" w:rsidP="00E327F0">
      <w:pPr>
        <w:rPr>
          <w:i/>
          <w:sz w:val="18"/>
          <w:szCs w:val="18"/>
        </w:rPr>
      </w:pPr>
    </w:p>
    <w:p w14:paraId="3A4052F0" w14:textId="77777777" w:rsidR="00592DBF" w:rsidRPr="006E5758" w:rsidRDefault="00592DBF" w:rsidP="00E327F0">
      <w:r w:rsidRPr="006E5758">
        <w:t xml:space="preserve">Cette actualisation </w:t>
      </w:r>
      <w:r w:rsidR="00432B1A" w:rsidRPr="006E5758">
        <w:t>se fera aux conditions économiques observées à une date antérieure de trois mois à la date de début d’exécution des prestations.</w:t>
      </w:r>
    </w:p>
    <w:p w14:paraId="50BA91BC" w14:textId="77777777" w:rsidR="00241CE1" w:rsidRPr="006E5758" w:rsidRDefault="00241CE1" w:rsidP="00E327F0">
      <w:pPr>
        <w:rPr>
          <w:iCs/>
        </w:rPr>
      </w:pPr>
    </w:p>
    <w:p w14:paraId="5FEA25ED" w14:textId="7AC8EB61" w:rsidR="00241CE1" w:rsidRDefault="00144829" w:rsidP="00241CE1">
      <w:r w:rsidRPr="00144829">
        <w:t>Conformément à l’article R. 2112-5, les conditions administratives et techniques auxquelles sont subordonnées l’ordonnancement et le paiement sont précisées dans le CCAP.</w:t>
      </w:r>
    </w:p>
    <w:p w14:paraId="08FAEA78" w14:textId="1D01A562" w:rsidR="00144829" w:rsidRDefault="00144829" w:rsidP="00241CE1"/>
    <w:p w14:paraId="63326562" w14:textId="6D0491C6" w:rsidR="00144829" w:rsidRDefault="00144829" w:rsidP="00144829">
      <w:pPr>
        <w:pStyle w:val="Titre2"/>
      </w:pPr>
      <w:r>
        <w:t xml:space="preserve">Lieu principal d’exécution </w:t>
      </w:r>
    </w:p>
    <w:p w14:paraId="63594BF1" w14:textId="73C355DB" w:rsidR="00144829" w:rsidRDefault="00144829" w:rsidP="00144829"/>
    <w:p w14:paraId="27C1B5AF" w14:textId="54895674" w:rsidR="00144829" w:rsidRPr="00144829" w:rsidRDefault="00144829" w:rsidP="00144829">
      <w:r w:rsidRPr="00144829">
        <w:t xml:space="preserve">Les prestations objet du présent accord-cadre sont réalisées sur les sites du titulaire en France métropolitaine. </w:t>
      </w:r>
    </w:p>
    <w:p w14:paraId="4F7BE7A6" w14:textId="77777777" w:rsidR="00241CE1" w:rsidRPr="006E5758" w:rsidRDefault="00241CE1" w:rsidP="00241CE1">
      <w:pPr>
        <w:widowControl w:val="0"/>
        <w:autoSpaceDE w:val="0"/>
        <w:autoSpaceDN w:val="0"/>
        <w:adjustRightInd w:val="0"/>
        <w:rPr>
          <w:rFonts w:cs="Open Sans"/>
          <w:i/>
          <w:iCs/>
          <w:szCs w:val="20"/>
        </w:rPr>
      </w:pPr>
    </w:p>
    <w:p w14:paraId="5F72AFA2" w14:textId="748A1F86" w:rsidR="00241CE1" w:rsidRPr="006E5758" w:rsidRDefault="00144829" w:rsidP="00241CE1">
      <w:pPr>
        <w:pStyle w:val="Titre2"/>
        <w:rPr>
          <w:rFonts w:cs="Open Sans"/>
        </w:rPr>
      </w:pPr>
      <w:r>
        <w:rPr>
          <w:rFonts w:cs="Open Sans"/>
        </w:rPr>
        <w:t xml:space="preserve">Variantes </w:t>
      </w:r>
    </w:p>
    <w:p w14:paraId="4DC8C779" w14:textId="77777777" w:rsidR="00241CE1" w:rsidRPr="006E5758" w:rsidRDefault="00241CE1" w:rsidP="00241CE1">
      <w:pPr>
        <w:rPr>
          <w:rFonts w:cs="Open Sans"/>
        </w:rPr>
      </w:pPr>
    </w:p>
    <w:p w14:paraId="2A993CD5" w14:textId="30A98982" w:rsidR="00241CE1" w:rsidRPr="006E5758" w:rsidRDefault="00733DA3" w:rsidP="001640FB">
      <w:pPr>
        <w:ind w:firstLine="708"/>
        <w:rPr>
          <w:rFonts w:cs="Open Sans"/>
          <w:b/>
          <w:sz w:val="22"/>
          <w:szCs w:val="22"/>
        </w:rPr>
      </w:pPr>
      <w:r w:rsidRPr="006E5758">
        <w:rPr>
          <w:rFonts w:cs="Open Sans"/>
          <w:b/>
          <w:sz w:val="22"/>
          <w:szCs w:val="22"/>
        </w:rPr>
        <w:t xml:space="preserve">1.4.1 </w:t>
      </w:r>
      <w:r w:rsidR="00144829">
        <w:rPr>
          <w:rFonts w:cs="Open Sans"/>
          <w:b/>
          <w:sz w:val="22"/>
          <w:szCs w:val="22"/>
        </w:rPr>
        <w:t xml:space="preserve">Variantes obligatoires </w:t>
      </w:r>
    </w:p>
    <w:p w14:paraId="53BF82FB" w14:textId="77777777" w:rsidR="00241CE1" w:rsidRPr="006E5758" w:rsidRDefault="00241CE1" w:rsidP="00241CE1">
      <w:pPr>
        <w:pStyle w:val="Corpsdetexte"/>
        <w:rPr>
          <w:rFonts w:ascii="Open Sans" w:hAnsi="Open Sans" w:cs="Open Sans"/>
          <w:b/>
          <w:bCs/>
          <w:sz w:val="22"/>
          <w:szCs w:val="22"/>
        </w:rPr>
      </w:pPr>
    </w:p>
    <w:p w14:paraId="1DF9529E" w14:textId="23ADA338" w:rsidR="00241CE1" w:rsidRPr="006E5758" w:rsidRDefault="00144829" w:rsidP="00144829">
      <w:pPr>
        <w:rPr>
          <w:i/>
        </w:rPr>
      </w:pPr>
      <w:r w:rsidRPr="00144829">
        <w:t>L'acheteur n'exige pas la présentation de variantes obligatoires.</w:t>
      </w:r>
    </w:p>
    <w:p w14:paraId="00E34B3F" w14:textId="77777777" w:rsidR="00241CE1" w:rsidRPr="006E5758" w:rsidRDefault="00241CE1" w:rsidP="00241CE1">
      <w:pPr>
        <w:pStyle w:val="Corpsdetexte"/>
        <w:rPr>
          <w:rFonts w:ascii="Open Sans" w:hAnsi="Open Sans" w:cs="Open Sans"/>
          <w:b/>
          <w:bCs/>
          <w:sz w:val="22"/>
          <w:szCs w:val="22"/>
        </w:rPr>
      </w:pPr>
    </w:p>
    <w:p w14:paraId="2ACA6D2E" w14:textId="177295F6" w:rsidR="00241CE1" w:rsidRPr="006E5758" w:rsidRDefault="00733DA3" w:rsidP="001640FB">
      <w:pPr>
        <w:ind w:firstLine="708"/>
        <w:rPr>
          <w:rFonts w:cs="Open Sans"/>
          <w:b/>
          <w:sz w:val="22"/>
          <w:szCs w:val="22"/>
        </w:rPr>
      </w:pPr>
      <w:r w:rsidRPr="006E5758">
        <w:rPr>
          <w:rFonts w:cs="Open Sans"/>
          <w:b/>
          <w:sz w:val="22"/>
          <w:szCs w:val="22"/>
        </w:rPr>
        <w:t xml:space="preserve">1.4.2 </w:t>
      </w:r>
      <w:r w:rsidR="00144829">
        <w:rPr>
          <w:rFonts w:cs="Open Sans"/>
          <w:b/>
          <w:sz w:val="22"/>
          <w:szCs w:val="22"/>
        </w:rPr>
        <w:t xml:space="preserve">Variantes à l’initiative des soumissionnaires </w:t>
      </w:r>
    </w:p>
    <w:p w14:paraId="32CB4785" w14:textId="77777777" w:rsidR="00241CE1" w:rsidRPr="006E5758" w:rsidRDefault="00241CE1" w:rsidP="00241CE1">
      <w:pPr>
        <w:widowControl w:val="0"/>
        <w:autoSpaceDE w:val="0"/>
        <w:autoSpaceDN w:val="0"/>
        <w:adjustRightInd w:val="0"/>
        <w:rPr>
          <w:rFonts w:cs="Open Sans"/>
          <w:i/>
          <w:iCs/>
          <w:szCs w:val="20"/>
        </w:rPr>
      </w:pPr>
    </w:p>
    <w:p w14:paraId="413257E2" w14:textId="1EF39739" w:rsidR="000B3176" w:rsidRPr="00ED56C4" w:rsidRDefault="00144829" w:rsidP="00ED56C4">
      <w:r w:rsidRPr="00144829">
        <w:t>Les soumissionnaires ne sont pas autorisés à présenter de variantes à leur initiative</w:t>
      </w:r>
      <w:r>
        <w:t>.</w:t>
      </w:r>
    </w:p>
    <w:p w14:paraId="43623F4F" w14:textId="77777777" w:rsidR="00EE2522" w:rsidRPr="006E5758" w:rsidRDefault="00EE2522" w:rsidP="00241CE1">
      <w:pPr>
        <w:widowControl w:val="0"/>
        <w:autoSpaceDE w:val="0"/>
        <w:autoSpaceDN w:val="0"/>
        <w:adjustRightInd w:val="0"/>
        <w:rPr>
          <w:rFonts w:cs="Open Sans"/>
          <w:sz w:val="18"/>
          <w:szCs w:val="18"/>
        </w:rPr>
      </w:pPr>
    </w:p>
    <w:p w14:paraId="2B239B1C" w14:textId="77777777" w:rsidR="000B3176" w:rsidRPr="006E5758" w:rsidRDefault="000B3176" w:rsidP="000B3176">
      <w:pPr>
        <w:pStyle w:val="Titre2"/>
        <w:rPr>
          <w:rFonts w:cs="Open Sans"/>
          <w:iCs/>
        </w:rPr>
      </w:pPr>
      <w:bookmarkStart w:id="3" w:name="_Toc45803551"/>
      <w:r w:rsidRPr="006E5758">
        <w:rPr>
          <w:rFonts w:cs="Open Sans"/>
        </w:rPr>
        <w:t>Clause sociale</w:t>
      </w:r>
      <w:bookmarkEnd w:id="3"/>
      <w:r w:rsidRPr="006E5758">
        <w:rPr>
          <w:rFonts w:cs="Open Sans"/>
          <w:iCs/>
        </w:rPr>
        <w:t> </w:t>
      </w:r>
    </w:p>
    <w:p w14:paraId="100239BF" w14:textId="77777777" w:rsidR="000B3176" w:rsidRPr="006E5758" w:rsidRDefault="000B3176" w:rsidP="000B3176">
      <w:pPr>
        <w:widowControl w:val="0"/>
        <w:autoSpaceDE w:val="0"/>
        <w:autoSpaceDN w:val="0"/>
        <w:adjustRightInd w:val="0"/>
        <w:rPr>
          <w:rFonts w:cs="Open Sans"/>
          <w:iCs/>
          <w:szCs w:val="20"/>
        </w:rPr>
      </w:pPr>
    </w:p>
    <w:p w14:paraId="509CF532" w14:textId="77777777" w:rsidR="00ED56C4" w:rsidRPr="00ED56C4" w:rsidRDefault="00ED56C4" w:rsidP="00ED56C4">
      <w:r w:rsidRPr="00ED56C4">
        <w:t>Pour promouvoir l’emploi et combattre l’exclusion, l’AP-HP souhaite mobiliser les entreprises dans une démarche d’insertion pour l’exécution du présent marché.</w:t>
      </w:r>
    </w:p>
    <w:p w14:paraId="30775ACD" w14:textId="77777777" w:rsidR="00ED56C4" w:rsidRPr="00ED56C4" w:rsidRDefault="00ED56C4" w:rsidP="00ED56C4"/>
    <w:p w14:paraId="490769CF" w14:textId="2D9FB735" w:rsidR="00DB51D6" w:rsidRDefault="00ED56C4" w:rsidP="00ED56C4">
      <w:r w:rsidRPr="00ED56C4">
        <w:t>En application de l’article L. 2112-2 du Code de la commande publique, l’entreprise candidate doit proposer une action d’insertion qui permette l’accès ou le retour à l’emploi de personnes rencontrant des difficultés sociales ou professionnelles particulières. En l’absence de signature de l’annexe à l’acte d’engagement relative à la clause sociale, l’offre sera déclarée irrégulière.</w:t>
      </w:r>
    </w:p>
    <w:p w14:paraId="634447D0" w14:textId="4D83F56A" w:rsidR="00ED56C4" w:rsidRDefault="00ED56C4" w:rsidP="00ED56C4"/>
    <w:p w14:paraId="5A6AD134" w14:textId="4F660DD7" w:rsidR="00ED56C4" w:rsidRDefault="00ED56C4" w:rsidP="00ED56C4">
      <w:pPr>
        <w:pStyle w:val="Titre1"/>
      </w:pPr>
      <w:r>
        <w:t xml:space="preserve">INFORMATION DES CANDIDATS </w:t>
      </w:r>
    </w:p>
    <w:p w14:paraId="3AE63C2F" w14:textId="192DC660" w:rsidR="00ED56C4" w:rsidRDefault="00ED56C4" w:rsidP="00ED56C4">
      <w:pPr>
        <w:rPr>
          <w:b/>
          <w:bCs/>
          <w:sz w:val="22"/>
          <w:szCs w:val="22"/>
        </w:rPr>
      </w:pPr>
    </w:p>
    <w:p w14:paraId="0C201F7A" w14:textId="2B63B173" w:rsidR="00ED56C4" w:rsidRDefault="00ED56C4" w:rsidP="00ED56C4">
      <w:pPr>
        <w:pStyle w:val="Titre2"/>
      </w:pPr>
      <w:r>
        <w:t xml:space="preserve">Contenu des documents de la consultation </w:t>
      </w:r>
    </w:p>
    <w:p w14:paraId="2D236597" w14:textId="41FD2C98" w:rsidR="00ED56C4" w:rsidRDefault="00ED56C4" w:rsidP="00ED56C4">
      <w:pPr>
        <w:rPr>
          <w:b/>
          <w:bCs/>
          <w:sz w:val="22"/>
          <w:szCs w:val="22"/>
        </w:rPr>
      </w:pPr>
    </w:p>
    <w:p w14:paraId="593EB2D6" w14:textId="77777777" w:rsidR="00ED56C4" w:rsidRDefault="00ED56C4" w:rsidP="00ED56C4">
      <w:r>
        <w:t>Les documents de la consultation mis à disposition sont les suivants :</w:t>
      </w:r>
    </w:p>
    <w:p w14:paraId="555F9EF2" w14:textId="77777777" w:rsidR="00ED56C4" w:rsidRDefault="00ED56C4" w:rsidP="00ED56C4"/>
    <w:p w14:paraId="0FF9B8DC" w14:textId="041F333C" w:rsidR="00ED56C4" w:rsidRDefault="00ED56C4" w:rsidP="009D155F">
      <w:pPr>
        <w:pStyle w:val="Paragraphedeliste"/>
        <w:numPr>
          <w:ilvl w:val="0"/>
          <w:numId w:val="3"/>
        </w:numPr>
      </w:pPr>
      <w:r>
        <w:t xml:space="preserve">L’acte d’engagement </w:t>
      </w:r>
    </w:p>
    <w:p w14:paraId="64BBA7AD" w14:textId="77777777" w:rsidR="00ED56C4" w:rsidRDefault="00ED56C4" w:rsidP="00ED56C4"/>
    <w:p w14:paraId="7A358977" w14:textId="53F3C039" w:rsidR="00ED56C4" w:rsidRDefault="00ED56C4" w:rsidP="009D155F">
      <w:pPr>
        <w:pStyle w:val="Paragraphedeliste"/>
        <w:numPr>
          <w:ilvl w:val="0"/>
          <w:numId w:val="3"/>
        </w:numPr>
      </w:pPr>
      <w:r>
        <w:t xml:space="preserve">Le présent règlement de la consultation (RC) </w:t>
      </w:r>
    </w:p>
    <w:p w14:paraId="24D00DA0" w14:textId="77777777" w:rsidR="00ED56C4" w:rsidRDefault="00ED56C4" w:rsidP="00ED56C4"/>
    <w:p w14:paraId="5CA767F3" w14:textId="77777777" w:rsidR="00ED56C4" w:rsidRDefault="00ED56C4" w:rsidP="009D155F">
      <w:pPr>
        <w:pStyle w:val="Paragraphedeliste"/>
        <w:numPr>
          <w:ilvl w:val="0"/>
          <w:numId w:val="4"/>
        </w:numPr>
      </w:pPr>
      <w:r>
        <w:t>Le cahier des clauses administratives particulières (CCAP) et son annexe :</w:t>
      </w:r>
    </w:p>
    <w:p w14:paraId="1D4BB14B" w14:textId="2D124A94" w:rsidR="00ED56C4" w:rsidRDefault="00ED56C4" w:rsidP="009D155F">
      <w:pPr>
        <w:pStyle w:val="Paragraphedeliste"/>
        <w:numPr>
          <w:ilvl w:val="0"/>
          <w:numId w:val="2"/>
        </w:numPr>
      </w:pPr>
      <w:r>
        <w:t xml:space="preserve">Annexe 1 : </w:t>
      </w:r>
      <w:r w:rsidRPr="00ED56C4">
        <w:t>Fiche de suivi d’insertion sociale</w:t>
      </w:r>
    </w:p>
    <w:p w14:paraId="7BDD3FD1" w14:textId="77777777" w:rsidR="00ED56C4" w:rsidRDefault="00ED56C4" w:rsidP="00ED56C4"/>
    <w:p w14:paraId="71E63041" w14:textId="3D5E18E2" w:rsidR="00ED56C4" w:rsidRDefault="00ED56C4" w:rsidP="009D155F">
      <w:pPr>
        <w:pStyle w:val="Paragraphedeliste"/>
        <w:numPr>
          <w:ilvl w:val="0"/>
          <w:numId w:val="6"/>
        </w:numPr>
      </w:pPr>
      <w:r>
        <w:t>Le cahier des clauses techniques particulières (CCTP) et ses 6 annexes :</w:t>
      </w:r>
    </w:p>
    <w:p w14:paraId="24E1BF33" w14:textId="3BBF4B63"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Annexe 1 : Présentation AP-HP : consulter le site http://www.aphp.fr</w:t>
      </w:r>
    </w:p>
    <w:p w14:paraId="0370C56C" w14:textId="34BBE0F1"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Annexe 2 : Politique Générale de Sécurité du Système d’Information (PGS SI)</w:t>
      </w:r>
    </w:p>
    <w:p w14:paraId="18527510" w14:textId="26B15E6F"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Annexe 3 : Cadre de Cohérence Technique de l’AP-HP 2017 (CCT)</w:t>
      </w:r>
    </w:p>
    <w:p w14:paraId="2E619C76" w14:textId="7D809CD7"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 xml:space="preserve">Annexe 4 : Description des activités et UO </w:t>
      </w:r>
    </w:p>
    <w:p w14:paraId="71BC36CD" w14:textId="4A0DE01D" w:rsidR="00ED56C4" w:rsidRPr="00ED56C4"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Annexe 5 : Charte sécurité (RGPD)</w:t>
      </w:r>
    </w:p>
    <w:p w14:paraId="3C730D8E" w14:textId="115B83B1" w:rsidR="00DB51D6" w:rsidRDefault="00ED56C4" w:rsidP="009D155F">
      <w:pPr>
        <w:pStyle w:val="Corpsdetexte"/>
        <w:numPr>
          <w:ilvl w:val="0"/>
          <w:numId w:val="5"/>
        </w:numPr>
        <w:rPr>
          <w:rFonts w:ascii="Open Sans" w:hAnsi="Open Sans" w:cs="Times New Roman"/>
          <w:i w:val="0"/>
          <w:iCs w:val="0"/>
          <w:szCs w:val="24"/>
        </w:rPr>
      </w:pPr>
      <w:r w:rsidRPr="00ED56C4">
        <w:rPr>
          <w:rFonts w:ascii="Open Sans" w:hAnsi="Open Sans" w:cs="Times New Roman"/>
          <w:i w:val="0"/>
          <w:iCs w:val="0"/>
          <w:szCs w:val="24"/>
        </w:rPr>
        <w:t xml:space="preserve">Annexe </w:t>
      </w:r>
      <w:r>
        <w:rPr>
          <w:rFonts w:ascii="Open Sans" w:hAnsi="Open Sans" w:cs="Times New Roman"/>
          <w:i w:val="0"/>
          <w:iCs w:val="0"/>
          <w:szCs w:val="24"/>
        </w:rPr>
        <w:t>6</w:t>
      </w:r>
      <w:r w:rsidRPr="00ED56C4">
        <w:rPr>
          <w:rFonts w:ascii="Open Sans" w:hAnsi="Open Sans" w:cs="Times New Roman"/>
          <w:i w:val="0"/>
          <w:iCs w:val="0"/>
          <w:szCs w:val="24"/>
        </w:rPr>
        <w:t xml:space="preserve"> : Organigramme DSN</w:t>
      </w:r>
    </w:p>
    <w:p w14:paraId="6195308D" w14:textId="554EBD32" w:rsidR="00ED56C4" w:rsidRDefault="00ED56C4" w:rsidP="00ED56C4">
      <w:pPr>
        <w:pStyle w:val="Corpsdetexte"/>
        <w:rPr>
          <w:rFonts w:ascii="Open Sans" w:hAnsi="Open Sans" w:cs="Times New Roman"/>
          <w:i w:val="0"/>
          <w:iCs w:val="0"/>
          <w:szCs w:val="24"/>
        </w:rPr>
      </w:pPr>
    </w:p>
    <w:p w14:paraId="5DBD3B50" w14:textId="784D74E4" w:rsidR="00ED56C4" w:rsidRDefault="00ED56C4" w:rsidP="009D155F">
      <w:pPr>
        <w:pStyle w:val="Paragraphedeliste"/>
        <w:numPr>
          <w:ilvl w:val="0"/>
          <w:numId w:val="3"/>
        </w:numPr>
      </w:pPr>
      <w:r>
        <w:t>Les Cadres de Réponse financier (CDRF) de chaque lot</w:t>
      </w:r>
    </w:p>
    <w:p w14:paraId="77F2EB61" w14:textId="6D40D11C" w:rsidR="00ED56C4" w:rsidRDefault="00ED56C4" w:rsidP="00ED56C4"/>
    <w:p w14:paraId="6AA31C73" w14:textId="22CF2AF8" w:rsidR="00ED56C4" w:rsidRDefault="00ED56C4" w:rsidP="009D155F">
      <w:pPr>
        <w:pStyle w:val="Paragraphedeliste"/>
        <w:numPr>
          <w:ilvl w:val="0"/>
          <w:numId w:val="3"/>
        </w:numPr>
      </w:pPr>
      <w:r>
        <w:t xml:space="preserve">Les Cadres de Réponse Technique (CDRT) de chaque lot </w:t>
      </w:r>
    </w:p>
    <w:p w14:paraId="04DC7A7C" w14:textId="77777777" w:rsidR="00ED56C4" w:rsidRDefault="00ED56C4" w:rsidP="00ED56C4">
      <w:pPr>
        <w:pStyle w:val="Paragraphedeliste"/>
      </w:pPr>
    </w:p>
    <w:p w14:paraId="36A4EEBD" w14:textId="26A50775" w:rsidR="00ED56C4" w:rsidRDefault="00ED56C4" w:rsidP="00ED56C4">
      <w:r w:rsidRPr="006F7C19">
        <w:t>Toute anomalie ou insuffisance quant aux conditions d’exécution indiquées, ainsi que toute erreur ou omission, imprécision et contradiction, relevée par le soumissionnaire dans les différents documents du cahier des charges, doivent être signalées en temps</w:t>
      </w:r>
      <w:r>
        <w:t xml:space="preserve"> utile pour permettre à l’AP-HP </w:t>
      </w:r>
      <w:r w:rsidRPr="006F7C19">
        <w:t xml:space="preserve">leur traitement et une publication des réponses au plus tard </w:t>
      </w:r>
      <w:r w:rsidR="00D15B52">
        <w:t>six</w:t>
      </w:r>
      <w:r>
        <w:t xml:space="preserve"> (</w:t>
      </w:r>
      <w:r w:rsidR="00D15B52">
        <w:t>6</w:t>
      </w:r>
      <w:r w:rsidRPr="006F7C19">
        <w:t>) jours calendaires avant la date de remise des offres, selon les modalités définies ci-après</w:t>
      </w:r>
      <w:r>
        <w:t xml:space="preserve">. </w:t>
      </w:r>
      <w:r w:rsidRPr="006F7C19">
        <w:t>À l’échéance de ce délai, le soumissionnaire est réputé avoir vérifié et accepté le dossier de consultation et ne pourra se prévaloir de telles erreurs lors de l’exécution du marché.</w:t>
      </w:r>
    </w:p>
    <w:p w14:paraId="70678BDE" w14:textId="2B473B8E" w:rsidR="00ED56C4" w:rsidRDefault="00ED56C4" w:rsidP="00ED56C4">
      <w:pPr>
        <w:suppressAutoHyphens/>
        <w:autoSpaceDN w:val="0"/>
        <w:textAlignment w:val="center"/>
        <w:rPr>
          <w:rFonts w:ascii="Arial" w:hAnsi="Arial" w:cs="Arial"/>
          <w:bCs/>
          <w:color w:val="000000"/>
          <w:szCs w:val="20"/>
        </w:rPr>
      </w:pPr>
    </w:p>
    <w:p w14:paraId="18CC71FC" w14:textId="77777777" w:rsidR="00ED56C4" w:rsidRPr="0006734D" w:rsidRDefault="00ED56C4" w:rsidP="00ED56C4">
      <w:pPr>
        <w:pStyle w:val="Titre2"/>
        <w:rPr>
          <w:rFonts w:ascii="Arial" w:hAnsi="Arial"/>
          <w:color w:val="000000"/>
          <w:sz w:val="20"/>
        </w:rPr>
      </w:pPr>
      <w:bookmarkStart w:id="4" w:name="_Toc159251321"/>
      <w:r w:rsidRPr="009F58E8">
        <w:t>Modalités de retrait et de consultation des documents</w:t>
      </w:r>
      <w:bookmarkEnd w:id="4"/>
    </w:p>
    <w:p w14:paraId="763DA118" w14:textId="77777777" w:rsidR="00ED56C4" w:rsidRPr="009F58E8" w:rsidRDefault="00ED56C4" w:rsidP="00ED56C4">
      <w:pPr>
        <w:widowControl w:val="0"/>
        <w:autoSpaceDE w:val="0"/>
        <w:autoSpaceDN w:val="0"/>
        <w:adjustRightInd w:val="0"/>
        <w:rPr>
          <w:rFonts w:ascii="Arial" w:hAnsi="Arial" w:cs="Arial"/>
          <w:i/>
          <w:iCs/>
          <w:szCs w:val="22"/>
        </w:rPr>
      </w:pPr>
    </w:p>
    <w:p w14:paraId="3559F9AD" w14:textId="37D5810C" w:rsidR="00ED56C4" w:rsidRDefault="00ED56C4" w:rsidP="00ED56C4">
      <w:pPr>
        <w:rPr>
          <w:b/>
        </w:rPr>
      </w:pPr>
      <w:r w:rsidRPr="009F58E8">
        <w:t xml:space="preserve">Les documents de la consultation sont accessibles uniquement par voie électronique, sur la plate-forme des achats de l'Etat (PLACE) : </w:t>
      </w:r>
      <w:hyperlink r:id="rId9" w:history="1">
        <w:r w:rsidRPr="009F58E8">
          <w:rPr>
            <w:b/>
          </w:rPr>
          <w:t>www.marches-publics.gouv.fr</w:t>
        </w:r>
      </w:hyperlink>
      <w:r>
        <w:rPr>
          <w:b/>
        </w:rPr>
        <w:t xml:space="preserve"> </w:t>
      </w:r>
    </w:p>
    <w:p w14:paraId="14C48839" w14:textId="52AAA489" w:rsidR="00D15B52" w:rsidRDefault="00D15B52" w:rsidP="00ED56C4">
      <w:pPr>
        <w:rPr>
          <w:b/>
        </w:rPr>
      </w:pPr>
    </w:p>
    <w:p w14:paraId="7776ED97" w14:textId="29854E22" w:rsidR="00D15B52" w:rsidRPr="00D15B52" w:rsidRDefault="00D15B52" w:rsidP="00ED56C4">
      <w:r>
        <w:t>Lors du téléchargement du dossier de consultation des entreprises (DCE), le candidat est invité à faire part de son nom, d'une adresse, ainsi que du nom d'un correspondant afin qu'il puisse bénéficier de toutes les informations complémentaires diffusées lors du déroulement de la consultation.</w:t>
      </w:r>
    </w:p>
    <w:p w14:paraId="57CC2150" w14:textId="77777777" w:rsidR="00ED56C4" w:rsidRPr="009F58E8" w:rsidRDefault="00ED56C4" w:rsidP="00ED56C4">
      <w:pPr>
        <w:rPr>
          <w:i/>
          <w:iCs/>
        </w:rPr>
      </w:pPr>
    </w:p>
    <w:p w14:paraId="4D26CE22" w14:textId="77777777" w:rsidR="00ED56C4" w:rsidRPr="002C12DD" w:rsidRDefault="00ED56C4" w:rsidP="00ED56C4">
      <w:pPr>
        <w:pStyle w:val="Titre2"/>
      </w:pPr>
      <w:bookmarkStart w:id="5" w:name="_Toc157007522"/>
      <w:bookmarkStart w:id="6" w:name="_Toc159251322"/>
      <w:r w:rsidRPr="002C12DD">
        <w:t>Conditions de transmission des candidatures et des offres</w:t>
      </w:r>
      <w:bookmarkEnd w:id="5"/>
      <w:bookmarkEnd w:id="6"/>
    </w:p>
    <w:p w14:paraId="64BEC08C" w14:textId="77777777" w:rsidR="00ED56C4" w:rsidRPr="009F58E8" w:rsidRDefault="00ED56C4" w:rsidP="00ED56C4">
      <w:pPr>
        <w:rPr>
          <w:i/>
          <w:iCs/>
        </w:rPr>
      </w:pPr>
    </w:p>
    <w:p w14:paraId="04ED9EAB" w14:textId="77777777" w:rsidR="00ED56C4" w:rsidRPr="009F58E8" w:rsidRDefault="00ED56C4" w:rsidP="00ED56C4">
      <w:pPr>
        <w:rPr>
          <w:rFonts w:eastAsia="Arial Unicode MS"/>
          <w:bCs/>
          <w:strike/>
        </w:rPr>
      </w:pPr>
      <w:r w:rsidRPr="009F58E8">
        <w:rPr>
          <w:rFonts w:eastAsia="Arial Unicode MS"/>
          <w:bCs/>
        </w:rPr>
        <w:t>La remise des plis par voie dématérialisée est obligatoire conformément à l’article R. 2132-7 du Code de la commande publique.</w:t>
      </w:r>
    </w:p>
    <w:p w14:paraId="2AECB780" w14:textId="77777777" w:rsidR="00ED56C4" w:rsidRPr="009F58E8" w:rsidRDefault="00ED56C4" w:rsidP="00ED56C4">
      <w:pPr>
        <w:rPr>
          <w:rFonts w:eastAsia="Arial Unicode MS"/>
          <w:bCs/>
          <w:color w:val="1F497D"/>
        </w:rPr>
      </w:pPr>
    </w:p>
    <w:p w14:paraId="564877E0" w14:textId="77777777" w:rsidR="00ED56C4" w:rsidRPr="009F58E8" w:rsidRDefault="00ED56C4" w:rsidP="00ED56C4">
      <w:pPr>
        <w:rPr>
          <w:bCs/>
          <w:color w:val="000000"/>
        </w:rPr>
      </w:pPr>
      <w:r w:rsidRPr="009F58E8">
        <w:rPr>
          <w:bCs/>
          <w:color w:val="000000"/>
        </w:rPr>
        <w:t xml:space="preserve">Les offres sont transmises en une seule fois. Si plusieurs offres sont successivement transmises par un même </w:t>
      </w:r>
      <w:r w:rsidRPr="009F58E8">
        <w:rPr>
          <w:bCs/>
        </w:rPr>
        <w:t xml:space="preserve">candidat et pour un même lot, seule est ouverte la dernière offre reçue, par le pouvoir adjudicateur dans le délai </w:t>
      </w:r>
      <w:r w:rsidRPr="009F58E8">
        <w:rPr>
          <w:bCs/>
          <w:color w:val="000000"/>
        </w:rPr>
        <w:t>fixé pour la remise des candidatures et des offres.</w:t>
      </w:r>
    </w:p>
    <w:p w14:paraId="352BA611" w14:textId="77777777" w:rsidR="00ED56C4" w:rsidRPr="00EA46F1" w:rsidRDefault="00ED56C4" w:rsidP="00ED56C4">
      <w:r w:rsidRPr="009F58E8">
        <w:t xml:space="preserve">La transmission des documents sur support papier ou sur support physique électronique entrainera l’irrégularité de l’offre du candidat (hors dépôt de la copie de sauvegarde). </w:t>
      </w:r>
    </w:p>
    <w:p w14:paraId="668E9DE9" w14:textId="77777777" w:rsidR="00ED56C4" w:rsidRPr="009F58E8" w:rsidRDefault="00ED56C4" w:rsidP="00ED56C4">
      <w:r w:rsidRPr="009F58E8">
        <w:t>En application de l’article R. 2132-7 du Code de la commande publique, les candidats doivent répondre via le site dont l'adresse Internet est https://www.marches-publics.gouv.fr/</w:t>
      </w:r>
    </w:p>
    <w:p w14:paraId="084CD548" w14:textId="77777777" w:rsidR="00ED56C4" w:rsidRPr="009F58E8" w:rsidRDefault="00ED56C4" w:rsidP="00ED56C4">
      <w:pPr>
        <w:widowControl w:val="0"/>
        <w:autoSpaceDE w:val="0"/>
        <w:autoSpaceDN w:val="0"/>
        <w:adjustRightInd w:val="0"/>
        <w:rPr>
          <w:rFonts w:ascii="Arial" w:hAnsi="Arial" w:cs="Arial"/>
          <w:b/>
          <w:bCs/>
          <w:szCs w:val="20"/>
        </w:rPr>
      </w:pPr>
    </w:p>
    <w:p w14:paraId="069ED246" w14:textId="77777777" w:rsidR="00ED56C4" w:rsidRPr="009F58E8" w:rsidRDefault="00ED56C4" w:rsidP="00ED56C4">
      <w:pPr>
        <w:widowControl w:val="0"/>
        <w:tabs>
          <w:tab w:val="left" w:pos="288"/>
          <w:tab w:val="left" w:pos="720"/>
          <w:tab w:val="left" w:pos="9072"/>
        </w:tabs>
        <w:autoSpaceDE w:val="0"/>
        <w:autoSpaceDN w:val="0"/>
        <w:adjustRightInd w:val="0"/>
        <w:jc w:val="center"/>
        <w:rPr>
          <w:rFonts w:ascii="Arial" w:hAnsi="Arial" w:cs="Arial"/>
          <w:b/>
          <w:szCs w:val="20"/>
        </w:rPr>
      </w:pPr>
      <w:r w:rsidRPr="009F58E8">
        <w:rPr>
          <w:rFonts w:ascii="Arial" w:hAnsi="Arial" w:cs="Arial"/>
          <w:b/>
          <w:szCs w:val="20"/>
        </w:rPr>
        <w:t xml:space="preserve">Les plis électroniques devront impérativement être déposés </w:t>
      </w:r>
    </w:p>
    <w:p w14:paraId="15F573DD" w14:textId="77777777" w:rsidR="00ED56C4" w:rsidRPr="009F58E8" w:rsidRDefault="00ED56C4" w:rsidP="00ED56C4">
      <w:pPr>
        <w:widowControl w:val="0"/>
        <w:tabs>
          <w:tab w:val="left" w:pos="288"/>
          <w:tab w:val="left" w:pos="720"/>
          <w:tab w:val="left" w:pos="9072"/>
        </w:tabs>
        <w:autoSpaceDE w:val="0"/>
        <w:autoSpaceDN w:val="0"/>
        <w:adjustRightInd w:val="0"/>
        <w:jc w:val="center"/>
        <w:rPr>
          <w:rFonts w:ascii="Arial" w:hAnsi="Arial" w:cs="Arial"/>
          <w:b/>
          <w:i/>
          <w:szCs w:val="20"/>
          <w:u w:val="single"/>
        </w:rPr>
      </w:pPr>
      <w:r w:rsidRPr="009F58E8">
        <w:rPr>
          <w:rFonts w:ascii="Arial" w:hAnsi="Arial" w:cs="Arial"/>
          <w:b/>
          <w:szCs w:val="20"/>
        </w:rPr>
        <w:t>sur le site</w:t>
      </w:r>
      <w:r w:rsidRPr="009F58E8">
        <w:rPr>
          <w:rFonts w:ascii="Arial" w:hAnsi="Arial" w:cs="Arial"/>
          <w:b/>
          <w:i/>
          <w:color w:val="FF0000"/>
          <w:szCs w:val="20"/>
          <w:u w:val="single"/>
        </w:rPr>
        <w:t xml:space="preserve"> </w:t>
      </w:r>
      <w:r w:rsidRPr="009F58E8">
        <w:rPr>
          <w:rFonts w:ascii="Arial" w:hAnsi="Arial" w:cs="Arial"/>
          <w:b/>
          <w:i/>
          <w:szCs w:val="20"/>
          <w:u w:val="single"/>
        </w:rPr>
        <w:t>https://www.marches-publics.gouv.fr/</w:t>
      </w:r>
    </w:p>
    <w:p w14:paraId="046AB41D" w14:textId="77777777" w:rsidR="00ED56C4" w:rsidRPr="009F58E8" w:rsidRDefault="00ED56C4" w:rsidP="00ED56C4">
      <w:pPr>
        <w:widowControl w:val="0"/>
        <w:autoSpaceDE w:val="0"/>
        <w:autoSpaceDN w:val="0"/>
        <w:adjustRightInd w:val="0"/>
        <w:rPr>
          <w:rFonts w:ascii="Arial" w:eastAsia="Arial Unicode MS" w:hAnsi="Arial" w:cs="Arial"/>
          <w:szCs w:val="20"/>
        </w:rPr>
      </w:pPr>
    </w:p>
    <w:p w14:paraId="0C8C7350" w14:textId="77777777" w:rsidR="00ED56C4" w:rsidRPr="008E56BB" w:rsidRDefault="00ED56C4" w:rsidP="00ED56C4">
      <w:r w:rsidRPr="008E56BB">
        <w:t xml:space="preserve">Pour répondre sous forme dématérialisée, le candidat doit être inscrit sur le site </w:t>
      </w:r>
      <w:hyperlink r:id="rId10" w:history="1">
        <w:r w:rsidRPr="008E56BB">
          <w:t>https://www.marches-publics.gouv.fr</w:t>
        </w:r>
      </w:hyperlink>
      <w:r w:rsidRPr="008E56BB">
        <w:t>/ et la personne habilitée à engager le candidat doit être titulaire d’un certificat électronique afin de signer les fichiers composant sa réponse.</w:t>
      </w:r>
    </w:p>
    <w:p w14:paraId="03306F13" w14:textId="77777777" w:rsidR="00ED56C4" w:rsidRPr="008E56BB" w:rsidRDefault="00ED56C4" w:rsidP="00ED56C4">
      <w:r w:rsidRPr="008E56BB">
        <w:lastRenderedPageBreak/>
        <w:t xml:space="preserve">Les documents constitutifs de l’offre (acte d’engagement, annexes financières et cadre de réponse technique) devront être signés à l’aide d’un certificat de signature électronique valide. </w:t>
      </w:r>
    </w:p>
    <w:p w14:paraId="7421E96A" w14:textId="77777777" w:rsidR="00ED56C4" w:rsidRPr="008E56BB" w:rsidRDefault="00ED56C4" w:rsidP="00ED56C4"/>
    <w:p w14:paraId="54048C95" w14:textId="77777777" w:rsidR="00ED56C4" w:rsidRPr="008E56BB" w:rsidRDefault="00ED56C4" w:rsidP="00ED56C4">
      <w:r w:rsidRPr="008E56BB">
        <w:t>L’absence ou l’invalidité de la signature électronique n’entraînera pas l’élimination du candidat mais celui-ci sera invité en cas d’attribution à signer sous forme matérialisée les principaux documents constitutifs de son offre soit l’acte d’engagement et les annexes financières.</w:t>
      </w:r>
    </w:p>
    <w:p w14:paraId="4D921176" w14:textId="77777777" w:rsidR="00ED56C4" w:rsidRPr="009F58E8" w:rsidRDefault="00ED56C4" w:rsidP="00ED56C4">
      <w:pPr>
        <w:widowControl w:val="0"/>
        <w:tabs>
          <w:tab w:val="left" w:pos="288"/>
          <w:tab w:val="left" w:pos="576"/>
          <w:tab w:val="left" w:pos="720"/>
          <w:tab w:val="left" w:pos="8928"/>
          <w:tab w:val="left" w:pos="9072"/>
        </w:tabs>
        <w:autoSpaceDE w:val="0"/>
        <w:autoSpaceDN w:val="0"/>
        <w:adjustRightInd w:val="0"/>
        <w:rPr>
          <w:rFonts w:ascii="Arial" w:hAnsi="Arial" w:cs="Arial"/>
          <w:szCs w:val="20"/>
        </w:rPr>
      </w:pPr>
    </w:p>
    <w:p w14:paraId="77B4B3D4" w14:textId="77777777" w:rsidR="00ED56C4" w:rsidRPr="009F58E8" w:rsidRDefault="00ED56C4" w:rsidP="00ED56C4">
      <w:r w:rsidRPr="009F58E8">
        <w:t>Attention, la signature numérisée (numérisation d’un document papier avec signature manuscrite) n’a pas la valeur d’une signature électronique.</w:t>
      </w:r>
    </w:p>
    <w:p w14:paraId="6A63D5A8" w14:textId="77777777" w:rsidR="00ED56C4" w:rsidRPr="009F58E8" w:rsidRDefault="00ED56C4" w:rsidP="00ED56C4">
      <w:pPr>
        <w:widowControl w:val="0"/>
        <w:tabs>
          <w:tab w:val="left" w:pos="288"/>
          <w:tab w:val="left" w:pos="576"/>
          <w:tab w:val="left" w:pos="720"/>
          <w:tab w:val="left" w:pos="8928"/>
          <w:tab w:val="left" w:pos="9072"/>
        </w:tabs>
        <w:autoSpaceDE w:val="0"/>
        <w:autoSpaceDN w:val="0"/>
        <w:adjustRightInd w:val="0"/>
        <w:rPr>
          <w:rFonts w:ascii="Arial" w:hAnsi="Arial" w:cs="Arial"/>
          <w:szCs w:val="20"/>
        </w:rPr>
      </w:pPr>
    </w:p>
    <w:p w14:paraId="130881CC" w14:textId="77777777" w:rsidR="00ED56C4" w:rsidRPr="009F58E8" w:rsidRDefault="00ED56C4" w:rsidP="00ED56C4">
      <w:pPr>
        <w:rPr>
          <w:rFonts w:eastAsia="Arial Unicode MS"/>
        </w:rPr>
      </w:pPr>
      <w:r w:rsidRPr="009F58E8">
        <w:rPr>
          <w:rFonts w:eastAsia="Arial Unicode MS"/>
        </w:rPr>
        <w:t xml:space="preserve">Le certificat de signature électronique utilisé doit être conforme aux exigences de l’arrêté du 22 mars 2019 (certificat qualifié et conforme au règlement « </w:t>
      </w:r>
      <w:proofErr w:type="spellStart"/>
      <w:r w:rsidRPr="009F58E8">
        <w:rPr>
          <w:rFonts w:eastAsia="Arial Unicode MS"/>
        </w:rPr>
        <w:t>eIDAS</w:t>
      </w:r>
      <w:proofErr w:type="spellEnd"/>
      <w:r w:rsidRPr="009F58E8">
        <w:rPr>
          <w:rFonts w:eastAsia="Arial Unicode MS"/>
        </w:rPr>
        <w:t xml:space="preserve"> ») ; les formats de signature acceptés sont </w:t>
      </w:r>
      <w:proofErr w:type="spellStart"/>
      <w:r w:rsidRPr="009F58E8">
        <w:rPr>
          <w:rFonts w:eastAsia="Arial Unicode MS"/>
        </w:rPr>
        <w:t>XAdES</w:t>
      </w:r>
      <w:proofErr w:type="spellEnd"/>
      <w:r w:rsidRPr="009F58E8">
        <w:rPr>
          <w:rFonts w:eastAsia="Arial Unicode MS"/>
        </w:rPr>
        <w:t xml:space="preserve">, </w:t>
      </w:r>
      <w:proofErr w:type="spellStart"/>
      <w:r w:rsidRPr="009F58E8">
        <w:rPr>
          <w:rFonts w:eastAsia="Arial Unicode MS"/>
        </w:rPr>
        <w:t>CAdES</w:t>
      </w:r>
      <w:proofErr w:type="spellEnd"/>
      <w:r w:rsidRPr="009F58E8">
        <w:rPr>
          <w:rFonts w:eastAsia="Arial Unicode MS"/>
        </w:rPr>
        <w:t xml:space="preserve"> ou </w:t>
      </w:r>
      <w:proofErr w:type="spellStart"/>
      <w:r w:rsidRPr="009F58E8">
        <w:rPr>
          <w:rFonts w:eastAsia="Arial Unicode MS"/>
        </w:rPr>
        <w:t>PAdES</w:t>
      </w:r>
      <w:proofErr w:type="spellEnd"/>
      <w:r w:rsidRPr="009F58E8">
        <w:rPr>
          <w:rFonts w:eastAsia="Arial Unicode MS"/>
        </w:rPr>
        <w:t xml:space="preserve">. </w:t>
      </w:r>
    </w:p>
    <w:p w14:paraId="48683AF0" w14:textId="77777777" w:rsidR="00ED56C4" w:rsidRPr="009F58E8" w:rsidRDefault="00ED56C4" w:rsidP="00ED56C4">
      <w:pPr>
        <w:rPr>
          <w:rFonts w:eastAsia="Arial Unicode MS"/>
        </w:rPr>
      </w:pPr>
    </w:p>
    <w:p w14:paraId="61A9DC22" w14:textId="77777777" w:rsidR="00ED56C4" w:rsidRPr="009F58E8" w:rsidRDefault="00ED56C4" w:rsidP="00ED56C4">
      <w:pPr>
        <w:rPr>
          <w:rFonts w:eastAsia="Arial Unicode MS"/>
        </w:rPr>
      </w:pPr>
      <w:r w:rsidRPr="009F58E8">
        <w:rPr>
          <w:rFonts w:eastAsia="Arial Unicode MS"/>
        </w:rPr>
        <w:t>Dans le cas où le certificat de signature électronique utilisé n’émane pas de la liste de confiance française ou d’une liste d’un autre Etat-membre, le candidat doit fournir l’ensemble des éléments nécessaires afin de prouver que le certificat de signature utilisé est bien conforme aux exigences de l’arrêté du 22 mars 2019.</w:t>
      </w:r>
    </w:p>
    <w:p w14:paraId="4C6EE11D" w14:textId="77777777" w:rsidR="00ED56C4" w:rsidRPr="009F58E8" w:rsidRDefault="00ED56C4" w:rsidP="00ED56C4">
      <w:pPr>
        <w:rPr>
          <w:rFonts w:eastAsia="Arial Unicode MS"/>
        </w:rPr>
      </w:pPr>
    </w:p>
    <w:p w14:paraId="54BEEA6E" w14:textId="77777777" w:rsidR="00ED56C4" w:rsidRPr="009F58E8" w:rsidRDefault="00ED56C4" w:rsidP="00ED56C4">
      <w:pPr>
        <w:rPr>
          <w:rFonts w:eastAsia="Arial Unicode MS"/>
        </w:rPr>
      </w:pPr>
      <w:r w:rsidRPr="009F58E8">
        <w:rPr>
          <w:rFonts w:eastAsia="Arial Unicode MS"/>
        </w:rPr>
        <w:t xml:space="preserve">Les candidats doivent prévoir </w:t>
      </w:r>
      <w:r w:rsidRPr="009F58E8">
        <w:rPr>
          <w:rFonts w:eastAsia="Arial Unicode MS"/>
          <w:bCs/>
        </w:rPr>
        <w:t>un délai d’obtention</w:t>
      </w:r>
      <w:r w:rsidRPr="009F58E8">
        <w:rPr>
          <w:rFonts w:eastAsia="Arial Unicode MS"/>
        </w:rPr>
        <w:t xml:space="preserve"> pouvant aller jusqu'à plusieurs semaines selon les fournisseurs. La possession d’un certificat électronique n’est pas requise au stade du retrait du dossier de consultation (DCE) via la plate-forme</w:t>
      </w:r>
    </w:p>
    <w:p w14:paraId="3B345015" w14:textId="77777777" w:rsidR="00ED56C4" w:rsidRPr="009F58E8" w:rsidRDefault="00ED56C4" w:rsidP="00ED56C4"/>
    <w:p w14:paraId="60F11277" w14:textId="77777777" w:rsidR="00ED56C4" w:rsidRPr="009F58E8" w:rsidRDefault="00ED56C4" w:rsidP="00ED56C4">
      <w:pPr>
        <w:rPr>
          <w:rFonts w:eastAsia="Arial Unicode MS"/>
        </w:rPr>
      </w:pPr>
      <w:r w:rsidRPr="009F58E8">
        <w:rPr>
          <w:rFonts w:eastAsia="Arial Unicode MS"/>
        </w:rPr>
        <w:t>Pour que le candidat puisse procéder à un dépôt de plis électronique et à la signature électronique de ses documents, il doit disposer d’un micro-ordinateur qui respecte les prérequis de la plate-forme de dématérialisation :</w:t>
      </w:r>
    </w:p>
    <w:p w14:paraId="1B5E3B18" w14:textId="77777777" w:rsidR="00ED56C4" w:rsidRPr="009F58E8" w:rsidRDefault="00ED56C4" w:rsidP="00ED56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Arial" w:eastAsia="Arial Unicode MS" w:hAnsi="Arial" w:cs="Arial"/>
          <w:szCs w:val="20"/>
        </w:rPr>
      </w:pPr>
    </w:p>
    <w:p w14:paraId="090DD5B9" w14:textId="77777777" w:rsidR="00ED56C4" w:rsidRPr="009F58E8" w:rsidRDefault="00307568" w:rsidP="00ED56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Arial" w:eastAsia="Arial Unicode MS" w:hAnsi="Arial" w:cs="Arial"/>
          <w:szCs w:val="20"/>
        </w:rPr>
      </w:pPr>
      <w:hyperlink r:id="rId11" w:anchor="rubrique_2)" w:history="1">
        <w:r w:rsidR="00ED56C4" w:rsidRPr="009F58E8">
          <w:rPr>
            <w:rFonts w:ascii="Arial" w:eastAsia="Arial Unicode MS" w:hAnsi="Arial" w:cs="Arial"/>
            <w:color w:val="0000FF"/>
            <w:szCs w:val="20"/>
            <w:u w:val="single"/>
          </w:rPr>
          <w:t>https://www.marches-publics.gouv.fr/?page=commun.PrerequisTechniques&amp;calledFrom=entreprise#rubrique_2)</w:t>
        </w:r>
      </w:hyperlink>
    </w:p>
    <w:p w14:paraId="72CCD10D" w14:textId="77777777" w:rsidR="00ED56C4" w:rsidRPr="009F58E8" w:rsidRDefault="00ED56C4" w:rsidP="00ED56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rFonts w:ascii="Arial" w:eastAsia="Arial Unicode MS" w:hAnsi="Arial" w:cs="Arial"/>
          <w:szCs w:val="20"/>
        </w:rPr>
      </w:pPr>
    </w:p>
    <w:p w14:paraId="367CDE6D" w14:textId="77777777" w:rsidR="00ED56C4" w:rsidRPr="009F58E8" w:rsidRDefault="00ED56C4" w:rsidP="00ED56C4">
      <w:r w:rsidRPr="009F58E8">
        <w:rPr>
          <w:rFonts w:eastAsia="Arial Unicode MS"/>
        </w:rPr>
        <w:t>Afin d’acquérir ces instruments, les candidats peuvent se référer à l’aide technique en ligne disponible dans la rubrique « Aide » sur le site</w:t>
      </w:r>
      <w:r w:rsidRPr="009F58E8">
        <w:t> :</w:t>
      </w:r>
    </w:p>
    <w:p w14:paraId="6F6DDB6E" w14:textId="77777777" w:rsidR="00ED56C4" w:rsidRPr="009F58E8" w:rsidRDefault="00ED56C4" w:rsidP="00ED56C4"/>
    <w:p w14:paraId="6487F103" w14:textId="77777777" w:rsidR="00ED56C4" w:rsidRPr="009F58E8" w:rsidRDefault="00307568" w:rsidP="00ED56C4">
      <w:hyperlink r:id="rId12" w:history="1">
        <w:r w:rsidR="00ED56C4" w:rsidRPr="009F58E8">
          <w:rPr>
            <w:color w:val="0000FF"/>
            <w:u w:val="single"/>
          </w:rPr>
          <w:t>https://www.marches-publics.gouv.fr/?page=entreprise.AccueilEntreprise</w:t>
        </w:r>
      </w:hyperlink>
    </w:p>
    <w:p w14:paraId="4E35E937" w14:textId="77777777" w:rsidR="00ED56C4" w:rsidRPr="009F58E8" w:rsidRDefault="00ED56C4" w:rsidP="00ED56C4"/>
    <w:p w14:paraId="0540B6C1" w14:textId="77777777" w:rsidR="00ED56C4" w:rsidRPr="009F58E8" w:rsidRDefault="00ED56C4" w:rsidP="00ED56C4">
      <w:r w:rsidRPr="009F58E8">
        <w:t>A l’exception des documents nécessitant d’être co-signés, l’opération d’horodatage et de signature électronique des documents est effectuée sur la plate-forme de dématérialisation lors du dépôt des candidatures. Dans le cas d’un groupement de candidats, l’ensemble des membres du groupement doivent signer en utilisant à tour de rôle l’outil de signature disponible sur la plate-forme de dématérialisation.</w:t>
      </w:r>
    </w:p>
    <w:p w14:paraId="1EAFC070" w14:textId="77777777" w:rsidR="00ED56C4" w:rsidRPr="009F58E8" w:rsidRDefault="00ED56C4" w:rsidP="00ED56C4"/>
    <w:p w14:paraId="5776569D" w14:textId="77777777" w:rsidR="00ED56C4" w:rsidRPr="009F58E8" w:rsidRDefault="00ED56C4" w:rsidP="00ED56C4">
      <w:r w:rsidRPr="009F58E8">
        <w:t>Lors de son dépôt, le candidat doit signer individuellement les formulaires constitutifs de sa candidature et de son offre au moyen de son certificat de signature électronique.</w:t>
      </w:r>
    </w:p>
    <w:p w14:paraId="71E59B46" w14:textId="77777777" w:rsidR="00ED56C4" w:rsidRPr="009F58E8" w:rsidRDefault="00ED56C4" w:rsidP="00ED56C4"/>
    <w:p w14:paraId="1082CF42" w14:textId="77777777" w:rsidR="00ED56C4" w:rsidRPr="009F58E8" w:rsidRDefault="00ED56C4" w:rsidP="00ED56C4">
      <w:r w:rsidRPr="009F58E8">
        <w:t>En effet, la signature électronique d’un fichier zip (dossier électronique qui contient plusieurs autres documents électroniques) ne suffit pas. La seule signature d’un fichier zip contenant l’ensemble des documents ne peut être assimilée à la signature électronique de chacun de ces documents.</w:t>
      </w:r>
    </w:p>
    <w:p w14:paraId="0555D027" w14:textId="77777777" w:rsidR="00ED56C4" w:rsidRPr="009F58E8" w:rsidRDefault="00ED56C4" w:rsidP="00ED56C4"/>
    <w:p w14:paraId="481F0BFC" w14:textId="77777777" w:rsidR="00ED56C4" w:rsidRPr="009F58E8" w:rsidRDefault="00ED56C4" w:rsidP="00ED56C4">
      <w:r w:rsidRPr="009F58E8">
        <w:t xml:space="preserve">Par ailleurs, si l’un des formulaires constitutifs la candidature ou de l’offre du candidat est modifié après signature, le « couple » document signé et document de signature ne seront plus cohérents. La signature du document sera alors invalide. Il faut dans ce cas renouveler l’opération de signature du document modifié.  </w:t>
      </w:r>
    </w:p>
    <w:p w14:paraId="6A1B95A4" w14:textId="77777777" w:rsidR="00ED56C4" w:rsidRPr="009F58E8" w:rsidRDefault="00ED56C4" w:rsidP="00ED56C4"/>
    <w:p w14:paraId="3F489F47" w14:textId="77777777" w:rsidR="00ED56C4" w:rsidRPr="009F58E8" w:rsidRDefault="00ED56C4" w:rsidP="00ED56C4">
      <w:r w:rsidRPr="009F58E8">
        <w:t>Les fichiers constitutifs de la candidature et de l’offre du candidat doivent être signés avec la fonctionnalité de signature individuelle de documents accessible sur la plate-forme https://www.marches-publics.gouv.fr/.</w:t>
      </w:r>
    </w:p>
    <w:p w14:paraId="60133371" w14:textId="77777777" w:rsidR="00ED56C4" w:rsidRPr="009F58E8" w:rsidRDefault="00ED56C4" w:rsidP="00ED56C4"/>
    <w:p w14:paraId="5BA96F49" w14:textId="77777777" w:rsidR="00ED56C4" w:rsidRPr="009F58E8" w:rsidRDefault="00ED56C4" w:rsidP="00ED56C4">
      <w:r w:rsidRPr="009F58E8">
        <w:t>Néanmoins, si le candidat utilise un autre outil pour signer électroniquement ses documents, celui-ci transmet, avec les documents signés, les éléments nécessaires pour procéder à la vérification de la validité de la signature et de l’intégrité du document, et ce, gratuitement.</w:t>
      </w:r>
    </w:p>
    <w:p w14:paraId="0E1F1951" w14:textId="77777777" w:rsidR="00ED56C4" w:rsidRPr="009F58E8" w:rsidRDefault="00ED56C4" w:rsidP="00ED56C4"/>
    <w:p w14:paraId="5A1AEB13" w14:textId="77777777" w:rsidR="00ED56C4" w:rsidRPr="009F58E8" w:rsidRDefault="00ED56C4" w:rsidP="00ED56C4">
      <w:r w:rsidRPr="009F58E8">
        <w:t>Ce mode d'emploi contient, au moins, les informations suivantes :</w:t>
      </w:r>
    </w:p>
    <w:p w14:paraId="55B93003" w14:textId="77777777" w:rsidR="00ED56C4" w:rsidRPr="009F58E8" w:rsidRDefault="00ED56C4" w:rsidP="00ED56C4">
      <w:r w:rsidRPr="009F58E8">
        <w:lastRenderedPageBreak/>
        <w:t>•</w:t>
      </w:r>
      <w:r w:rsidRPr="009F58E8">
        <w:tab/>
        <w:t>1° La procédure permettant la vérification de la validité de la signature ;</w:t>
      </w:r>
    </w:p>
    <w:p w14:paraId="3C73C373" w14:textId="77777777" w:rsidR="00ED56C4" w:rsidRPr="009F58E8" w:rsidRDefault="00ED56C4" w:rsidP="00ED56C4">
      <w:r w:rsidRPr="009F58E8">
        <w:t>•</w:t>
      </w:r>
      <w:r w:rsidRPr="009F58E8">
        <w:tab/>
        <w:t>2° 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w:t>
      </w:r>
    </w:p>
    <w:p w14:paraId="401DDCE2" w14:textId="77777777" w:rsidR="00ED56C4" w:rsidRPr="009F58E8" w:rsidRDefault="00ED56C4" w:rsidP="00ED56C4"/>
    <w:p w14:paraId="54AF963A" w14:textId="77777777" w:rsidR="00ED56C4" w:rsidRPr="009F58E8" w:rsidRDefault="00ED56C4" w:rsidP="00ED56C4">
      <w:pPr>
        <w:rPr>
          <w:rFonts w:eastAsia="Arial Unicode MS"/>
        </w:rPr>
      </w:pPr>
      <w:r w:rsidRPr="009F58E8">
        <w:rPr>
          <w:rFonts w:eastAsia="Arial Unicode MS"/>
        </w:rPr>
        <w:t xml:space="preserve">Après la préparation des fichiers, les candidats se connectent sur la plate-forme à l’adresse </w:t>
      </w:r>
      <w:r w:rsidRPr="009F58E8">
        <w:t>https://www.marches-publics.gouv.fr/</w:t>
      </w:r>
      <w:r w:rsidRPr="009F58E8">
        <w:rPr>
          <w:rFonts w:eastAsia="Arial Unicode MS"/>
        </w:rPr>
        <w:t xml:space="preserve">. Ils doivent les déposer dans les espaces qui leur sont réservés sur la page de réponse à cette consultation de la plate-forme, chaque consultation ayant une page spécifique de réponse. Une fois l’ensemble des éléments réunis sur la page de constitution de la réponse, les candidats signent électroniquement l’ensemble des documents, lancent le chiffrement de l’offre complète, et enfin déposent les réponses. </w:t>
      </w:r>
    </w:p>
    <w:p w14:paraId="6F231DE3" w14:textId="77777777" w:rsidR="00ED56C4" w:rsidRPr="009F58E8" w:rsidRDefault="00ED56C4" w:rsidP="00ED56C4">
      <w:pPr>
        <w:rPr>
          <w:rFonts w:eastAsia="Arial Unicode MS"/>
        </w:rPr>
      </w:pPr>
    </w:p>
    <w:p w14:paraId="313E801B" w14:textId="77777777" w:rsidR="00ED56C4" w:rsidRPr="009F58E8" w:rsidRDefault="00ED56C4" w:rsidP="00ED56C4">
      <w:pPr>
        <w:rPr>
          <w:rFonts w:eastAsia="Arial Unicode MS"/>
        </w:rPr>
      </w:pPr>
      <w:r w:rsidRPr="009F58E8">
        <w:rPr>
          <w:rFonts w:eastAsia="Arial Unicode MS"/>
        </w:rPr>
        <w:t>Les échanges sont sécurisés grâce à l’utilisation du protocole https.</w:t>
      </w:r>
    </w:p>
    <w:p w14:paraId="45C5625A" w14:textId="77777777" w:rsidR="00ED56C4" w:rsidRPr="009F58E8" w:rsidRDefault="00ED56C4" w:rsidP="00ED56C4">
      <w:pPr>
        <w:rPr>
          <w:rFonts w:eastAsia="Arial Unicode MS"/>
        </w:rPr>
      </w:pPr>
    </w:p>
    <w:p w14:paraId="405AE8AB" w14:textId="77777777" w:rsidR="00ED56C4" w:rsidRPr="00EA46F1" w:rsidRDefault="00ED56C4" w:rsidP="00ED56C4">
      <w:pPr>
        <w:rPr>
          <w:rFonts w:eastAsia="Arial Unicode MS"/>
        </w:rPr>
      </w:pPr>
      <w:r w:rsidRPr="009F58E8">
        <w:rPr>
          <w:rFonts w:eastAsia="Arial Unicode MS"/>
        </w:rPr>
        <w:t>La durée du téléchargement est fonction du débit de l’accès Internet du candidat et de la taille des documents à transmettre.</w:t>
      </w:r>
    </w:p>
    <w:p w14:paraId="7A9CB704" w14:textId="77777777" w:rsidR="00ED56C4" w:rsidRPr="009F58E8" w:rsidRDefault="00ED56C4" w:rsidP="00ED56C4">
      <w:pPr>
        <w:widowControl w:val="0"/>
        <w:autoSpaceDE w:val="0"/>
        <w:autoSpaceDN w:val="0"/>
        <w:adjustRightInd w:val="0"/>
        <w:rPr>
          <w:rFonts w:ascii="Arial" w:eastAsia="Arial Unicode MS" w:hAnsi="Arial" w:cs="Arial"/>
          <w:szCs w:val="20"/>
        </w:rPr>
      </w:pPr>
    </w:p>
    <w:p w14:paraId="69261EEB" w14:textId="77777777" w:rsidR="00ED56C4" w:rsidRPr="008E56BB" w:rsidRDefault="00ED56C4" w:rsidP="009D155F">
      <w:pPr>
        <w:pStyle w:val="Paragraphedeliste"/>
        <w:widowControl w:val="0"/>
        <w:numPr>
          <w:ilvl w:val="0"/>
          <w:numId w:val="7"/>
        </w:numPr>
        <w:autoSpaceDE w:val="0"/>
        <w:autoSpaceDN w:val="0"/>
        <w:adjustRightInd w:val="0"/>
        <w:rPr>
          <w:rFonts w:ascii="Arial" w:eastAsia="Arial Unicode MS" w:hAnsi="Arial" w:cs="Arial"/>
          <w:b/>
          <w:bCs/>
          <w:szCs w:val="20"/>
        </w:rPr>
      </w:pPr>
      <w:r w:rsidRPr="008E56BB">
        <w:rPr>
          <w:rFonts w:ascii="Arial" w:eastAsia="Arial Unicode MS" w:hAnsi="Arial" w:cs="Arial"/>
          <w:b/>
          <w:bCs/>
          <w:szCs w:val="20"/>
          <w:u w:val="single"/>
        </w:rPr>
        <w:t>Copie de sauvegarde</w:t>
      </w:r>
    </w:p>
    <w:p w14:paraId="767D10FC" w14:textId="77777777" w:rsidR="00ED56C4" w:rsidRPr="009F58E8" w:rsidRDefault="00ED56C4" w:rsidP="00ED56C4">
      <w:pPr>
        <w:widowControl w:val="0"/>
        <w:autoSpaceDE w:val="0"/>
        <w:autoSpaceDN w:val="0"/>
        <w:adjustRightInd w:val="0"/>
        <w:rPr>
          <w:rFonts w:ascii="Arial" w:eastAsia="Arial Unicode MS" w:hAnsi="Arial" w:cs="Arial"/>
          <w:bCs/>
          <w:szCs w:val="20"/>
        </w:rPr>
      </w:pPr>
    </w:p>
    <w:p w14:paraId="370177CD" w14:textId="77777777" w:rsidR="00ED56C4" w:rsidRPr="009F58E8" w:rsidRDefault="00ED56C4" w:rsidP="00ED56C4">
      <w:pPr>
        <w:rPr>
          <w:rFonts w:eastAsia="Arial Unicode MS"/>
        </w:rPr>
      </w:pPr>
      <w:r w:rsidRPr="009F58E8">
        <w:rPr>
          <w:rFonts w:eastAsia="Arial Unicode MS"/>
        </w:rPr>
        <w:t xml:space="preserve">Lorsque, conformément </w:t>
      </w:r>
      <w:r w:rsidRPr="009F58E8">
        <w:t>à l’article R. 2132-11 du Code de la commande publique</w:t>
      </w:r>
      <w:r w:rsidRPr="009F58E8">
        <w:rPr>
          <w:rFonts w:eastAsia="Arial Unicode MS"/>
        </w:rPr>
        <w:t>, la candidature et l’offre sont envoyée par voie électronique, une copie de sauvegarde peut être envoyée dans les conditions fixées par arrêté du ministre chargé de l’économie (arrêté du 22 mars 2019 fixant les modalités de mise à disposition des documents de la consultation et de la copie de sauvegarde).</w:t>
      </w:r>
    </w:p>
    <w:p w14:paraId="4E5DCECF" w14:textId="77777777" w:rsidR="00ED56C4" w:rsidRPr="009F58E8" w:rsidRDefault="00ED56C4" w:rsidP="00ED56C4">
      <w:pPr>
        <w:rPr>
          <w:rFonts w:eastAsia="Arial Unicode MS"/>
        </w:rPr>
      </w:pPr>
    </w:p>
    <w:p w14:paraId="7FD3C525" w14:textId="77777777" w:rsidR="00ED56C4" w:rsidRPr="009F58E8" w:rsidRDefault="00ED56C4" w:rsidP="00ED56C4">
      <w:r w:rsidRPr="009F58E8">
        <w:rPr>
          <w:rFonts w:eastAsia="Arial Unicode MS"/>
        </w:rPr>
        <w:t>La copie de sauvegarde doit être placée dans un pli scellé comportant la mention lisible : « copie de sauvegarde »,</w:t>
      </w:r>
      <w:r w:rsidRPr="009F58E8">
        <w:t xml:space="preserve"> le numéro et l’intitulé de la consultation et le nom du candidat auxquels elle se rapporte.</w:t>
      </w:r>
    </w:p>
    <w:p w14:paraId="7A3F167F" w14:textId="77777777" w:rsidR="00ED56C4" w:rsidRPr="009F58E8" w:rsidRDefault="00ED56C4" w:rsidP="00ED56C4">
      <w:pPr>
        <w:rPr>
          <w:rFonts w:eastAsia="Arial Unicode MS"/>
        </w:rPr>
      </w:pPr>
    </w:p>
    <w:p w14:paraId="614F024B" w14:textId="77777777" w:rsidR="00ED56C4" w:rsidRPr="009F58E8" w:rsidRDefault="00ED56C4" w:rsidP="00ED56C4">
      <w:pPr>
        <w:rPr>
          <w:rFonts w:eastAsia="Arial Unicode MS"/>
        </w:rPr>
      </w:pPr>
      <w:r w:rsidRPr="009F58E8">
        <w:rPr>
          <w:rFonts w:eastAsia="Arial Unicode MS"/>
        </w:rPr>
        <w:t xml:space="preserve">Le candidat qui effectue à la fois une transmission électronique et, à titre de copie de sauvegarde, une transmission sur support physique électronique ou sur support papier doit faire parvenir cette copie dans les délais impartis pour la remise des candidatures ou des offres, à l’adresse suivante : </w:t>
      </w:r>
    </w:p>
    <w:p w14:paraId="2F17D056" w14:textId="77777777" w:rsidR="00ED56C4" w:rsidRPr="009F58E8" w:rsidRDefault="00ED56C4" w:rsidP="00ED56C4">
      <w:pPr>
        <w:widowControl w:val="0"/>
        <w:autoSpaceDE w:val="0"/>
        <w:autoSpaceDN w:val="0"/>
        <w:adjustRightInd w:val="0"/>
        <w:rPr>
          <w:rFonts w:ascii="Arial" w:eastAsia="Arial Unicode MS" w:hAnsi="Arial" w:cs="Arial"/>
          <w:bCs/>
          <w:szCs w:val="20"/>
        </w:rPr>
      </w:pPr>
    </w:p>
    <w:p w14:paraId="3FA04BF5" w14:textId="77777777" w:rsidR="00ED56C4" w:rsidRPr="009F58E8" w:rsidRDefault="00ED56C4" w:rsidP="00ED56C4">
      <w:pPr>
        <w:widowControl w:val="0"/>
        <w:autoSpaceDE w:val="0"/>
        <w:autoSpaceDN w:val="0"/>
        <w:adjustRightInd w:val="0"/>
        <w:rPr>
          <w:rFonts w:ascii="Arial" w:eastAsia="Arial Unicode MS" w:hAnsi="Arial" w:cs="Arial"/>
          <w:bCs/>
          <w:szCs w:val="20"/>
        </w:rPr>
      </w:pPr>
    </w:p>
    <w:p w14:paraId="038ED23F" w14:textId="77777777" w:rsidR="00ED56C4" w:rsidRPr="009F58E8" w:rsidRDefault="00ED56C4" w:rsidP="00ED56C4">
      <w:pPr>
        <w:rPr>
          <w:rFonts w:eastAsia="Arial Unicode MS"/>
        </w:rPr>
      </w:pPr>
    </w:p>
    <w:p w14:paraId="19245F01" w14:textId="77777777" w:rsidR="00ED56C4" w:rsidRPr="008E56BB" w:rsidRDefault="00ED56C4" w:rsidP="00ED56C4">
      <w:pPr>
        <w:jc w:val="center"/>
        <w:rPr>
          <w:rFonts w:eastAsia="Arial Unicode MS"/>
          <w:b/>
        </w:rPr>
      </w:pPr>
      <w:r w:rsidRPr="008E56BB">
        <w:rPr>
          <w:rFonts w:eastAsia="Arial Unicode MS"/>
          <w:b/>
        </w:rPr>
        <w:t>AGENCE GENERALE DES EQUIPEMENTS ET PRODUITS DE SANTE</w:t>
      </w:r>
    </w:p>
    <w:p w14:paraId="235D71F9" w14:textId="77777777" w:rsidR="00ED56C4" w:rsidRPr="008E56BB" w:rsidRDefault="00ED56C4" w:rsidP="00ED56C4">
      <w:pPr>
        <w:jc w:val="center"/>
        <w:rPr>
          <w:rFonts w:eastAsia="Arial Unicode MS"/>
          <w:b/>
        </w:rPr>
      </w:pPr>
      <w:r w:rsidRPr="008E56BB">
        <w:rPr>
          <w:rFonts w:eastAsia="Arial Unicode MS"/>
          <w:b/>
        </w:rPr>
        <w:t>Direction des ACHATS</w:t>
      </w:r>
    </w:p>
    <w:p w14:paraId="52EA114E" w14:textId="77777777" w:rsidR="00ED56C4" w:rsidRPr="008E56BB" w:rsidRDefault="00ED56C4" w:rsidP="00ED56C4">
      <w:pPr>
        <w:jc w:val="center"/>
        <w:rPr>
          <w:rFonts w:eastAsia="Arial Unicode MS"/>
          <w:b/>
        </w:rPr>
      </w:pPr>
      <w:r w:rsidRPr="008E56BB">
        <w:rPr>
          <w:rFonts w:eastAsia="Arial Unicode MS"/>
          <w:b/>
        </w:rPr>
        <w:t>Département des marchés IT</w:t>
      </w:r>
    </w:p>
    <w:p w14:paraId="78A6D1D9" w14:textId="77777777" w:rsidR="00ED56C4" w:rsidRPr="008E56BB" w:rsidRDefault="00ED56C4" w:rsidP="00ED56C4">
      <w:pPr>
        <w:jc w:val="center"/>
        <w:rPr>
          <w:rFonts w:eastAsia="Arial Unicode MS"/>
          <w:b/>
        </w:rPr>
      </w:pPr>
      <w:r w:rsidRPr="008E56BB">
        <w:rPr>
          <w:rFonts w:eastAsia="Arial Unicode MS"/>
          <w:b/>
        </w:rPr>
        <w:t>7 rue du Fer à Moulin 75221 - PARIS CEDEX 05</w:t>
      </w:r>
    </w:p>
    <w:p w14:paraId="32CD5CFB" w14:textId="77777777" w:rsidR="00ED56C4" w:rsidRPr="009F58E8" w:rsidRDefault="00ED56C4" w:rsidP="00ED56C4">
      <w:pPr>
        <w:rPr>
          <w:rFonts w:eastAsia="Arial Unicode MS"/>
        </w:rPr>
      </w:pPr>
    </w:p>
    <w:p w14:paraId="0B74D96F" w14:textId="77777777" w:rsidR="00ED56C4" w:rsidRPr="009F58E8" w:rsidRDefault="00ED56C4" w:rsidP="00ED56C4">
      <w:pPr>
        <w:rPr>
          <w:rFonts w:eastAsia="Arial Unicode MS"/>
        </w:rPr>
      </w:pPr>
      <w:r w:rsidRPr="009F58E8">
        <w:rPr>
          <w:rFonts w:eastAsia="Arial Unicode MS"/>
        </w:rPr>
        <w:t>La copie de sauvegarde ne peut être ouverte que lorsque l’AGEPS a détecté un programme informatique malveillant dans les candidatures et les offres transmises par voie électronique ou que ces dernières ne sont pas parvenues à l’AGEPS dans les délais de dépôt des candidatures et des offres malgré un envoi effectué dans ces délais ou en cas d’absence de réussite d’ouverture de ces documents.</w:t>
      </w:r>
    </w:p>
    <w:p w14:paraId="1CC63F68" w14:textId="77777777" w:rsidR="00ED56C4" w:rsidRPr="009F58E8" w:rsidRDefault="00ED56C4" w:rsidP="00ED56C4">
      <w:pPr>
        <w:widowControl w:val="0"/>
        <w:autoSpaceDE w:val="0"/>
        <w:autoSpaceDN w:val="0"/>
        <w:adjustRightInd w:val="0"/>
        <w:rPr>
          <w:rFonts w:ascii="Arial" w:eastAsia="Arial Unicode MS" w:hAnsi="Arial" w:cs="Arial"/>
          <w:iCs/>
          <w:szCs w:val="20"/>
        </w:rPr>
      </w:pPr>
    </w:p>
    <w:p w14:paraId="7C7B4894" w14:textId="77777777" w:rsidR="00ED56C4" w:rsidRPr="008E56BB" w:rsidRDefault="00ED56C4" w:rsidP="009D155F">
      <w:pPr>
        <w:pStyle w:val="Paragraphedeliste"/>
        <w:widowControl w:val="0"/>
        <w:numPr>
          <w:ilvl w:val="0"/>
          <w:numId w:val="7"/>
        </w:numPr>
        <w:autoSpaceDE w:val="0"/>
        <w:autoSpaceDN w:val="0"/>
        <w:adjustRightInd w:val="0"/>
        <w:rPr>
          <w:rFonts w:ascii="Arial" w:eastAsia="Arial Unicode MS" w:hAnsi="Arial" w:cs="Arial"/>
          <w:b/>
          <w:bCs/>
          <w:szCs w:val="20"/>
          <w:u w:val="single"/>
        </w:rPr>
      </w:pPr>
      <w:r w:rsidRPr="008E56BB">
        <w:rPr>
          <w:rFonts w:ascii="Arial" w:eastAsia="Arial Unicode MS" w:hAnsi="Arial" w:cs="Arial"/>
          <w:b/>
          <w:bCs/>
          <w:szCs w:val="20"/>
          <w:u w:val="single"/>
        </w:rPr>
        <w:t>Antivirus</w:t>
      </w:r>
    </w:p>
    <w:p w14:paraId="209C40C4" w14:textId="77777777" w:rsidR="00ED56C4" w:rsidRPr="009F58E8" w:rsidRDefault="00ED56C4" w:rsidP="00ED56C4">
      <w:pPr>
        <w:widowControl w:val="0"/>
        <w:autoSpaceDE w:val="0"/>
        <w:autoSpaceDN w:val="0"/>
        <w:adjustRightInd w:val="0"/>
        <w:rPr>
          <w:rFonts w:ascii="Arial" w:eastAsia="Arial Unicode MS" w:hAnsi="Arial" w:cs="Arial"/>
          <w:b/>
          <w:bCs/>
          <w:szCs w:val="20"/>
          <w:u w:val="single"/>
        </w:rPr>
      </w:pPr>
    </w:p>
    <w:p w14:paraId="256D615E" w14:textId="77777777" w:rsidR="00ED56C4" w:rsidRPr="009F58E8" w:rsidRDefault="00ED56C4" w:rsidP="00ED56C4">
      <w:pPr>
        <w:rPr>
          <w:rFonts w:eastAsia="Arial Unicode MS"/>
        </w:rPr>
      </w:pPr>
      <w:r w:rsidRPr="009F58E8">
        <w:rPr>
          <w:rFonts w:eastAsia="Arial Unicode MS"/>
        </w:rPr>
        <w:t xml:space="preserve">Tout fichier constitutif de la </w:t>
      </w:r>
      <w:r w:rsidRPr="009F58E8">
        <w:rPr>
          <w:rFonts w:eastAsia="Arial Unicode MS"/>
          <w:bCs/>
        </w:rPr>
        <w:t>candidature et de l’offre</w:t>
      </w:r>
      <w:r w:rsidRPr="009F58E8">
        <w:rPr>
          <w:rFonts w:eastAsia="Arial Unicode MS"/>
        </w:rPr>
        <w:t>, doit être traité préalablement par le candidat par un anti-virus régulièrement mis à jour.</w:t>
      </w:r>
    </w:p>
    <w:p w14:paraId="703D1588" w14:textId="77777777" w:rsidR="00ED56C4" w:rsidRPr="009F58E8" w:rsidRDefault="00ED56C4" w:rsidP="00ED56C4">
      <w:pPr>
        <w:rPr>
          <w:rFonts w:eastAsia="Arial Unicode MS"/>
          <w:bCs/>
        </w:rPr>
      </w:pPr>
      <w:r w:rsidRPr="009F58E8">
        <w:rPr>
          <w:rFonts w:eastAsia="Arial Unicode MS"/>
          <w:bCs/>
        </w:rPr>
        <w:t>Le candidat ou le soumissionnaire doit s'assurer que les fichiers transmis ne comportent pas de virus. La réception de tout fichier contenant un virus entraînera l'irrecevabilité de l'offre. Si un virus est détecté, le pli sera considéré comme n'ayant jamais été reçu et les candidats en sont avertis grâce aux renseignements saisis lors de leur identification.</w:t>
      </w:r>
    </w:p>
    <w:p w14:paraId="66C46E68" w14:textId="77777777" w:rsidR="00ED56C4" w:rsidRDefault="00ED56C4" w:rsidP="00ED56C4">
      <w:pPr>
        <w:suppressAutoHyphens/>
        <w:autoSpaceDN w:val="0"/>
        <w:textAlignment w:val="center"/>
        <w:rPr>
          <w:rFonts w:ascii="Arial" w:hAnsi="Arial" w:cs="Arial"/>
          <w:bCs/>
          <w:color w:val="000000"/>
          <w:szCs w:val="20"/>
        </w:rPr>
      </w:pPr>
    </w:p>
    <w:p w14:paraId="702E6014" w14:textId="36D7192A" w:rsidR="00D15B52" w:rsidRDefault="00D15B52" w:rsidP="00D15B52">
      <w:pPr>
        <w:pStyle w:val="Titre2"/>
      </w:pPr>
      <w:r>
        <w:t>Demandes de renseignements complémentaires et questions</w:t>
      </w:r>
    </w:p>
    <w:p w14:paraId="3E28C17F" w14:textId="77777777" w:rsidR="00D15B52" w:rsidRDefault="00D15B52" w:rsidP="00D15B52"/>
    <w:p w14:paraId="3C940412" w14:textId="614C68DA" w:rsidR="00D15B52" w:rsidRDefault="00D15B52" w:rsidP="00D15B52">
      <w:r>
        <w:lastRenderedPageBreak/>
        <w:t xml:space="preserve">Pendant la phase de consultation, les candidats peuvent faire parvenir leurs questions et les demandes de renseignements complémentaires sur la plate-forme des achats de l'Etat (PLACE) : </w:t>
      </w:r>
      <w:hyperlink r:id="rId13" w:history="1">
        <w:r w:rsidRPr="00501B7D">
          <w:rPr>
            <w:rStyle w:val="Lienhypertexte"/>
            <w:rFonts w:ascii="Open Sans" w:hAnsi="Open Sans"/>
          </w:rPr>
          <w:t>https://www.marches-publics.gouv.fr</w:t>
        </w:r>
      </w:hyperlink>
      <w:r>
        <w:t xml:space="preserve">. </w:t>
      </w:r>
    </w:p>
    <w:p w14:paraId="156D05B3" w14:textId="77777777" w:rsidR="00D15B52" w:rsidRDefault="00D15B52" w:rsidP="00D15B52"/>
    <w:p w14:paraId="00B041E4" w14:textId="4D4D5CBC" w:rsidR="00ED56C4" w:rsidRDefault="00D15B52" w:rsidP="00D15B52">
      <w:r>
        <w:t>Les réponses aux demandes de renseignements complémentaires reçues en temps utile au plus tard 10 jours avant la date de réception des offres sont transmises aux opérateurs économiques au plus tard 6 jours avant la date limite de réception des offres.</w:t>
      </w:r>
    </w:p>
    <w:p w14:paraId="2BEB7030" w14:textId="023BBDC1" w:rsidR="00D15B52" w:rsidRDefault="00D15B52" w:rsidP="00D15B52"/>
    <w:p w14:paraId="040AA905" w14:textId="77777777" w:rsidR="00D15B52" w:rsidRPr="009F58E8" w:rsidRDefault="00D15B52" w:rsidP="00D15B52">
      <w:pPr>
        <w:pStyle w:val="Titre2"/>
      </w:pPr>
      <w:bookmarkStart w:id="7" w:name="_Toc157007525"/>
      <w:bookmarkStart w:id="8" w:name="_Toc159251325"/>
      <w:r w:rsidRPr="001E67BB">
        <w:t>Modification</w:t>
      </w:r>
      <w:r w:rsidRPr="009F58E8">
        <w:t xml:space="preserve"> du dossier de consultation</w:t>
      </w:r>
      <w:bookmarkEnd w:id="7"/>
      <w:bookmarkEnd w:id="8"/>
    </w:p>
    <w:p w14:paraId="2802C9AF" w14:textId="77777777" w:rsidR="00D15B52" w:rsidRPr="009F58E8" w:rsidRDefault="00D15B52" w:rsidP="00D15B52">
      <w:pPr>
        <w:widowControl w:val="0"/>
        <w:autoSpaceDE w:val="0"/>
        <w:autoSpaceDN w:val="0"/>
        <w:adjustRightInd w:val="0"/>
        <w:rPr>
          <w:rFonts w:ascii="Arial" w:hAnsi="Arial" w:cs="Arial"/>
          <w:szCs w:val="20"/>
        </w:rPr>
      </w:pPr>
    </w:p>
    <w:p w14:paraId="0E000024" w14:textId="77777777" w:rsidR="00D15B52" w:rsidRPr="009F58E8" w:rsidRDefault="00D15B52" w:rsidP="00D15B52">
      <w:r w:rsidRPr="009F58E8">
        <w:t>Les candidats ne sont pas autorisés à apporter des modifications aux spécifications techniques obligatoires du CCTP, dans le cadre de l’offre proposée en solution de base.</w:t>
      </w:r>
    </w:p>
    <w:p w14:paraId="31121615" w14:textId="77777777" w:rsidR="00D15B52" w:rsidRPr="009F58E8" w:rsidRDefault="00D15B52" w:rsidP="00D15B52"/>
    <w:p w14:paraId="1DE5F587" w14:textId="77777777" w:rsidR="00D15B52" w:rsidRPr="009F58E8" w:rsidRDefault="00D15B52" w:rsidP="00D15B52">
      <w:r w:rsidRPr="009F58E8">
        <w:t>Ils doivent respecter l’intégralité des prescriptions.</w:t>
      </w:r>
    </w:p>
    <w:p w14:paraId="1A0903FA" w14:textId="77777777" w:rsidR="00D15B52" w:rsidRPr="009F58E8" w:rsidRDefault="00D15B52" w:rsidP="00D15B52"/>
    <w:p w14:paraId="66EA4FAE" w14:textId="77777777" w:rsidR="00D15B52" w:rsidRPr="009F58E8" w:rsidRDefault="00D15B52" w:rsidP="00D15B52">
      <w:pPr>
        <w:rPr>
          <w:b/>
          <w:u w:val="single"/>
        </w:rPr>
      </w:pPr>
      <w:r w:rsidRPr="009F58E8">
        <w:t xml:space="preserve">Des modifications peuvent être apportées, par l’Acheteur, aux documents de la consultation au plus tard </w:t>
      </w:r>
      <w:r w:rsidRPr="009F58E8">
        <w:rPr>
          <w:b/>
          <w:u w:val="single"/>
        </w:rPr>
        <w:t>6 jours ouvrés avant la date limite de réception des offres.</w:t>
      </w:r>
    </w:p>
    <w:p w14:paraId="45FFB973" w14:textId="77777777" w:rsidR="00D15B52" w:rsidRPr="009F58E8" w:rsidRDefault="00D15B52" w:rsidP="00D15B52"/>
    <w:p w14:paraId="7E7A588D" w14:textId="77777777" w:rsidR="00D15B52" w:rsidRPr="009F58E8" w:rsidRDefault="00D15B52" w:rsidP="00D15B52">
      <w:r w:rsidRPr="009F58E8">
        <w:t>Les modifications sont communiquées aux seuls opérateurs économiques dûment identifiés lors du retrait des documents de la consultation.</w:t>
      </w:r>
    </w:p>
    <w:p w14:paraId="36A40904" w14:textId="77777777" w:rsidR="00D15B52" w:rsidRPr="009F58E8" w:rsidRDefault="00D15B52" w:rsidP="00D15B52"/>
    <w:p w14:paraId="4DFAB897" w14:textId="77777777" w:rsidR="00D15B52" w:rsidRPr="009F58E8" w:rsidRDefault="00D15B52" w:rsidP="00D15B52">
      <w:r w:rsidRPr="009F58E8">
        <w:t>Les candidats devront répondre sur la base du dernier dossier modifié. Dans le cas où un candidat aurait remis une offre avant les modifications, il pourra en remettre une nouvelle sur la base du dernier dossier modifié, avant la date et heure limites de dépôt des offres.</w:t>
      </w:r>
    </w:p>
    <w:p w14:paraId="26886667" w14:textId="77777777" w:rsidR="00D15B52" w:rsidRPr="009F58E8" w:rsidRDefault="00D15B52" w:rsidP="00D15B52">
      <w:pPr>
        <w:widowControl w:val="0"/>
        <w:autoSpaceDE w:val="0"/>
        <w:autoSpaceDN w:val="0"/>
        <w:adjustRightInd w:val="0"/>
        <w:rPr>
          <w:rFonts w:ascii="Arial" w:hAnsi="Arial" w:cs="Arial"/>
          <w:szCs w:val="20"/>
        </w:rPr>
      </w:pPr>
    </w:p>
    <w:p w14:paraId="59CD4652" w14:textId="77777777" w:rsidR="00D15B52" w:rsidRPr="009F58E8" w:rsidRDefault="00D15B52" w:rsidP="00D15B52">
      <w:pPr>
        <w:pStyle w:val="Titre2"/>
      </w:pPr>
      <w:bookmarkStart w:id="9" w:name="_Toc104984879"/>
      <w:bookmarkStart w:id="10" w:name="_Toc157007526"/>
      <w:bookmarkStart w:id="11" w:name="_Toc159251326"/>
      <w:r w:rsidRPr="009F58E8">
        <w:t>Prolongation du délai de réception des offres</w:t>
      </w:r>
      <w:bookmarkEnd w:id="9"/>
      <w:bookmarkEnd w:id="10"/>
      <w:bookmarkEnd w:id="11"/>
    </w:p>
    <w:p w14:paraId="330FADE1" w14:textId="77777777" w:rsidR="00D15B52" w:rsidRPr="009F58E8" w:rsidRDefault="00D15B52" w:rsidP="00D15B52">
      <w:pPr>
        <w:suppressAutoHyphens/>
        <w:autoSpaceDN w:val="0"/>
        <w:textAlignment w:val="center"/>
        <w:rPr>
          <w:rFonts w:ascii="Arial" w:eastAsia="Andale Sans UI" w:hAnsi="Arial" w:cs="Arial"/>
          <w:b/>
          <w:bCs/>
          <w:kern w:val="3"/>
          <w:lang w:eastAsia="ja-JP" w:bidi="fa-IR"/>
        </w:rPr>
      </w:pPr>
    </w:p>
    <w:p w14:paraId="7B8E4E67" w14:textId="77777777" w:rsidR="00D15B52" w:rsidRPr="009F58E8" w:rsidRDefault="00D15B52" w:rsidP="00D15B52">
      <w:r w:rsidRPr="009F58E8">
        <w:t>Lorsqu'une réponse nécessaire à l'élaboration de l'offre n'est pas fournie 6 jours avant la date limite de réception des offres, ou en en cas de modifications importantes des documents de la consultation, le délai de réception des offres est reporté proportionnellement à l'importance des modifications apportées et dans les conditions prévues au à l'article R.2151-4 du code de la commande publique.</w:t>
      </w:r>
    </w:p>
    <w:p w14:paraId="48EB4032" w14:textId="77777777" w:rsidR="00D15B52" w:rsidRDefault="00D15B52" w:rsidP="00D15B52"/>
    <w:p w14:paraId="48BD142F" w14:textId="70BBCDBC" w:rsidR="00ED56C4" w:rsidRPr="006E5758" w:rsidRDefault="00D15B52" w:rsidP="00D15B52">
      <w:pPr>
        <w:pStyle w:val="Titre1"/>
      </w:pPr>
      <w:r>
        <w:t>CANDIDATURE</w:t>
      </w:r>
    </w:p>
    <w:p w14:paraId="6A12EA37" w14:textId="77777777" w:rsidR="00077056" w:rsidRDefault="00077056" w:rsidP="00241CE1">
      <w:pPr>
        <w:pStyle w:val="Corpsdetexte"/>
        <w:rPr>
          <w:rFonts w:ascii="Open Sans" w:hAnsi="Open Sans" w:cs="Open Sans"/>
          <w:sz w:val="18"/>
          <w:szCs w:val="18"/>
        </w:rPr>
      </w:pPr>
    </w:p>
    <w:p w14:paraId="72B03EAE" w14:textId="3FDDDD51" w:rsidR="00290C58" w:rsidRDefault="00D15B52" w:rsidP="00D15B52">
      <w:pPr>
        <w:pStyle w:val="Titre2"/>
      </w:pPr>
      <w:r>
        <w:t xml:space="preserve">Groupement de candidats </w:t>
      </w:r>
    </w:p>
    <w:p w14:paraId="6E619F55" w14:textId="77777777" w:rsidR="00290C58" w:rsidRDefault="00290C58" w:rsidP="00241CE1">
      <w:pPr>
        <w:pStyle w:val="Corpsdetexte"/>
        <w:rPr>
          <w:rFonts w:ascii="Open Sans" w:hAnsi="Open Sans" w:cs="Open Sans"/>
          <w:sz w:val="18"/>
          <w:szCs w:val="18"/>
        </w:rPr>
      </w:pPr>
    </w:p>
    <w:p w14:paraId="658FA5F9" w14:textId="77777777" w:rsidR="00D15B52" w:rsidRPr="00D15B52" w:rsidRDefault="00D15B52" w:rsidP="00D15B52">
      <w:r w:rsidRPr="00D15B52">
        <w:t>Le candidat peut se présenter sous forme de groupement sous réserve du respect des règles relatives à la concurrence. Dans ce cas, le formulaire DC1 ou équivalent devra préciser si le groupement est solidaire ou conjoint et être dûment complété. Les actes d’engagement et les annexes financières devront être soit co-signés par l’ensemble des entreprises groupées, soit signés par le mandataire seul dès lors qu’il justifie des habilitations nécessaires pour représenter les membres du groupement. Dans les deux formes de groupement, le nom du mandataire doit être expressément désigné dans l’acte d’engagement.</w:t>
      </w:r>
    </w:p>
    <w:p w14:paraId="594B890C" w14:textId="77777777" w:rsidR="00D15B52" w:rsidRPr="00D15B52" w:rsidRDefault="00D15B52" w:rsidP="00D15B52"/>
    <w:p w14:paraId="41D58978" w14:textId="77777777" w:rsidR="00D15B52" w:rsidRPr="00D15B52" w:rsidRDefault="00D15B52" w:rsidP="00D15B52">
      <w:r w:rsidRPr="00D15B52">
        <w:t>Un même candidat ne pourra pas être mandataire de plus d’un groupement pour un même marché. De même, le candidat n’est pas autorisé à présenter, pour le marché ou un de ses lots, plusieurs offres en agissant à la fois en qualité de candidat individuel et de membre d’un ou plusieurs groupement(s) ou en qualité de membre de plusieurs groupements.</w:t>
      </w:r>
    </w:p>
    <w:p w14:paraId="3807A0F4" w14:textId="77777777" w:rsidR="00D15B52" w:rsidRPr="00D15B52" w:rsidRDefault="00D15B52" w:rsidP="00D15B52"/>
    <w:p w14:paraId="322A5F1D" w14:textId="17B67ABF" w:rsidR="00290C58" w:rsidRDefault="00D15B52" w:rsidP="00D15B52">
      <w:r w:rsidRPr="00D15B52">
        <w:t>Conformément à l’article R. 2142-24 du Code de la commande publique, le mandataire d’un groupement conjoint est solidaire pour l’exécution du marché public, de chacun des membres constitutifs pour ses obligations contractuelles à l’égard de la personne publique.</w:t>
      </w:r>
    </w:p>
    <w:p w14:paraId="1E8FB048" w14:textId="77777777" w:rsidR="00290C58" w:rsidRDefault="00290C58" w:rsidP="00241CE1">
      <w:pPr>
        <w:pStyle w:val="Corpsdetexte"/>
        <w:rPr>
          <w:rFonts w:ascii="Open Sans" w:hAnsi="Open Sans" w:cs="Open Sans"/>
          <w:sz w:val="18"/>
          <w:szCs w:val="18"/>
        </w:rPr>
      </w:pPr>
    </w:p>
    <w:p w14:paraId="09A87875" w14:textId="69A03AD1" w:rsidR="00D15B52" w:rsidRPr="00D15B52" w:rsidRDefault="00D15B52" w:rsidP="00D15B52">
      <w:pPr>
        <w:pStyle w:val="Titre2"/>
      </w:pPr>
      <w:r w:rsidRPr="00D15B52">
        <w:lastRenderedPageBreak/>
        <w:t>Sous-traitance</w:t>
      </w:r>
    </w:p>
    <w:p w14:paraId="1F21C8F8" w14:textId="77777777" w:rsidR="00D15B52" w:rsidRPr="00D15B52" w:rsidRDefault="00D15B52" w:rsidP="00D15B52">
      <w:pPr>
        <w:pStyle w:val="Corpsdetexte"/>
        <w:rPr>
          <w:rFonts w:ascii="Open Sans" w:hAnsi="Open Sans" w:cs="Open Sans"/>
          <w:sz w:val="18"/>
          <w:szCs w:val="18"/>
        </w:rPr>
      </w:pPr>
    </w:p>
    <w:p w14:paraId="6E2788DD" w14:textId="77777777" w:rsidR="00D15B52" w:rsidRPr="00D15B52" w:rsidRDefault="00D15B52" w:rsidP="00D15B52">
      <w:r w:rsidRPr="00D15B52">
        <w:t>Si la déclaration de sous-traitance est réalisée au moment de l’offre :</w:t>
      </w:r>
    </w:p>
    <w:p w14:paraId="7DBA7E04" w14:textId="77777777" w:rsidR="00D15B52" w:rsidRPr="00D15B52" w:rsidRDefault="00D15B52" w:rsidP="00D15B52">
      <w:r w:rsidRPr="00D15B52">
        <w:t>La sous-traitance est autorisée. Elle est régie par les articles R. 2193-1 à R. 2193-22 du Code de la commande publique et par la loi n° 75-1334 du 31 décembre 1975 relative à la sous-traitance.</w:t>
      </w:r>
    </w:p>
    <w:p w14:paraId="768169D8" w14:textId="77777777" w:rsidR="00D15B52" w:rsidRPr="00D15B52" w:rsidRDefault="00D15B52" w:rsidP="00D15B52"/>
    <w:p w14:paraId="5DC67030" w14:textId="77777777" w:rsidR="00D15B52" w:rsidRPr="00D15B52" w:rsidRDefault="00D15B52" w:rsidP="00D15B52">
      <w:r w:rsidRPr="00D15B52">
        <w:t>Néanmoins, au regard des articles L. 2193-1 à L. 2193-3 du Code de la commande publique, le titulaire demeure personnellement responsable de l’exécution de toutes les obligations résultant du marché.</w:t>
      </w:r>
    </w:p>
    <w:p w14:paraId="20CAD0DC" w14:textId="77777777" w:rsidR="00D15B52" w:rsidRPr="00D15B52" w:rsidRDefault="00D15B52" w:rsidP="00D15B52"/>
    <w:p w14:paraId="1FBB3F39" w14:textId="77777777" w:rsidR="00D15B52" w:rsidRPr="00D15B52" w:rsidRDefault="00D15B52" w:rsidP="00D15B52">
      <w:r w:rsidRPr="00D15B52">
        <w:t>Par ailleurs, conformément aux articles ci-dessus et, dans le cas où la demande de sous-traitance intervient au moment du dépôt de l’offre, le candidat doit fournir au pouvoir adjudicateur une déclaration mentionnant :</w:t>
      </w:r>
    </w:p>
    <w:p w14:paraId="6D752321" w14:textId="77777777" w:rsidR="00D15B52" w:rsidRPr="00D15B52" w:rsidRDefault="00D15B52" w:rsidP="00D15B52">
      <w:r w:rsidRPr="00D15B52">
        <w:t>-</w:t>
      </w:r>
      <w:r w:rsidRPr="00D15B52">
        <w:tab/>
        <w:t>La nature des prestations sous-traitées</w:t>
      </w:r>
    </w:p>
    <w:p w14:paraId="41D19662" w14:textId="77777777" w:rsidR="00D15B52" w:rsidRPr="00D15B52" w:rsidRDefault="00D15B52" w:rsidP="00D15B52">
      <w:r w:rsidRPr="00D15B52">
        <w:t>-</w:t>
      </w:r>
      <w:r w:rsidRPr="00D15B52">
        <w:tab/>
        <w:t>Le nom, la raison ou la dénomination sociale et l’adresse du sous-traitant proposé</w:t>
      </w:r>
    </w:p>
    <w:p w14:paraId="20830EF0" w14:textId="77777777" w:rsidR="00D15B52" w:rsidRPr="00D15B52" w:rsidRDefault="00D15B52" w:rsidP="00D15B52">
      <w:r w:rsidRPr="00D15B52">
        <w:t>-</w:t>
      </w:r>
      <w:r w:rsidRPr="00D15B52">
        <w:tab/>
        <w:t>Le montant maximum des sommes à verser au sous-traitant ;</w:t>
      </w:r>
    </w:p>
    <w:p w14:paraId="5EE0BECA" w14:textId="77777777" w:rsidR="00D15B52" w:rsidRPr="00D15B52" w:rsidRDefault="00D15B52" w:rsidP="00D15B52">
      <w:r w:rsidRPr="00D15B52">
        <w:t>-</w:t>
      </w:r>
      <w:r w:rsidRPr="00D15B52">
        <w:tab/>
        <w:t>Les conditions de paiement prévues par le projet de contrat de sous-traitance et, le cas échéant, les modalités de variation des prix ;</w:t>
      </w:r>
    </w:p>
    <w:p w14:paraId="6F042EA9" w14:textId="77777777" w:rsidR="00D15B52" w:rsidRPr="00D15B52" w:rsidRDefault="00D15B52" w:rsidP="00D15B52">
      <w:r w:rsidRPr="00D15B52">
        <w:t>-</w:t>
      </w:r>
      <w:r w:rsidRPr="00D15B52">
        <w:tab/>
        <w:t>Le cas échéant, les capacités du sous-traitant sur lesquels le candidat s’appuie.</w:t>
      </w:r>
    </w:p>
    <w:p w14:paraId="0E7EFD16" w14:textId="77777777" w:rsidR="00D15B52" w:rsidRPr="00D15B52" w:rsidRDefault="00D15B52" w:rsidP="00D15B52"/>
    <w:p w14:paraId="38BFF9DA" w14:textId="77777777" w:rsidR="00D15B52" w:rsidRPr="00D15B52" w:rsidRDefault="00D15B52" w:rsidP="00D15B52">
      <w:r w:rsidRPr="00D15B52">
        <w:t>Chaque demande de sous-traitance doit faire l’objet d’un document DC4 ou équivalent ; les moyens techniques et humains des sous-traitants doivent être présentés.</w:t>
      </w:r>
    </w:p>
    <w:p w14:paraId="37E0F743" w14:textId="77777777" w:rsidR="00D15B52" w:rsidRPr="00D15B52" w:rsidRDefault="00D15B52" w:rsidP="00D15B52"/>
    <w:p w14:paraId="6BFAEE64" w14:textId="32D5A4C5" w:rsidR="00D15B52" w:rsidRPr="00D15B52" w:rsidRDefault="00D15B52" w:rsidP="00D15B52">
      <w:r w:rsidRPr="00D15B52">
        <w:t>L’acceptation des sous-traitants est conditionnée par la production des pièces citées à l’article 6.3.</w:t>
      </w:r>
    </w:p>
    <w:p w14:paraId="14985FCD" w14:textId="77777777" w:rsidR="00D15B52" w:rsidRPr="00D15B52" w:rsidRDefault="00D15B52" w:rsidP="00D15B52"/>
    <w:p w14:paraId="349FFD7C" w14:textId="77777777" w:rsidR="00D15B52" w:rsidRPr="00D15B52" w:rsidRDefault="00D15B52" w:rsidP="00D15B52">
      <w:r w:rsidRPr="00D15B52">
        <w:t>•</w:t>
      </w:r>
      <w:r w:rsidRPr="00D15B52">
        <w:tab/>
        <w:t>Si la déclaration de sous-traitance est réalisée après la notification du marché :</w:t>
      </w:r>
    </w:p>
    <w:p w14:paraId="78CC58DB" w14:textId="77777777" w:rsidR="00D15B52" w:rsidRPr="00D15B52" w:rsidRDefault="00D15B52" w:rsidP="00D15B52">
      <w:r w:rsidRPr="00D15B52">
        <w:t>Dans le cas où la déclaration de sous-traitance intervient après la notification du marché public, le titulaire remet à l'acheteur contre récépissé ou lui adresse par lettre recommandée avec demande d'avis de réception, un acte spécial de sous-traitance contenant les renseignements mentionnés à l'article R. 2193-1 du Code de la commande publique.</w:t>
      </w:r>
    </w:p>
    <w:p w14:paraId="5279CF74" w14:textId="77777777" w:rsidR="00D15B52" w:rsidRPr="00D15B52" w:rsidRDefault="00D15B52" w:rsidP="00D15B52"/>
    <w:p w14:paraId="261885C2" w14:textId="77777777" w:rsidR="00D15B52" w:rsidRPr="00D15B52" w:rsidRDefault="00D15B52" w:rsidP="00D15B52">
      <w:r w:rsidRPr="00D15B52">
        <w:t>Le titulaire établit en outre qu'aucune cession ni aucun nantissement de créances résultant du marché ne font obstacle au paiement direct du sous-traitant, en produisant, lorsque les dispositions du chapitre Ier du présent titre s'appliquent, soit l'exemplaire unique ou le certificat de cessibilité du marché qui lui a été délivré, soit une attestation ou une mainlevée du bénéficiaire de la cession ou du nantissement de créances.</w:t>
      </w:r>
    </w:p>
    <w:p w14:paraId="15D03D8B" w14:textId="77777777" w:rsidR="00D15B52" w:rsidRPr="00D15B52" w:rsidRDefault="00D15B52" w:rsidP="00D15B52"/>
    <w:p w14:paraId="70D5BDB5" w14:textId="77777777" w:rsidR="00D15B52" w:rsidRPr="00D15B52" w:rsidRDefault="00D15B52" w:rsidP="00D15B52">
      <w:r w:rsidRPr="00D15B52">
        <w:t>L'acceptation du sous-traitant et l'agrément des conditions de paiement sont constatés par la signature de l'acte spécial de sous-traitance. Le silence de l'acheteur gardé pendant vingt-et-un jours à compter de la réception des documents mentionnés à l'article R. 2193-3 du Code de la commande publique vaut également acceptation du sous-traitant et agrément des conditions de paiement.</w:t>
      </w:r>
    </w:p>
    <w:p w14:paraId="52DBBC25" w14:textId="77777777" w:rsidR="00D15B52" w:rsidRPr="00D15B52" w:rsidRDefault="00D15B52" w:rsidP="00D15B52"/>
    <w:p w14:paraId="096A7E58" w14:textId="52CDA6CA" w:rsidR="00290C58" w:rsidRDefault="00D15B52" w:rsidP="00D15B52">
      <w:r w:rsidRPr="00D15B52">
        <w:t>Dans les deux cas, les règles d’exclusion lors de l’attribution des lots énoncées ci-dessous ne sont pas applicables dans le cadre de la sous-traitance.</w:t>
      </w:r>
    </w:p>
    <w:p w14:paraId="6C0E9E6A" w14:textId="42FD5DC2" w:rsidR="00290C58" w:rsidRDefault="00290C58" w:rsidP="00241CE1">
      <w:pPr>
        <w:pStyle w:val="Corpsdetexte"/>
        <w:rPr>
          <w:rFonts w:ascii="Open Sans" w:hAnsi="Open Sans" w:cs="Open Sans"/>
          <w:i w:val="0"/>
          <w:sz w:val="18"/>
          <w:szCs w:val="18"/>
        </w:rPr>
      </w:pPr>
    </w:p>
    <w:p w14:paraId="0D02C2A8" w14:textId="0B2DD258" w:rsidR="00D15B52" w:rsidRPr="006E5758" w:rsidRDefault="00D15B52" w:rsidP="00D15B52">
      <w:pPr>
        <w:pStyle w:val="Titre1"/>
      </w:pPr>
      <w:r>
        <w:t>OFFRE</w:t>
      </w:r>
    </w:p>
    <w:p w14:paraId="2FDACABE" w14:textId="77EB28A5" w:rsidR="00086140" w:rsidRDefault="00086140" w:rsidP="009F1897">
      <w:pPr>
        <w:pStyle w:val="Corpsdetexte"/>
        <w:rPr>
          <w:rFonts w:ascii="Open Sans" w:hAnsi="Open Sans" w:cs="Open Sans"/>
          <w:i w:val="0"/>
        </w:rPr>
      </w:pPr>
    </w:p>
    <w:p w14:paraId="1383485E" w14:textId="7917C17E" w:rsidR="00D15B52" w:rsidRDefault="00D15B52" w:rsidP="00D15B52">
      <w:pPr>
        <w:pStyle w:val="Titre2"/>
      </w:pPr>
      <w:r>
        <w:t xml:space="preserve">Présentation de l’offre </w:t>
      </w:r>
    </w:p>
    <w:p w14:paraId="1F66E56D" w14:textId="497C5ABE" w:rsidR="00D15B52" w:rsidRDefault="00D15B52" w:rsidP="009F1897">
      <w:pPr>
        <w:pStyle w:val="Corpsdetexte"/>
        <w:rPr>
          <w:rFonts w:ascii="Open Sans" w:hAnsi="Open Sans" w:cs="Open Sans"/>
          <w:i w:val="0"/>
        </w:rPr>
      </w:pPr>
    </w:p>
    <w:p w14:paraId="77EC2A17" w14:textId="77777777" w:rsidR="00D15B52" w:rsidRDefault="00D15B52" w:rsidP="00D15B52">
      <w:r w:rsidRPr="00EA46F1">
        <w:t>Chaque candidat formule son offre en produisant :</w:t>
      </w:r>
    </w:p>
    <w:p w14:paraId="3A179FCE" w14:textId="77777777" w:rsidR="00D15B52" w:rsidRPr="00EA46F1" w:rsidRDefault="00D15B52" w:rsidP="00D15B52">
      <w:r w:rsidRPr="00EA46F1">
        <w:rPr>
          <w:noProof/>
        </w:rPr>
        <mc:AlternateContent>
          <mc:Choice Requires="wps">
            <w:drawing>
              <wp:anchor distT="0" distB="0" distL="114297" distR="114297" simplePos="0" relativeHeight="251675136" behindDoc="0" locked="0" layoutInCell="1" allowOverlap="1" wp14:anchorId="33702629" wp14:editId="7074D473">
                <wp:simplePos x="0" y="0"/>
                <wp:positionH relativeFrom="column">
                  <wp:posOffset>6200139</wp:posOffset>
                </wp:positionH>
                <wp:positionV relativeFrom="paragraph">
                  <wp:posOffset>126365</wp:posOffset>
                </wp:positionV>
                <wp:extent cx="0" cy="2305685"/>
                <wp:effectExtent l="0" t="0" r="0" b="0"/>
                <wp:wrapNone/>
                <wp:docPr id="2"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056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Lst>
                      </wps:spPr>
                      <wps:bodyPr/>
                    </wps:wsp>
                  </a:graphicData>
                </a:graphic>
                <wp14:sizeRelH relativeFrom="page">
                  <wp14:pctWidth>0</wp14:pctWidth>
                </wp14:sizeRelH>
                <wp14:sizeRelV relativeFrom="page">
                  <wp14:pctHeight>0</wp14:pctHeight>
                </wp14:sizeRelV>
              </wp:anchor>
            </w:drawing>
          </mc:Choice>
          <mc:Fallback>
            <w:pict>
              <v:line w14:anchorId="064BDF09" id="Line 27" o:spid="_x0000_s1026" style="position:absolute;z-index:251675136;visibility:visible;mso-wrap-style:square;mso-width-percent:0;mso-height-percent:0;mso-wrap-distance-left:3.17492mm;mso-wrap-distance-top:0;mso-wrap-distance-right:3.17492mm;mso-wrap-distance-bottom:0;mso-position-horizontal:absolute;mso-position-horizontal-relative:text;mso-position-vertical:absolute;mso-position-vertical-relative:text;mso-width-percent:0;mso-height-percent:0;mso-width-relative:page;mso-height-relative:page" from="488.2pt,9.95pt" to="488.2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" stroked="f"/>
            </w:pict>
          </mc:Fallback>
        </mc:AlternateContent>
      </w:r>
    </w:p>
    <w:p w14:paraId="375A6798" w14:textId="77777777" w:rsidR="00D15B52" w:rsidRPr="00D15B52" w:rsidRDefault="00D15B52" w:rsidP="009D155F">
      <w:pPr>
        <w:pStyle w:val="Paragraphedeliste"/>
        <w:widowControl w:val="0"/>
        <w:numPr>
          <w:ilvl w:val="0"/>
          <w:numId w:val="8"/>
        </w:numPr>
        <w:autoSpaceDE w:val="0"/>
        <w:autoSpaceDN w:val="0"/>
        <w:adjustRightInd w:val="0"/>
        <w:rPr>
          <w:rFonts w:asciiTheme="minorHAnsi" w:hAnsiTheme="minorHAnsi"/>
          <w:iCs/>
          <w:sz w:val="22"/>
        </w:rPr>
      </w:pPr>
      <w:r w:rsidRPr="00D15B52">
        <w:rPr>
          <w:rFonts w:asciiTheme="minorHAnsi" w:hAnsiTheme="minorHAnsi"/>
          <w:iCs/>
          <w:sz w:val="22"/>
        </w:rPr>
        <w:t>L’acte d’engagement complété et signé par une personne habilitée à engager la société ou chaque membre du groupement (partie B de l’acte d’engagement et en cas de groupement, la partie E) ;</w:t>
      </w:r>
    </w:p>
    <w:p w14:paraId="2245102E" w14:textId="77777777" w:rsidR="00D15B52" w:rsidRPr="00EA46F1" w:rsidRDefault="00D15B52" w:rsidP="00D15B52">
      <w:pPr>
        <w:rPr>
          <w:iCs/>
        </w:rPr>
      </w:pPr>
    </w:p>
    <w:p w14:paraId="4E8A8602" w14:textId="002EE195" w:rsidR="00D15B52" w:rsidRPr="00D15B52" w:rsidRDefault="00D15B52" w:rsidP="009D155F">
      <w:pPr>
        <w:pStyle w:val="Paragraphedeliste"/>
        <w:numPr>
          <w:ilvl w:val="0"/>
          <w:numId w:val="8"/>
        </w:numPr>
        <w:rPr>
          <w:iCs/>
        </w:rPr>
      </w:pPr>
      <w:r w:rsidRPr="00D15B52">
        <w:rPr>
          <w:iCs/>
        </w:rPr>
        <w:t>Le cadre de réponse financier (CRDF) dûment complété et signé. Le candidat est tenu de respecter la présentation des grilles tarifaires définies par l’administration. Tout ajout ou suppression peut entraîner l’élimination du candidat</w:t>
      </w:r>
      <w:r w:rsidRPr="004469DC">
        <w:t xml:space="preserve"> </w:t>
      </w:r>
    </w:p>
    <w:p w14:paraId="3343D7A4" w14:textId="77777777" w:rsidR="00D15B52" w:rsidRPr="004469DC" w:rsidRDefault="00D15B52" w:rsidP="00D15B52">
      <w:pPr>
        <w:rPr>
          <w:iCs/>
        </w:rPr>
      </w:pPr>
      <w:r w:rsidRPr="004469DC">
        <w:rPr>
          <w:iCs/>
        </w:rPr>
        <w:lastRenderedPageBreak/>
        <w:t>Le candidat est tenu de répondre à la totalité des prestations ou des articles désigné(e)s dans le lot</w:t>
      </w:r>
      <w:r>
        <w:rPr>
          <w:iCs/>
        </w:rPr>
        <w:t>.</w:t>
      </w:r>
    </w:p>
    <w:p w14:paraId="4CB46B0B" w14:textId="77777777" w:rsidR="00D15B52" w:rsidRPr="00EA46F1" w:rsidRDefault="00D15B52" w:rsidP="00D15B52">
      <w:pPr>
        <w:rPr>
          <w:iCs/>
        </w:rPr>
      </w:pPr>
    </w:p>
    <w:p w14:paraId="5B4D82BF" w14:textId="4B6FC144" w:rsidR="00D15B52" w:rsidRDefault="00D15B52" w:rsidP="009D155F">
      <w:pPr>
        <w:pStyle w:val="Paragraphedeliste"/>
        <w:numPr>
          <w:ilvl w:val="0"/>
          <w:numId w:val="9"/>
        </w:numPr>
        <w:rPr>
          <w:iCs/>
        </w:rPr>
      </w:pPr>
      <w:r w:rsidRPr="00D15B52">
        <w:rPr>
          <w:iCs/>
        </w:rPr>
        <w:t xml:space="preserve">Le cadre de réponse technique dûment renseigné et signé (CDRT) </w:t>
      </w:r>
    </w:p>
    <w:p w14:paraId="7BD060BC" w14:textId="17531F5B" w:rsidR="00D15B52" w:rsidRPr="009304B4" w:rsidRDefault="00D15B52" w:rsidP="009304B4">
      <w:pPr>
        <w:rPr>
          <w:iCs/>
        </w:rPr>
      </w:pPr>
    </w:p>
    <w:p w14:paraId="041C0E27" w14:textId="77777777" w:rsidR="00D15B52" w:rsidRPr="00EA46F1" w:rsidRDefault="00D15B52" w:rsidP="00D15B52">
      <w:pPr>
        <w:rPr>
          <w:iCs/>
        </w:rPr>
      </w:pPr>
      <w:r w:rsidRPr="00EA46F1">
        <w:rPr>
          <w:iCs/>
        </w:rPr>
        <w:t>En complément, le soumissionnaire peut compléter ses réponses, par tout document (mémoire) et/ou justificatif joint(s) sur un format libre.</w:t>
      </w:r>
    </w:p>
    <w:p w14:paraId="43579967" w14:textId="77777777" w:rsidR="00D15B52" w:rsidRPr="00EA46F1" w:rsidRDefault="00D15B52" w:rsidP="00D15B52">
      <w:pPr>
        <w:rPr>
          <w:iCs/>
        </w:rPr>
      </w:pPr>
      <w:r w:rsidRPr="00EA46F1">
        <w:rPr>
          <w:iCs/>
        </w:rPr>
        <w:t>Le soumissionnaire doit préciser explicitement où les</w:t>
      </w:r>
      <w:r>
        <w:rPr>
          <w:iCs/>
        </w:rPr>
        <w:t xml:space="preserve"> éléments de réponse se situent.</w:t>
      </w:r>
    </w:p>
    <w:p w14:paraId="12A4D6D8" w14:textId="77777777" w:rsidR="00D15B52" w:rsidRPr="00EA46F1" w:rsidRDefault="00D15B52" w:rsidP="00D15B52"/>
    <w:p w14:paraId="58D2C873" w14:textId="77777777" w:rsidR="00D15B52" w:rsidRPr="00EA46F1" w:rsidRDefault="00D15B52" w:rsidP="00D15B52">
      <w:r w:rsidRPr="00EA46F1">
        <w:t>La signature des documents ci-dessus est souhaitée dès le dépôt des plis, cependant l’absence ou l’invalidité de la signature constatée lors de l’ouverture des plis n’est pas éliminatoire. En tout état de cause, le candidat demeure engagé par son offre.</w:t>
      </w:r>
    </w:p>
    <w:p w14:paraId="2960D585" w14:textId="77777777" w:rsidR="00D15B52" w:rsidRPr="00BC5C65" w:rsidRDefault="00D15B52" w:rsidP="00D15B52">
      <w:pPr>
        <w:rPr>
          <w:rFonts w:ascii="Arial" w:hAnsi="Arial" w:cs="Arial"/>
          <w:szCs w:val="20"/>
        </w:rPr>
      </w:pPr>
    </w:p>
    <w:p w14:paraId="02EC1ED2" w14:textId="77777777" w:rsidR="00D15B52" w:rsidRPr="00BC5C65" w:rsidRDefault="00D15B52" w:rsidP="00D15B52">
      <w:r w:rsidRPr="00BC5C65">
        <w:t>Dans le cas de groupement autorisé de candidats (voir art</w:t>
      </w:r>
      <w:r>
        <w:t>icle 5.</w:t>
      </w:r>
      <w:r w:rsidRPr="00E70663">
        <w:t>1),</w:t>
      </w:r>
      <w:r w:rsidRPr="00BC5C65">
        <w:t xml:space="preserve"> l’acte d’engagement ainsi que les annexes financières devront être signés électroniquement soit par le mandataire expressément désigné et tous les membres soit par le mandataire du groupement, s’il justifie des habilitations nécessaires pour représenter ces entreprises.</w:t>
      </w:r>
    </w:p>
    <w:p w14:paraId="3767070D" w14:textId="77777777" w:rsidR="00D15B52" w:rsidRPr="00BC5C65" w:rsidRDefault="00D15B52" w:rsidP="00D15B52"/>
    <w:p w14:paraId="06865060" w14:textId="77777777" w:rsidR="00D15B52" w:rsidRPr="00BC5C65" w:rsidRDefault="00D15B52" w:rsidP="00D15B52">
      <w:r w:rsidRPr="00BC5C65">
        <w:t>-</w:t>
      </w:r>
      <w:r w:rsidRPr="00BC5C65">
        <w:tab/>
        <w:t>Le cadre de réponse financier (CRDF) dûment complété et signé;</w:t>
      </w:r>
    </w:p>
    <w:p w14:paraId="69C62466" w14:textId="77777777" w:rsidR="00D15B52" w:rsidRPr="00BC5C65" w:rsidRDefault="00D15B52" w:rsidP="00D15B52">
      <w:r w:rsidRPr="00BC5C65">
        <w:t>-</w:t>
      </w:r>
      <w:r w:rsidRPr="00BC5C65">
        <w:tab/>
        <w:t xml:space="preserve">Le cadre de réponse technique (CDRT) dûment renseigné et signé </w:t>
      </w:r>
    </w:p>
    <w:p w14:paraId="716F5FBA" w14:textId="77777777" w:rsidR="00D15B52" w:rsidRPr="00BC5C65" w:rsidRDefault="00D15B52" w:rsidP="00D15B52"/>
    <w:p w14:paraId="58B85A61" w14:textId="5037D2D3" w:rsidR="00D15B52" w:rsidRDefault="00D15B52" w:rsidP="00D15B52">
      <w:r w:rsidRPr="00BC5C65">
        <w:t>La production des documents listés ci-dessus dûment complétés conditionne la validité de l’offre.</w:t>
      </w:r>
    </w:p>
    <w:p w14:paraId="089FB648" w14:textId="7220A286" w:rsidR="00D15B52" w:rsidRDefault="00D15B52" w:rsidP="00D15B52"/>
    <w:p w14:paraId="6D816728" w14:textId="77777777" w:rsidR="00D15B52" w:rsidRPr="00BC5C65" w:rsidRDefault="00D15B52" w:rsidP="00D15B52">
      <w:pPr>
        <w:pStyle w:val="Titre2"/>
      </w:pPr>
      <w:bookmarkStart w:id="12" w:name="_Toc157007533"/>
      <w:bookmarkStart w:id="13" w:name="_Toc159251332"/>
      <w:r w:rsidRPr="00BC5C65">
        <w:t>Documents complémentaires souhaités par l’AP-HP</w:t>
      </w:r>
      <w:bookmarkEnd w:id="12"/>
      <w:bookmarkEnd w:id="13"/>
    </w:p>
    <w:p w14:paraId="185F682A" w14:textId="77777777" w:rsidR="00D15B52" w:rsidRPr="00BC5C65" w:rsidRDefault="00D15B52" w:rsidP="00D15B52">
      <w:pPr>
        <w:rPr>
          <w:rFonts w:ascii="Arial" w:hAnsi="Arial" w:cs="Arial"/>
          <w:szCs w:val="20"/>
        </w:rPr>
      </w:pPr>
    </w:p>
    <w:p w14:paraId="1F2BC5D6" w14:textId="7B6EB326" w:rsidR="00D15B52" w:rsidRPr="00BC5C65" w:rsidRDefault="00D15B52" w:rsidP="00D15B52">
      <w:r>
        <w:t>1) U</w:t>
      </w:r>
      <w:r w:rsidRPr="00BC5C65">
        <w:t xml:space="preserve">n RIB. </w:t>
      </w:r>
    </w:p>
    <w:p w14:paraId="6D516D85" w14:textId="77777777" w:rsidR="00D15B52" w:rsidRPr="00BC5C65" w:rsidRDefault="00D15B52" w:rsidP="00D15B52"/>
    <w:p w14:paraId="67E36BCB" w14:textId="745BEB5C" w:rsidR="00D15B52" w:rsidRPr="00BC5C65" w:rsidRDefault="00D15B52" w:rsidP="00D15B52">
      <w:r w:rsidRPr="00BC5C65">
        <w:t>2)</w:t>
      </w:r>
      <w:r>
        <w:t xml:space="preserve"> U</w:t>
      </w:r>
      <w:r w:rsidRPr="00BC5C65">
        <w:t>ne facture vierge (les Conditions Générales de Ventes sont systématiquement nulles et non avenues).</w:t>
      </w:r>
    </w:p>
    <w:p w14:paraId="1AAB3AEB" w14:textId="77777777" w:rsidR="00D15B52" w:rsidRPr="00BC5C65" w:rsidRDefault="00D15B52" w:rsidP="00D15B52"/>
    <w:p w14:paraId="35FFF9A0" w14:textId="652D97E3" w:rsidR="00D15B52" w:rsidRPr="00BC5C65" w:rsidRDefault="00D15B52" w:rsidP="00D15B52">
      <w:r w:rsidRPr="00BC5C65">
        <w:t>3)</w:t>
      </w:r>
      <w:r>
        <w:t xml:space="preserve"> L</w:t>
      </w:r>
      <w:r w:rsidRPr="00BC5C65">
        <w:t>e Manuel Qualité, si la société est certifiée selon la Norme ISO 9001.</w:t>
      </w:r>
    </w:p>
    <w:p w14:paraId="38184811" w14:textId="77777777" w:rsidR="00D15B52" w:rsidRPr="00BC5C65" w:rsidRDefault="00D15B52" w:rsidP="00D15B52"/>
    <w:p w14:paraId="16917EF5" w14:textId="3B014EFB" w:rsidR="00D15B52" w:rsidRPr="00BC5C65" w:rsidRDefault="00D15B52" w:rsidP="00D15B52">
      <w:r w:rsidRPr="00BC5C65">
        <w:t>4)</w:t>
      </w:r>
      <w:r>
        <w:t xml:space="preserve"> </w:t>
      </w:r>
      <w:r w:rsidRPr="00BC5C65">
        <w:t>Imprimé DC 4 ou équivalent, en cas de sous-traitance, date et signature électroniques obligatoires.</w:t>
      </w:r>
    </w:p>
    <w:p w14:paraId="6907DBA0" w14:textId="77777777" w:rsidR="00D15B52" w:rsidRPr="00BC5C65" w:rsidRDefault="00D15B52" w:rsidP="00D15B52"/>
    <w:p w14:paraId="42B20430" w14:textId="287A16D0" w:rsidR="00D15B52" w:rsidRDefault="00D15B52" w:rsidP="009F1897">
      <w:pPr>
        <w:pStyle w:val="Corpsdetexte"/>
        <w:rPr>
          <w:rFonts w:ascii="Open Sans" w:hAnsi="Open Sans" w:cs="Open Sans"/>
          <w:i w:val="0"/>
        </w:rPr>
      </w:pPr>
    </w:p>
    <w:p w14:paraId="544536DE" w14:textId="77777777" w:rsidR="00D15B52" w:rsidRPr="00BC5C65" w:rsidRDefault="00D15B52" w:rsidP="00D15B52">
      <w:pPr>
        <w:pStyle w:val="Titre2"/>
      </w:pPr>
      <w:bookmarkStart w:id="14" w:name="_Toc157007534"/>
      <w:bookmarkStart w:id="15" w:name="_Toc159251333"/>
      <w:r w:rsidRPr="00BC5C65">
        <w:t>Constitution du dossier de candidature</w:t>
      </w:r>
      <w:bookmarkEnd w:id="14"/>
      <w:bookmarkEnd w:id="15"/>
      <w:r w:rsidRPr="00BC5C65">
        <w:t> </w:t>
      </w:r>
    </w:p>
    <w:p w14:paraId="7E56D1C3" w14:textId="77777777" w:rsidR="00D15B52" w:rsidRPr="00BC5C65" w:rsidRDefault="00D15B52" w:rsidP="00D15B52">
      <w:pPr>
        <w:rPr>
          <w:rFonts w:ascii="Arial" w:hAnsi="Arial" w:cs="Arial"/>
          <w:szCs w:val="20"/>
        </w:rPr>
      </w:pPr>
    </w:p>
    <w:p w14:paraId="63BA345A" w14:textId="57DE5FD0" w:rsidR="00D15B52" w:rsidRDefault="00D15B52" w:rsidP="00D15B52">
      <w:r w:rsidRPr="00BC5C65">
        <w:t>En application de l’article R. 2143-3 du Code de la commande publique, le candidat prod</w:t>
      </w:r>
      <w:r>
        <w:t>uit à l’appui de sa candidature</w:t>
      </w:r>
      <w:r w:rsidRPr="00BC5C65">
        <w:t xml:space="preserve"> : </w:t>
      </w:r>
    </w:p>
    <w:p w14:paraId="79774D1D" w14:textId="77777777" w:rsidR="00D15B52" w:rsidRPr="00BC5C65" w:rsidRDefault="00D15B52" w:rsidP="00D15B52"/>
    <w:p w14:paraId="70D64B5E" w14:textId="77777777" w:rsidR="00D15B52" w:rsidRPr="00BC5C65" w:rsidRDefault="00D15B52" w:rsidP="00D15B52">
      <w:r w:rsidRPr="00BC5C65">
        <w:t>1° Le formulaire DC1</w:t>
      </w:r>
      <w:r>
        <w:t>*</w:t>
      </w:r>
      <w:r w:rsidRPr="00BC5C65">
        <w:t xml:space="preserve"> ou équivalent daté. </w:t>
      </w:r>
    </w:p>
    <w:p w14:paraId="68163C79" w14:textId="77777777" w:rsidR="00D15B52" w:rsidRDefault="00D15B52" w:rsidP="00D15B52"/>
    <w:p w14:paraId="381ADA61" w14:textId="77777777" w:rsidR="00D15B52" w:rsidRPr="00BC5C65" w:rsidRDefault="00D15B52" w:rsidP="00D15B52">
      <w:r w:rsidRPr="00BC5C65">
        <w:t xml:space="preserve">OU Une déclaration sur l’honneur pour justifier qu’il n’entre dans aucun des cas mentionnés à l’article R. 2141-1 à L. 2141-5 et L. 2141-7 à L. 2141-11 du Code de la commande publique et notamment qu’il est en règle au regard des articles L. 5212-1 à L. 5212-11 du Code du travail concernant l’emploi des travailleurs handicapés ; </w:t>
      </w:r>
    </w:p>
    <w:p w14:paraId="79388EB5" w14:textId="77777777" w:rsidR="00D15B52" w:rsidRPr="00BC5C65" w:rsidRDefault="00D15B52" w:rsidP="00D15B52"/>
    <w:p w14:paraId="09C79CEF" w14:textId="77777777" w:rsidR="00D15B52" w:rsidRPr="00E02EE0" w:rsidRDefault="00D15B52" w:rsidP="00D15B52">
      <w:r w:rsidRPr="00BC5C65">
        <w:t>2°</w:t>
      </w:r>
      <w:r>
        <w:t xml:space="preserve"> </w:t>
      </w:r>
      <w:r w:rsidRPr="00E02EE0">
        <w:t>Le formulaire DC2</w:t>
      </w:r>
      <w:r>
        <w:t xml:space="preserve">* permet à l’AP-HP </w:t>
      </w:r>
      <w:r w:rsidRPr="00E02EE0">
        <w:t xml:space="preserve">d’évaluer les capacités professionnelles, techniques et </w:t>
      </w:r>
      <w:r>
        <w:t>financières</w:t>
      </w:r>
      <w:r w:rsidRPr="00E02EE0">
        <w:t xml:space="preserve"> du candidat dans le domaine concerné par le marché. Ce formulaire peut être complété de </w:t>
      </w:r>
      <w:r>
        <w:t>la</w:t>
      </w:r>
      <w:r w:rsidRPr="00E02EE0">
        <w:t xml:space="preserve"> « grille d’appréciation des critères de </w:t>
      </w:r>
      <w:r>
        <w:t>candidature » jointe en annexe 3</w:t>
      </w:r>
      <w:r w:rsidRPr="00E02EE0">
        <w:t xml:space="preserve"> du présent règlement de consultation.</w:t>
      </w:r>
    </w:p>
    <w:p w14:paraId="49DC34F2" w14:textId="77777777" w:rsidR="00D15B52" w:rsidRDefault="00D15B52" w:rsidP="00D15B52">
      <w:pPr>
        <w:widowControl w:val="0"/>
        <w:autoSpaceDE w:val="0"/>
        <w:autoSpaceDN w:val="0"/>
        <w:adjustRightInd w:val="0"/>
        <w:rPr>
          <w:rFonts w:ascii="Arial" w:hAnsi="Arial" w:cs="Arial"/>
          <w:szCs w:val="20"/>
        </w:rPr>
      </w:pPr>
    </w:p>
    <w:p w14:paraId="1FE803A1" w14:textId="77777777" w:rsidR="00D15B52" w:rsidRPr="00E02EE0" w:rsidRDefault="00D15B52" w:rsidP="00D15B52">
      <w:r w:rsidRPr="00E02EE0">
        <w:t>Concernant l’aptitude professionnelle (rubriques E1 à E3 du formulaire DC2) :</w:t>
      </w:r>
    </w:p>
    <w:p w14:paraId="22DFF78E" w14:textId="77777777" w:rsidR="00D15B52" w:rsidRDefault="00D15B52" w:rsidP="00D15B52"/>
    <w:p w14:paraId="0528C1AE" w14:textId="77777777" w:rsidR="00D15B52" w:rsidRPr="00E02EE0" w:rsidRDefault="00D15B52" w:rsidP="00D15B52">
      <w:r w:rsidRPr="00E02EE0">
        <w:t>Le candidat donne toutes les informations permettant de justifier de s</w:t>
      </w:r>
      <w:r>
        <w:t xml:space="preserve">on aptitude professionnelle et </w:t>
      </w:r>
      <w:r w:rsidRPr="00E02EE0">
        <w:t>notamment :</w:t>
      </w:r>
    </w:p>
    <w:p w14:paraId="079AE171" w14:textId="77777777" w:rsidR="00D15B52" w:rsidRPr="00E02EE0" w:rsidRDefault="00D15B52" w:rsidP="00D15B52">
      <w:r w:rsidRPr="00E02EE0">
        <w:t>Les renseignements relatifs à son enregistrement sur un registre professionnel ;</w:t>
      </w:r>
    </w:p>
    <w:p w14:paraId="5BC76C7D" w14:textId="77777777" w:rsidR="00D15B52" w:rsidRPr="00E02EE0" w:rsidRDefault="00D15B52" w:rsidP="00D15B52"/>
    <w:p w14:paraId="0C99D958" w14:textId="77777777" w:rsidR="00D15B52" w:rsidRDefault="00D15B52" w:rsidP="00D15B52">
      <w:r w:rsidRPr="00E02EE0">
        <w:t>Concernant les capacités techniques et professionnelles (rubriques G1 et G2 du formulaire DC2) :</w:t>
      </w:r>
    </w:p>
    <w:p w14:paraId="0533C7F5" w14:textId="77777777" w:rsidR="00D15B52" w:rsidRPr="00E02EE0" w:rsidRDefault="00D15B52" w:rsidP="00D15B52"/>
    <w:p w14:paraId="2E8AC451" w14:textId="77777777" w:rsidR="00D15B52" w:rsidRPr="00E02EE0" w:rsidRDefault="00D15B52" w:rsidP="00D15B52">
      <w:r w:rsidRPr="00E02EE0">
        <w:lastRenderedPageBreak/>
        <w:t>Le candidat donne toutes les informations permettant de justifier de</w:t>
      </w:r>
      <w:r>
        <w:t xml:space="preserve"> sa compétence dans le domaine objet</w:t>
      </w:r>
      <w:r w:rsidRPr="00E02EE0">
        <w:t xml:space="preserve"> du marché, notamment et sans que cette liste soit exhaustive :</w:t>
      </w:r>
    </w:p>
    <w:p w14:paraId="1C9A27C0" w14:textId="77777777" w:rsidR="00D15B52" w:rsidRPr="00E02EE0" w:rsidRDefault="00D15B52" w:rsidP="00D15B52">
      <w:r w:rsidRPr="00E02EE0">
        <w:t>Une présentation des moyens humains dans le domaine concerné par le marché.</w:t>
      </w:r>
    </w:p>
    <w:p w14:paraId="60F3BFCC" w14:textId="77777777" w:rsidR="00D15B52" w:rsidRPr="00E02EE0" w:rsidRDefault="00D15B52" w:rsidP="00D15B52">
      <w:r w:rsidRPr="00E02EE0">
        <w:t xml:space="preserve">Un dossier de références de prestations comparables au marché qui met en évidence l’expérience du candidat sur les marchés de même type, au titre des trois (3) dernières années. </w:t>
      </w:r>
    </w:p>
    <w:p w14:paraId="0211E728" w14:textId="77777777" w:rsidR="00D15B52" w:rsidRPr="00E02EE0" w:rsidRDefault="00D15B52" w:rsidP="00D15B52">
      <w:r w:rsidRPr="00E02EE0">
        <w:t>Ce dossier de références mentionne pour chacun des marchés référencés :</w:t>
      </w:r>
    </w:p>
    <w:p w14:paraId="03DD882E" w14:textId="77777777" w:rsidR="00D15B52" w:rsidRPr="00E02EE0" w:rsidRDefault="00D15B52" w:rsidP="00D15B52">
      <w:r w:rsidRPr="00E02EE0">
        <w:t>La date de notification et la durée du marché ou du contrat ;</w:t>
      </w:r>
    </w:p>
    <w:p w14:paraId="64BE0B5A" w14:textId="77777777" w:rsidR="00D15B52" w:rsidRPr="00E02EE0" w:rsidRDefault="00D15B52" w:rsidP="00D15B52">
      <w:r w:rsidRPr="00E02EE0">
        <w:t>L’objet du marché ou du contrat ;</w:t>
      </w:r>
    </w:p>
    <w:p w14:paraId="69C666D5" w14:textId="77777777" w:rsidR="00D15B52" w:rsidRPr="00E02EE0" w:rsidRDefault="00D15B52" w:rsidP="00D15B52">
      <w:r w:rsidRPr="00E02EE0">
        <w:t>Une description des prestations réalisées ;</w:t>
      </w:r>
    </w:p>
    <w:p w14:paraId="7B63E08D" w14:textId="77777777" w:rsidR="00D15B52" w:rsidRPr="00E02EE0" w:rsidRDefault="00D15B52" w:rsidP="00D15B52">
      <w:r w:rsidRPr="00E02EE0">
        <w:t>Le montant ou les données quantitatives du marché sur sa durée totale ;</w:t>
      </w:r>
    </w:p>
    <w:p w14:paraId="41AA85FF" w14:textId="77777777" w:rsidR="00D15B52" w:rsidRPr="00E02EE0" w:rsidRDefault="00D15B52" w:rsidP="00D15B52">
      <w:r w:rsidRPr="00E02EE0">
        <w:t>La désignation des clients (noms et adresses) ainsi que les coordonnées des personnes pouvant être contactées.</w:t>
      </w:r>
    </w:p>
    <w:p w14:paraId="45E35C61" w14:textId="77777777" w:rsidR="00D15B52" w:rsidRPr="00E02EE0" w:rsidRDefault="00D15B52" w:rsidP="00D15B52">
      <w:r w:rsidRPr="00E02EE0">
        <w:t>Le cas échéant, les certifications obtenues ou démarche qualité interne ;</w:t>
      </w:r>
    </w:p>
    <w:p w14:paraId="3E5BDFC9" w14:textId="77777777" w:rsidR="00D15B52" w:rsidRPr="00E02EE0" w:rsidRDefault="00D15B52" w:rsidP="00D15B52">
      <w:r w:rsidRPr="00E02EE0">
        <w:t>Toute autre information que le candidat estime de nature à appuyer sa candidature.</w:t>
      </w:r>
    </w:p>
    <w:p w14:paraId="65A50719" w14:textId="77777777" w:rsidR="00D15B52" w:rsidRDefault="00D15B52" w:rsidP="00D15B52"/>
    <w:p w14:paraId="070E2533" w14:textId="77777777" w:rsidR="00D15B52" w:rsidRPr="00E02EE0" w:rsidRDefault="00D15B52" w:rsidP="00D15B52">
      <w:r w:rsidRPr="00E02EE0">
        <w:t>Concernant les capacités financières (rubriques F1 à F4 du formulaire DC2) :</w:t>
      </w:r>
    </w:p>
    <w:p w14:paraId="44B5C435" w14:textId="77777777" w:rsidR="00D15B52" w:rsidRPr="00E02EE0" w:rsidRDefault="00D15B52" w:rsidP="00D15B52">
      <w:r w:rsidRPr="00E02EE0">
        <w:t>Le candidat donne toutes les informations permettant de justifier de :</w:t>
      </w:r>
    </w:p>
    <w:p w14:paraId="0C350551" w14:textId="77777777" w:rsidR="00D15B52" w:rsidRDefault="00D15B52" w:rsidP="00D15B52">
      <w:r w:rsidRPr="00E02EE0">
        <w:t>- son chiffre d’affaires annuel global sur le dernier exercice disponible (il s’agit du chiffre d’affaires de l’entreprise candidate et non celui du groupe ou de la société mère).</w:t>
      </w:r>
      <w:r w:rsidRPr="00E02EE0">
        <w:cr/>
      </w:r>
    </w:p>
    <w:p w14:paraId="6919A2A8" w14:textId="77777777" w:rsidR="00D15B52" w:rsidRPr="00E02EE0" w:rsidRDefault="00D15B52" w:rsidP="00D15B52">
      <w:r>
        <w:t>3</w:t>
      </w:r>
      <w:r w:rsidRPr="00BC5C65">
        <w:t>°</w:t>
      </w:r>
      <w:r>
        <w:t xml:space="preserve"> </w:t>
      </w:r>
      <w:r w:rsidRPr="00E02EE0">
        <w:t xml:space="preserve">Le cas échéant, la grille de sélection des </w:t>
      </w:r>
      <w:r>
        <w:t>candidatures complétée (annexe 3</w:t>
      </w:r>
      <w:r w:rsidRPr="00E02EE0">
        <w:t xml:space="preserve"> du règlement de la consultation).</w:t>
      </w:r>
    </w:p>
    <w:p w14:paraId="1781E3A5" w14:textId="77777777" w:rsidR="00D15B52" w:rsidRDefault="00D15B52" w:rsidP="00D15B52"/>
    <w:p w14:paraId="6D06F7E5" w14:textId="77777777" w:rsidR="00D15B52" w:rsidRPr="00177068" w:rsidRDefault="00D15B52" w:rsidP="00D15B52">
      <w:r w:rsidRPr="00177068">
        <w:t xml:space="preserve">* Les formulaires DC1 et DC2, peuvent être téléchargés gratuitement sur le site Internet du ministère des finances et des comptes publics à l’adresse suivante (rubrique : Formulaires non obligatoires d'aide à la passation et l'exécution) : « </w:t>
      </w:r>
      <w:r w:rsidRPr="00177068">
        <w:rPr>
          <w:color w:val="1F4E79" w:themeColor="accent1" w:themeShade="80"/>
        </w:rPr>
        <w:t xml:space="preserve">http://www.economie.gouv.fr/daj/formulaires-marches-publics </w:t>
      </w:r>
      <w:r w:rsidRPr="00177068">
        <w:t>».</w:t>
      </w:r>
    </w:p>
    <w:p w14:paraId="3F610CEB" w14:textId="77777777" w:rsidR="00D15B52" w:rsidRPr="00BC5C65" w:rsidRDefault="00D15B52" w:rsidP="00D15B52"/>
    <w:p w14:paraId="09396F9D" w14:textId="77777777" w:rsidR="00D15B52" w:rsidRPr="00BC5C65" w:rsidRDefault="00D15B52" w:rsidP="00D15B52">
      <w:r>
        <w:t>4</w:t>
      </w:r>
      <w:r w:rsidRPr="00BC5C65">
        <w:t>° Déclaration sur l’honneur sur la situation du candidat, vis-à-vis de la Russie. En cas de groupement et ou de sous-traitance, cette attestation doit être transmise par l’ensemble des cotraitants et ou sous-traitants.</w:t>
      </w:r>
    </w:p>
    <w:p w14:paraId="7B7B7E26" w14:textId="77777777" w:rsidR="00D15B52" w:rsidRPr="00BC5C65" w:rsidRDefault="00D15B52" w:rsidP="00D15B52"/>
    <w:p w14:paraId="4BA366C6" w14:textId="77777777" w:rsidR="00D15B52" w:rsidRPr="00BC5C65" w:rsidRDefault="00D15B52" w:rsidP="00D15B52">
      <w:r>
        <w:t>5</w:t>
      </w:r>
      <w:r w:rsidRPr="00BC5C65">
        <w:t xml:space="preserve">° Des autres pièces justificatives mentionnées notamment aux articles R. 2143-7 à R. 2143-10 du Code de la commande publique, à savoir : </w:t>
      </w:r>
    </w:p>
    <w:p w14:paraId="56AA9438"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L’attestation de régularité fiscale délivrée au 31/12 de l’année n - 1 par le comptable public ou équivalent. L’année n correspond à l’année de publication de la présente consultation ainsi que l’attestation sociale délivrée par l’</w:t>
      </w:r>
      <w:proofErr w:type="spellStart"/>
      <w:r w:rsidRPr="006C4F4B">
        <w:rPr>
          <w:rFonts w:cs="Open Sans"/>
          <w:szCs w:val="20"/>
        </w:rPr>
        <w:t>URSSAF.Si</w:t>
      </w:r>
      <w:proofErr w:type="spellEnd"/>
      <w:r w:rsidRPr="006C4F4B">
        <w:rPr>
          <w:rFonts w:cs="Open Sans"/>
          <w:szCs w:val="20"/>
        </w:rPr>
        <w:t xml:space="preserve"> ces documents ne sont pas présentés dans le dossier de candidature, Ils doivent être fournis dans les 5 jours suivant l’envoi du courrier par télécopie, confirmée par envoi postal, informant le candidat qu’il est classé n° 1 : le jour d’envoi de la télécopie et le jour de réception ne sont pas comptabilisés (ex : envoi mercredi 9h00, réception lundi 9h00). Pour les candidats établis dans un Etat autre que la France, il sera demandé de produire les documents listés à l’article R. 2143-5 du Code de la commande publique. Ces documents seront accompagnés d’une traduction en français en application des articles précédemment cités ;</w:t>
      </w:r>
    </w:p>
    <w:p w14:paraId="6904FD76"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une copie de la police d’assurance de responsabilité civile, demande justifiée par les contraintes d’accueil du public dans les hôpitaux, conformément aux exigences déterminées dans le CCAP;</w:t>
      </w:r>
    </w:p>
    <w:p w14:paraId="7F7C7EE4"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Lorsque le candidat est en redressement judiciaire, la copie du ou des jugements prononcés ;</w:t>
      </w:r>
    </w:p>
    <w:p w14:paraId="661CE7AA"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toute autre pièce que le candidat estime de nature à appuyer sa candidature, dont notamment des liens avec des entreprises adaptées ou des établissements et services d’aide par le travail ;</w:t>
      </w:r>
    </w:p>
    <w:p w14:paraId="7DF041E4" w14:textId="77777777" w:rsidR="00D15B52" w:rsidRPr="006C4F4B" w:rsidRDefault="00D15B52" w:rsidP="009D155F">
      <w:pPr>
        <w:pStyle w:val="Paragraphedeliste"/>
        <w:widowControl w:val="0"/>
        <w:numPr>
          <w:ilvl w:val="0"/>
          <w:numId w:val="10"/>
        </w:numPr>
        <w:autoSpaceDE w:val="0"/>
        <w:autoSpaceDN w:val="0"/>
        <w:adjustRightInd w:val="0"/>
        <w:rPr>
          <w:rFonts w:cs="Open Sans"/>
          <w:szCs w:val="20"/>
        </w:rPr>
      </w:pPr>
      <w:r w:rsidRPr="006C4F4B">
        <w:rPr>
          <w:rFonts w:cs="Open Sans"/>
          <w:szCs w:val="20"/>
        </w:rPr>
        <w:t xml:space="preserve">Les documents mentionnés dans la partie F1, ou si le candidat est domicilié à l’étranger, dans la partie G du formulaire Noti1 disponible sur le site </w:t>
      </w:r>
      <w:hyperlink r:id="rId14" w:history="1">
        <w:r w:rsidRPr="006C4F4B">
          <w:rPr>
            <w:rFonts w:cs="Open Sans"/>
            <w:szCs w:val="20"/>
          </w:rPr>
          <w:t>http://www.economie.gouv.fr/daj/formulaires</w:t>
        </w:r>
      </w:hyperlink>
    </w:p>
    <w:p w14:paraId="051CBF91" w14:textId="77777777" w:rsidR="00D15B52" w:rsidRPr="006C4F4B" w:rsidRDefault="00D15B52" w:rsidP="00D15B52">
      <w:pPr>
        <w:widowControl w:val="0"/>
        <w:autoSpaceDE w:val="0"/>
        <w:autoSpaceDN w:val="0"/>
        <w:adjustRightInd w:val="0"/>
        <w:rPr>
          <w:rFonts w:cs="Open Sans"/>
          <w:szCs w:val="20"/>
        </w:rPr>
      </w:pPr>
    </w:p>
    <w:p w14:paraId="3AEDDB58" w14:textId="77777777" w:rsidR="00D15B52" w:rsidRPr="00BC5C65" w:rsidRDefault="00D15B52" w:rsidP="00D15B52">
      <w:r w:rsidRPr="00BC5C65">
        <w:t>Les entreprises nouvellement créées peuvent produire une copie certifiée du récépissé de dépôt des statuts transmis par le centre de formalités des entreprises. Les entreprises peuvent présenter tout élément factuel et probant permettant d’apprécier leurs capacités financières, techniques et professionnelles.</w:t>
      </w:r>
    </w:p>
    <w:p w14:paraId="52048540" w14:textId="77777777" w:rsidR="00D15B52" w:rsidRPr="00BC5C65" w:rsidRDefault="00D15B52" w:rsidP="00D15B52"/>
    <w:p w14:paraId="1278D0A1" w14:textId="77777777" w:rsidR="00D15B52" w:rsidRPr="00BC5C65" w:rsidRDefault="00D15B52" w:rsidP="00D15B52">
      <w:r w:rsidRPr="00BC5C65">
        <w:t>Si le signataire des pièces de candidature et des offres n’est pas le représentant légal de la société, un pouvoir au nom du signataire est nécessaire.</w:t>
      </w:r>
    </w:p>
    <w:p w14:paraId="3FE864F0" w14:textId="77777777" w:rsidR="00D15B52" w:rsidRPr="00BC5C65" w:rsidRDefault="00D15B52" w:rsidP="00D15B52"/>
    <w:p w14:paraId="51752AB8" w14:textId="77777777" w:rsidR="00D15B52" w:rsidRPr="00BC5C65" w:rsidRDefault="00D15B52" w:rsidP="00D15B52">
      <w:r w:rsidRPr="00BC5C65">
        <w:lastRenderedPageBreak/>
        <w:t>Tout document remis doit comporter la dénomination sociale exacte et complète telle qu’elle figure dans le K Bis, à l’exclusion des appellations abrégées et commerciales.</w:t>
      </w:r>
    </w:p>
    <w:p w14:paraId="16F4C564" w14:textId="77777777" w:rsidR="00D15B52" w:rsidRPr="00BC5C65" w:rsidRDefault="00D15B52" w:rsidP="00D15B52"/>
    <w:p w14:paraId="47453A0F" w14:textId="77777777" w:rsidR="00D15B52" w:rsidRPr="00BC5C65" w:rsidRDefault="00D15B52" w:rsidP="00D15B52">
      <w:r w:rsidRPr="00BC5C65">
        <w:t>Les éléments relatifs à la candidature doivent être clairement identifiés comme tels.</w:t>
      </w:r>
    </w:p>
    <w:p w14:paraId="45D13C26" w14:textId="77777777" w:rsidR="00D15B52" w:rsidRPr="00BC5C65" w:rsidRDefault="00D15B52" w:rsidP="00D15B52"/>
    <w:p w14:paraId="06FD4A76" w14:textId="77777777" w:rsidR="00D15B52" w:rsidRPr="00BC5C65" w:rsidRDefault="00D15B52" w:rsidP="00D15B52">
      <w:r w:rsidRPr="00BC5C65">
        <w:t>En cas de non présentation dans le dossier de candidature, ces documents doivent être fournis dans les x jours [3 jours minimum et 10 jours au maximum] suivant l’envoi d’une demande de précision sur le contenu des candidatures. Le jour de l’envoi et le jour de réception des documents ne sont pas comptabilisés.</w:t>
      </w:r>
    </w:p>
    <w:p w14:paraId="3E1E3D60" w14:textId="77777777" w:rsidR="00D15B52" w:rsidRPr="00BC5C65" w:rsidRDefault="00D15B52" w:rsidP="00D15B52"/>
    <w:p w14:paraId="292561AB" w14:textId="77777777" w:rsidR="00D15B52" w:rsidRPr="00BC5C65" w:rsidRDefault="00D15B52" w:rsidP="00D15B52">
      <w:r w:rsidRPr="00BC5C65">
        <w:t>La production des documents dûment complétés dans le délai imparti conditionne la validité de la candidature.</w:t>
      </w:r>
    </w:p>
    <w:p w14:paraId="1A20B623" w14:textId="77777777" w:rsidR="00D15B52" w:rsidRPr="00BC5C65" w:rsidRDefault="00D15B52" w:rsidP="00D15B52"/>
    <w:p w14:paraId="131B453A" w14:textId="491EE744" w:rsidR="00D15B52" w:rsidRPr="00BC5C65" w:rsidRDefault="00D15B52" w:rsidP="00307568">
      <w:pPr>
        <w:rPr>
          <w:rFonts w:ascii="Arial" w:hAnsi="Arial" w:cs="Arial"/>
          <w:b/>
          <w:i/>
          <w:color w:val="808080"/>
          <w:szCs w:val="20"/>
        </w:rPr>
      </w:pPr>
      <w:r w:rsidRPr="00BC5C65">
        <w:t>De même, l’acheteur accepte que le candidat présente sa candidature sous la forme d’un document unique de marché européen (DUME) établi conformément au modèle fixé par le règlement de la Commission européenne établissant le formulaire type pour le document unique de marché européen susvisé, en lieu et place des documents mentionnés à l’article R. 2143-3 du Code de la commande publique.</w:t>
      </w:r>
    </w:p>
    <w:p w14:paraId="183B8C54" w14:textId="77777777" w:rsidR="00D15B52" w:rsidRPr="00BC5C65" w:rsidRDefault="00D15B52" w:rsidP="00D15B52">
      <w:pPr>
        <w:widowControl w:val="0"/>
        <w:autoSpaceDE w:val="0"/>
        <w:autoSpaceDN w:val="0"/>
        <w:adjustRightInd w:val="0"/>
        <w:rPr>
          <w:rFonts w:ascii="Arial" w:hAnsi="Arial" w:cs="Arial"/>
          <w:b/>
          <w:bCs/>
          <w:szCs w:val="20"/>
        </w:rPr>
      </w:pPr>
    </w:p>
    <w:p w14:paraId="3F832637" w14:textId="77777777" w:rsidR="00D15B52" w:rsidRPr="00BC5C65" w:rsidRDefault="00D15B52" w:rsidP="00D15B52">
      <w:pPr>
        <w:pStyle w:val="Titre2"/>
      </w:pPr>
      <w:bookmarkStart w:id="16" w:name="_Toc157007535"/>
      <w:bookmarkStart w:id="17" w:name="_Toc159251334"/>
      <w:r w:rsidRPr="00BC5C65">
        <w:t>Mise à disposition des documents et renseignement par le biais d’un système électronique</w:t>
      </w:r>
      <w:bookmarkEnd w:id="16"/>
      <w:bookmarkEnd w:id="17"/>
    </w:p>
    <w:p w14:paraId="255DF28F" w14:textId="77777777" w:rsidR="00D15B52" w:rsidRPr="00BC5C65" w:rsidRDefault="00D15B52" w:rsidP="00D15B52">
      <w:pPr>
        <w:widowControl w:val="0"/>
        <w:autoSpaceDE w:val="0"/>
        <w:autoSpaceDN w:val="0"/>
        <w:adjustRightInd w:val="0"/>
        <w:rPr>
          <w:rFonts w:ascii="Arial" w:hAnsi="Arial" w:cs="Arial"/>
          <w:iCs/>
          <w:szCs w:val="20"/>
        </w:rPr>
      </w:pPr>
    </w:p>
    <w:p w14:paraId="202F24FA" w14:textId="77777777" w:rsidR="00D15B52" w:rsidRPr="00BC5C65" w:rsidRDefault="00D15B52" w:rsidP="00D15B52">
      <w:r w:rsidRPr="00BC5C65">
        <w:t>Conformément à l’article R. 2143-13 à R. 2143-14 du Code de la commande publique, les candidats ne sont pas tenus de fournir les documents et renseignements que le pouvoir adjudicateur peut obtenir directement par le biais d'un système électronique de mise à disposition d'informations administré par un organisme officiel ou d'un espace de stockage numérique, à condition que figurent dans le pli du candidat toutes les informations nécessaires à la consultation de ce système ou de cet espace et que l'accès à ceux-ci soit gratuit.</w:t>
      </w:r>
    </w:p>
    <w:p w14:paraId="4BAA5A2B" w14:textId="77777777" w:rsidR="00D15B52" w:rsidRPr="00BC5C65" w:rsidRDefault="00D15B52" w:rsidP="00D15B52"/>
    <w:p w14:paraId="61520B2C" w14:textId="77777777" w:rsidR="00D15B52" w:rsidRPr="00BC5C65" w:rsidRDefault="00D15B52" w:rsidP="00D15B52">
      <w:r w:rsidRPr="00BC5C65">
        <w:t>Par ailleurs, le candidat n'est pas tenu de fournir les documents et renseignements qui ont déjà été transmis dans le cadre d'une précédente consultation et qui demeurent valables. Il devra en revanche fournir l'annexe au DCE (Attestation du Candidat) dument remplie et signée par la personne habilitée à engager la société ou chaque membre du groupement et refournir les documents non valides à la date limite de réception des offres de la présente consultation.</w:t>
      </w:r>
    </w:p>
    <w:p w14:paraId="238371E0" w14:textId="77777777" w:rsidR="00D15B52" w:rsidRPr="00BC5C65" w:rsidRDefault="00D15B52" w:rsidP="00D15B52">
      <w:pPr>
        <w:widowControl w:val="0"/>
        <w:autoSpaceDE w:val="0"/>
        <w:autoSpaceDN w:val="0"/>
        <w:adjustRightInd w:val="0"/>
        <w:rPr>
          <w:rFonts w:ascii="Arial" w:hAnsi="Arial" w:cs="Arial"/>
          <w:bCs/>
          <w:iCs/>
          <w:szCs w:val="20"/>
        </w:rPr>
      </w:pPr>
    </w:p>
    <w:p w14:paraId="04B45E84" w14:textId="77777777" w:rsidR="00D15B52" w:rsidRPr="00BC5C65" w:rsidRDefault="00D15B52" w:rsidP="00D15B52">
      <w:pPr>
        <w:pStyle w:val="Titre2"/>
      </w:pPr>
      <w:bookmarkStart w:id="18" w:name="_Toc157007536"/>
      <w:bookmarkStart w:id="19" w:name="_Toc159251335"/>
      <w:r w:rsidRPr="00BC5C65">
        <w:t>Présentation des candidatures et des offres dématérialisées</w:t>
      </w:r>
      <w:bookmarkEnd w:id="18"/>
      <w:bookmarkEnd w:id="19"/>
    </w:p>
    <w:p w14:paraId="169AB404" w14:textId="77777777" w:rsidR="00D15B52" w:rsidRPr="00BC5C65" w:rsidRDefault="00D15B52" w:rsidP="00D15B52">
      <w:pPr>
        <w:widowControl w:val="0"/>
        <w:autoSpaceDE w:val="0"/>
        <w:autoSpaceDN w:val="0"/>
        <w:adjustRightInd w:val="0"/>
        <w:rPr>
          <w:rFonts w:ascii="Arial" w:hAnsi="Arial" w:cs="Arial"/>
          <w:color w:val="000000"/>
          <w:szCs w:val="20"/>
        </w:rPr>
      </w:pPr>
    </w:p>
    <w:p w14:paraId="47F8AA8F" w14:textId="77777777" w:rsidR="00D15B52" w:rsidRPr="00BC5C65" w:rsidRDefault="00D15B52" w:rsidP="00D15B52">
      <w:r w:rsidRPr="00BC5C65">
        <w:t>Lors de la transmission par voie électronique, l’enveloppe du candidat sera constituée de deux dossiers intitulés : :</w:t>
      </w:r>
    </w:p>
    <w:p w14:paraId="29B41721" w14:textId="77777777" w:rsidR="00D15B52" w:rsidRPr="002A39D5" w:rsidRDefault="00D15B52" w:rsidP="009D155F">
      <w:pPr>
        <w:pStyle w:val="Paragraphedeliste"/>
        <w:widowControl w:val="0"/>
        <w:numPr>
          <w:ilvl w:val="0"/>
          <w:numId w:val="11"/>
        </w:numPr>
        <w:autoSpaceDE w:val="0"/>
        <w:autoSpaceDN w:val="0"/>
        <w:adjustRightInd w:val="0"/>
        <w:rPr>
          <w:i/>
          <w:strike/>
        </w:rPr>
      </w:pPr>
      <w:r w:rsidRPr="002A39D5">
        <w:rPr>
          <w:b/>
        </w:rPr>
        <w:t>« Candidature »</w:t>
      </w:r>
      <w:r w:rsidRPr="00BC5C65">
        <w:t xml:space="preserve"> </w:t>
      </w:r>
    </w:p>
    <w:p w14:paraId="7CE80508" w14:textId="77777777" w:rsidR="00D15B52" w:rsidRPr="002A39D5" w:rsidRDefault="00D15B52" w:rsidP="009D155F">
      <w:pPr>
        <w:pStyle w:val="Paragraphedeliste"/>
        <w:widowControl w:val="0"/>
        <w:numPr>
          <w:ilvl w:val="0"/>
          <w:numId w:val="11"/>
        </w:numPr>
        <w:autoSpaceDE w:val="0"/>
        <w:autoSpaceDN w:val="0"/>
        <w:adjustRightInd w:val="0"/>
        <w:rPr>
          <w:i/>
          <w:strike/>
        </w:rPr>
      </w:pPr>
      <w:r w:rsidRPr="002A39D5">
        <w:rPr>
          <w:b/>
        </w:rPr>
        <w:t>« Offre technique et financière »</w:t>
      </w:r>
      <w:r w:rsidRPr="002A39D5">
        <w:rPr>
          <w:i/>
        </w:rPr>
        <w:t xml:space="preserve"> </w:t>
      </w:r>
    </w:p>
    <w:p w14:paraId="6C15FF03" w14:textId="77777777" w:rsidR="00D15B52" w:rsidRPr="00BC5C65" w:rsidRDefault="00D15B52" w:rsidP="00D15B52"/>
    <w:p w14:paraId="22E500B7" w14:textId="77777777" w:rsidR="00D15B52" w:rsidRPr="00BC5C65" w:rsidRDefault="00D15B52" w:rsidP="00D15B52">
      <w:r w:rsidRPr="00BC5C65">
        <w:t>Pour garantir au mieux le bon déroulement de cette procédure dématérialisée, le candidat doit tenir compte des indications suivantes :</w:t>
      </w:r>
    </w:p>
    <w:p w14:paraId="4659323D" w14:textId="77777777" w:rsidR="00D15B52" w:rsidRPr="00BC5C65" w:rsidRDefault="00D15B52" w:rsidP="00D15B52">
      <w:pPr>
        <w:widowControl w:val="0"/>
        <w:autoSpaceDE w:val="0"/>
        <w:autoSpaceDN w:val="0"/>
        <w:adjustRightInd w:val="0"/>
        <w:rPr>
          <w:rFonts w:ascii="Arial" w:hAnsi="Arial" w:cs="Arial"/>
          <w:szCs w:val="20"/>
        </w:rPr>
      </w:pPr>
    </w:p>
    <w:p w14:paraId="66E92C1E" w14:textId="77777777" w:rsidR="00D15B52" w:rsidRPr="002A39D5" w:rsidRDefault="00D15B52" w:rsidP="00D15B52">
      <w:pPr>
        <w:rPr>
          <w:rFonts w:eastAsia="Arial Unicode MS"/>
          <w:b/>
          <w:u w:val="single"/>
        </w:rPr>
      </w:pPr>
      <w:r w:rsidRPr="002A39D5">
        <w:rPr>
          <w:rFonts w:eastAsia="Arial Unicode MS"/>
          <w:b/>
          <w:u w:val="single"/>
        </w:rPr>
        <w:t>L’offre doit être présentée selon des formats utilisés dans les documents du DCE</w:t>
      </w:r>
    </w:p>
    <w:p w14:paraId="1A4E7290" w14:textId="77777777" w:rsidR="00D15B52" w:rsidRPr="00BC5C65" w:rsidRDefault="00D15B52" w:rsidP="00D15B52"/>
    <w:p w14:paraId="4E8DB4DC" w14:textId="77777777" w:rsidR="00D15B52" w:rsidRPr="00BC5C65" w:rsidRDefault="00D15B52" w:rsidP="00D15B52">
      <w:r w:rsidRPr="00BC5C65">
        <w:t>Les documents demandés sont transmis sous la forme de fichiers dans l’un des formats suivants : ZIP, RTF, DOC, XLS, PDF, DWG, DXF.</w:t>
      </w:r>
    </w:p>
    <w:p w14:paraId="2D603EC1" w14:textId="77777777" w:rsidR="00D15B52" w:rsidRPr="00BC5C65" w:rsidRDefault="00D15B52" w:rsidP="00D15B52"/>
    <w:p w14:paraId="60543BFE" w14:textId="77777777" w:rsidR="00D15B52" w:rsidRPr="002A39D5" w:rsidRDefault="00D15B52" w:rsidP="00D15B52">
      <w:pPr>
        <w:rPr>
          <w:rFonts w:eastAsia="Arial Unicode MS"/>
        </w:rPr>
      </w:pPr>
      <w:r w:rsidRPr="002A39D5">
        <w:rPr>
          <w:rFonts w:eastAsia="Arial Unicode MS"/>
        </w:rPr>
        <w:t>Les fichiers du pli dématérialisé doivent respecter une règle de nommage</w:t>
      </w:r>
    </w:p>
    <w:p w14:paraId="1A8E5CDD" w14:textId="77777777" w:rsidR="00D15B52" w:rsidRPr="00BC5C65" w:rsidRDefault="00D15B52" w:rsidP="00D15B52">
      <w:pPr>
        <w:rPr>
          <w:rFonts w:eastAsia="Arial Unicode MS"/>
        </w:rPr>
      </w:pPr>
    </w:p>
    <w:p w14:paraId="628D38BD" w14:textId="77777777" w:rsidR="00D15B52" w:rsidRPr="002A39D5" w:rsidRDefault="00D15B52" w:rsidP="00D15B52">
      <w:pPr>
        <w:rPr>
          <w:rFonts w:eastAsia="Arial Unicode MS"/>
        </w:rPr>
      </w:pPr>
      <w:r w:rsidRPr="00BC5C65">
        <w:rPr>
          <w:rFonts w:eastAsia="Arial Unicode MS"/>
        </w:rPr>
        <w:t>Afin de faciliter le traitement des offres électroniques dans les meilleures conditions, il est demandé aux candidats de se conformer, si possible, au nommage des fichiers de la façon suivante :</w:t>
      </w:r>
      <w:r>
        <w:rPr>
          <w:rFonts w:eastAsia="Arial Unicode MS"/>
        </w:rPr>
        <w:t xml:space="preserve"> </w:t>
      </w:r>
      <w:r w:rsidRPr="002A39D5">
        <w:rPr>
          <w:rFonts w:eastAsia="Arial Unicode MS"/>
        </w:rPr>
        <w:t>le nom de l’opérateur économique (ex : société, association, personne publique) : il peut être entier, ou bien être raccourci</w:t>
      </w:r>
    </w:p>
    <w:p w14:paraId="5EC69C2D" w14:textId="77777777" w:rsidR="00D15B52" w:rsidRPr="00BC5C65" w:rsidRDefault="00D15B52" w:rsidP="00D15B52">
      <w:pPr>
        <w:rPr>
          <w:rFonts w:eastAsia="Arial Unicode MS"/>
        </w:rPr>
      </w:pPr>
      <w:r w:rsidRPr="00BC5C65">
        <w:rPr>
          <w:rFonts w:eastAsia="Arial Unicode MS"/>
        </w:rPr>
        <w:t>Suivi de :</w:t>
      </w:r>
      <w:r>
        <w:rPr>
          <w:rFonts w:eastAsia="Arial Unicode MS"/>
        </w:rPr>
        <w:t xml:space="preserve"> </w:t>
      </w:r>
      <w:r w:rsidRPr="00BC5C65">
        <w:rPr>
          <w:rFonts w:eastAsia="Arial Unicode MS"/>
        </w:rPr>
        <w:t>la désignation de la pièce qui devra être la plus claire et la plus simple possible</w:t>
      </w:r>
    </w:p>
    <w:p w14:paraId="04624B4F" w14:textId="77777777" w:rsidR="00D15B52" w:rsidRPr="00BC5C65" w:rsidRDefault="00D15B52" w:rsidP="00D15B52">
      <w:pPr>
        <w:rPr>
          <w:rFonts w:eastAsia="Arial Unicode MS"/>
        </w:rPr>
      </w:pPr>
      <w:r w:rsidRPr="00BC5C65">
        <w:rPr>
          <w:rFonts w:eastAsia="Arial Unicode MS"/>
        </w:rPr>
        <w:t>Le nom des fichiers des pièces "importantes" sera précédé du _ (tiret du 8), ceci permettant de les faire figurer en début d'arborescence (Cf exemple). Ces pièces sont notamment :</w:t>
      </w:r>
    </w:p>
    <w:p w14:paraId="49EFCAD3" w14:textId="77777777" w:rsidR="00D15B52" w:rsidRPr="00BC5C65" w:rsidRDefault="00D15B52" w:rsidP="00D15B52">
      <w:pPr>
        <w:widowControl w:val="0"/>
        <w:autoSpaceDE w:val="0"/>
        <w:autoSpaceDN w:val="0"/>
        <w:adjustRightInd w:val="0"/>
        <w:rPr>
          <w:rFonts w:ascii="Arial" w:eastAsia="Arial Unicode MS" w:hAnsi="Arial" w:cs="Arial"/>
          <w:bCs/>
          <w:szCs w:val="20"/>
        </w:rPr>
      </w:pPr>
    </w:p>
    <w:p w14:paraId="0F44D22D"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l'Acte d'engagement</w:t>
      </w:r>
    </w:p>
    <w:p w14:paraId="5E3FD3CD"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lastRenderedPageBreak/>
        <w:t>Le CCAP et ses annexes</w:t>
      </w:r>
    </w:p>
    <w:p w14:paraId="51AD35F0"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CCTP et ses annexes</w:t>
      </w:r>
    </w:p>
    <w:p w14:paraId="7CFB298D"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CDRF</w:t>
      </w:r>
    </w:p>
    <w:p w14:paraId="4A75FF9B"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CDRT</w:t>
      </w:r>
    </w:p>
    <w:p w14:paraId="2BDBC10A"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la délégation de pouvoir ou de signature</w:t>
      </w:r>
    </w:p>
    <w:p w14:paraId="28896D68"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DC1</w:t>
      </w:r>
    </w:p>
    <w:p w14:paraId="3B370147"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DC2</w:t>
      </w:r>
    </w:p>
    <w:p w14:paraId="4838DA1B"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 xml:space="preserve">le K </w:t>
      </w:r>
      <w:r w:rsidRPr="002A39D5">
        <w:rPr>
          <w:rFonts w:eastAsia="Arial Unicode MS"/>
          <w:i/>
        </w:rPr>
        <w:t>Bis</w:t>
      </w:r>
    </w:p>
    <w:p w14:paraId="48142B6E"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l’attestation de régularité des certificats fiscaux et sociaux</w:t>
      </w:r>
    </w:p>
    <w:p w14:paraId="48D2EAD6" w14:textId="77777777" w:rsidR="00D15B52" w:rsidRPr="002A39D5" w:rsidRDefault="00D15B52" w:rsidP="009D155F">
      <w:pPr>
        <w:pStyle w:val="Paragraphedeliste"/>
        <w:widowControl w:val="0"/>
        <w:numPr>
          <w:ilvl w:val="0"/>
          <w:numId w:val="12"/>
        </w:numPr>
        <w:autoSpaceDE w:val="0"/>
        <w:autoSpaceDN w:val="0"/>
        <w:adjustRightInd w:val="0"/>
        <w:rPr>
          <w:rFonts w:eastAsia="Arial Unicode MS"/>
        </w:rPr>
      </w:pPr>
      <w:r w:rsidRPr="002A39D5">
        <w:rPr>
          <w:rFonts w:eastAsia="Arial Unicode MS"/>
        </w:rPr>
        <w:t>le RIB</w:t>
      </w:r>
    </w:p>
    <w:p w14:paraId="5E87DF58" w14:textId="77777777" w:rsidR="00D15B52" w:rsidRPr="00BC5C65" w:rsidRDefault="00D15B52" w:rsidP="00D15B52">
      <w:pPr>
        <w:widowControl w:val="0"/>
        <w:autoSpaceDE w:val="0"/>
        <w:autoSpaceDN w:val="0"/>
        <w:adjustRightInd w:val="0"/>
        <w:rPr>
          <w:rFonts w:ascii="Arial" w:eastAsia="Arial Unicode MS" w:hAnsi="Arial" w:cs="Arial"/>
          <w:bCs/>
          <w:szCs w:val="20"/>
          <w:u w:val="single"/>
        </w:rPr>
      </w:pPr>
    </w:p>
    <w:p w14:paraId="1D901760" w14:textId="77777777" w:rsidR="00D15B52" w:rsidRPr="002A39D5" w:rsidRDefault="00D15B52" w:rsidP="00D15B52">
      <w:pPr>
        <w:rPr>
          <w:rFonts w:eastAsia="Arial Unicode MS"/>
          <w:u w:val="single"/>
        </w:rPr>
      </w:pPr>
      <w:r w:rsidRPr="002A39D5">
        <w:rPr>
          <w:rFonts w:eastAsia="Arial Unicode MS"/>
          <w:u w:val="single"/>
        </w:rPr>
        <w:t>Exemple :</w:t>
      </w:r>
    </w:p>
    <w:p w14:paraId="3BDD80A3" w14:textId="77777777" w:rsidR="00D15B52" w:rsidRPr="002A39D5" w:rsidRDefault="00D15B52" w:rsidP="00D15B52">
      <w:pPr>
        <w:pStyle w:val="Paragraphedeliste"/>
        <w:ind w:left="720"/>
        <w:rPr>
          <w:rFonts w:eastAsia="Arial Unicode MS"/>
        </w:rPr>
      </w:pPr>
    </w:p>
    <w:p w14:paraId="3B9CC0FC" w14:textId="77777777" w:rsidR="00D15B52" w:rsidRPr="002A39D5" w:rsidRDefault="00D15B52" w:rsidP="009D155F">
      <w:pPr>
        <w:pStyle w:val="Paragraphedeliste"/>
        <w:widowControl w:val="0"/>
        <w:numPr>
          <w:ilvl w:val="0"/>
          <w:numId w:val="13"/>
        </w:numPr>
        <w:autoSpaceDE w:val="0"/>
        <w:autoSpaceDN w:val="0"/>
        <w:adjustRightInd w:val="0"/>
        <w:rPr>
          <w:rFonts w:asciiTheme="minorHAnsi" w:eastAsia="Arial Unicode MS" w:hAnsiTheme="minorHAnsi" w:cstheme="minorHAnsi"/>
          <w:sz w:val="22"/>
          <w:szCs w:val="22"/>
          <w:u w:val="single"/>
        </w:rPr>
      </w:pPr>
      <w:r w:rsidRPr="002A39D5">
        <w:rPr>
          <w:rFonts w:asciiTheme="minorHAnsi" w:eastAsia="Arial Unicode MS" w:hAnsiTheme="minorHAnsi" w:cstheme="minorHAnsi"/>
          <w:sz w:val="22"/>
          <w:szCs w:val="22"/>
          <w:u w:val="single"/>
        </w:rPr>
        <w:t>Pour le dossier relatif aux pièces de candidature :</w:t>
      </w:r>
    </w:p>
    <w:p w14:paraId="07A4603D" w14:textId="77777777" w:rsidR="00D15B52" w:rsidRPr="00BC5C65" w:rsidRDefault="00D15B52" w:rsidP="00D15B52">
      <w:pPr>
        <w:widowControl w:val="0"/>
        <w:autoSpaceDE w:val="0"/>
        <w:autoSpaceDN w:val="0"/>
        <w:adjustRightInd w:val="0"/>
        <w:rPr>
          <w:rFonts w:ascii="Arial" w:eastAsia="Arial Unicode MS" w:hAnsi="Arial" w:cs="Arial"/>
          <w:bCs/>
          <w:szCs w:val="20"/>
          <w:u w:val="single"/>
        </w:rPr>
      </w:pPr>
      <w:r w:rsidRPr="00BC5C65">
        <w:rPr>
          <w:rFonts w:ascii="Arial" w:hAnsi="Arial" w:cs="Arial"/>
          <w:noProof/>
          <w:szCs w:val="20"/>
        </w:rPr>
        <w:drawing>
          <wp:inline distT="0" distB="0" distL="0" distR="0" wp14:anchorId="44689997" wp14:editId="7BD9160F">
            <wp:extent cx="2371725" cy="2047875"/>
            <wp:effectExtent l="0" t="0" r="9525" b="9525"/>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71725" cy="2047875"/>
                    </a:xfrm>
                    <a:prstGeom prst="rect">
                      <a:avLst/>
                    </a:prstGeom>
                  </pic:spPr>
                </pic:pic>
              </a:graphicData>
            </a:graphic>
          </wp:inline>
        </w:drawing>
      </w:r>
    </w:p>
    <w:p w14:paraId="480CABB9" w14:textId="77777777" w:rsidR="00D15B52" w:rsidRPr="00BC5C65" w:rsidRDefault="00D15B52" w:rsidP="00D15B52">
      <w:pPr>
        <w:widowControl w:val="0"/>
        <w:autoSpaceDE w:val="0"/>
        <w:autoSpaceDN w:val="0"/>
        <w:adjustRightInd w:val="0"/>
        <w:rPr>
          <w:rFonts w:ascii="Arial" w:hAnsi="Arial" w:cs="Arial"/>
          <w:noProof/>
          <w:szCs w:val="20"/>
        </w:rPr>
      </w:pPr>
    </w:p>
    <w:p w14:paraId="2924AE74" w14:textId="77777777" w:rsidR="00D15B52" w:rsidRPr="00BC5C65" w:rsidRDefault="00D15B52" w:rsidP="00D15B52">
      <w:pPr>
        <w:widowControl w:val="0"/>
        <w:autoSpaceDE w:val="0"/>
        <w:autoSpaceDN w:val="0"/>
        <w:adjustRightInd w:val="0"/>
        <w:rPr>
          <w:rFonts w:ascii="Arial" w:hAnsi="Arial" w:cs="Arial"/>
          <w:noProof/>
          <w:szCs w:val="20"/>
        </w:rPr>
      </w:pPr>
    </w:p>
    <w:p w14:paraId="7F454E3C" w14:textId="77777777" w:rsidR="00D15B52" w:rsidRPr="002A39D5" w:rsidRDefault="00D15B52" w:rsidP="009D155F">
      <w:pPr>
        <w:pStyle w:val="Paragraphedeliste"/>
        <w:widowControl w:val="0"/>
        <w:numPr>
          <w:ilvl w:val="0"/>
          <w:numId w:val="13"/>
        </w:numPr>
        <w:autoSpaceDE w:val="0"/>
        <w:autoSpaceDN w:val="0"/>
        <w:adjustRightInd w:val="0"/>
        <w:rPr>
          <w:rFonts w:asciiTheme="minorHAnsi" w:eastAsia="Arial Unicode MS" w:hAnsiTheme="minorHAnsi" w:cstheme="minorHAnsi"/>
          <w:sz w:val="22"/>
          <w:szCs w:val="22"/>
          <w:u w:val="single"/>
        </w:rPr>
      </w:pPr>
      <w:r w:rsidRPr="002A39D5">
        <w:rPr>
          <w:rFonts w:asciiTheme="minorHAnsi" w:eastAsia="Arial Unicode MS" w:hAnsiTheme="minorHAnsi" w:cstheme="minorHAnsi"/>
          <w:sz w:val="22"/>
          <w:szCs w:val="22"/>
          <w:u w:val="single"/>
        </w:rPr>
        <w:t>Pour le dossier relatif aux pièces de l’offre</w:t>
      </w:r>
    </w:p>
    <w:p w14:paraId="20D7598C" w14:textId="77777777" w:rsidR="00D15B52" w:rsidRPr="00BC5C65" w:rsidRDefault="00D15B52" w:rsidP="00D15B52">
      <w:pPr>
        <w:widowControl w:val="0"/>
        <w:autoSpaceDE w:val="0"/>
        <w:autoSpaceDN w:val="0"/>
        <w:adjustRightInd w:val="0"/>
        <w:rPr>
          <w:rFonts w:ascii="Arial" w:hAnsi="Arial" w:cs="Arial"/>
          <w:noProof/>
          <w:szCs w:val="20"/>
        </w:rPr>
      </w:pPr>
    </w:p>
    <w:p w14:paraId="2446FCA8" w14:textId="419B0367" w:rsidR="00D15B52" w:rsidRPr="00BC5C65" w:rsidRDefault="00D15B52" w:rsidP="00307568">
      <w:pPr>
        <w:widowControl w:val="0"/>
        <w:autoSpaceDE w:val="0"/>
        <w:autoSpaceDN w:val="0"/>
        <w:adjustRightInd w:val="0"/>
      </w:pPr>
      <w:r w:rsidRPr="00BC5C65">
        <w:rPr>
          <w:rFonts w:ascii="Arial" w:hAnsi="Arial" w:cs="Arial"/>
          <w:noProof/>
          <w:szCs w:val="20"/>
        </w:rPr>
        <w:drawing>
          <wp:inline distT="0" distB="0" distL="0" distR="0" wp14:anchorId="52304658" wp14:editId="2107726A">
            <wp:extent cx="2114550" cy="1724025"/>
            <wp:effectExtent l="0" t="0" r="0" b="9525"/>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114550" cy="1724025"/>
                    </a:xfrm>
                    <a:prstGeom prst="rect">
                      <a:avLst/>
                    </a:prstGeom>
                  </pic:spPr>
                </pic:pic>
              </a:graphicData>
            </a:graphic>
          </wp:inline>
        </w:drawing>
      </w:r>
    </w:p>
    <w:p w14:paraId="5257787F" w14:textId="77777777" w:rsidR="00D15B52" w:rsidRPr="00BC5C65" w:rsidRDefault="00D15B52" w:rsidP="00D15B52">
      <w:r w:rsidRPr="00BC5C65">
        <w:t>Les documents suivants doivent être présentés dans un format et une version informatique a minima compatible avec les fichiers téléchargés sur la plate-forme :</w:t>
      </w:r>
    </w:p>
    <w:p w14:paraId="00B67FB6" w14:textId="77777777" w:rsidR="00D15B52" w:rsidRPr="00BC5C65" w:rsidRDefault="00D15B52" w:rsidP="00D15B52">
      <w:pPr>
        <w:widowControl w:val="0"/>
        <w:tabs>
          <w:tab w:val="left" w:pos="288"/>
          <w:tab w:val="left" w:pos="720"/>
          <w:tab w:val="left" w:pos="9072"/>
        </w:tabs>
        <w:autoSpaceDE w:val="0"/>
        <w:autoSpaceDN w:val="0"/>
        <w:adjustRightInd w:val="0"/>
        <w:rPr>
          <w:rFonts w:ascii="Arial" w:hAnsi="Arial" w:cs="Arial"/>
          <w:bCs/>
          <w:szCs w:val="20"/>
        </w:rPr>
      </w:pPr>
    </w:p>
    <w:p w14:paraId="744E238F" w14:textId="77777777" w:rsidR="00D15B52" w:rsidRPr="006C4F4B" w:rsidRDefault="00D15B52" w:rsidP="00D15B52">
      <w:pPr>
        <w:widowControl w:val="0"/>
        <w:tabs>
          <w:tab w:val="left" w:pos="288"/>
          <w:tab w:val="left" w:pos="720"/>
          <w:tab w:val="left" w:pos="9072"/>
        </w:tabs>
        <w:autoSpaceDE w:val="0"/>
        <w:autoSpaceDN w:val="0"/>
        <w:adjustRightInd w:val="0"/>
        <w:rPr>
          <w:rFonts w:cs="Open Sans"/>
          <w:bCs/>
          <w:color w:val="000000"/>
          <w:szCs w:val="20"/>
        </w:rPr>
      </w:pPr>
      <w:r w:rsidRPr="006C4F4B">
        <w:rPr>
          <w:rFonts w:cs="Open Sans"/>
          <w:bCs/>
          <w:iCs/>
          <w:szCs w:val="20"/>
          <w:u w:val="single"/>
        </w:rPr>
        <w:t>https://www.marches-publics.gouv.fr/</w:t>
      </w:r>
      <w:r w:rsidRPr="006C4F4B">
        <w:rPr>
          <w:rFonts w:cs="Open Sans"/>
          <w:bCs/>
          <w:szCs w:val="20"/>
        </w:rPr>
        <w:t>. :</w:t>
      </w:r>
      <w:r w:rsidRPr="006C4F4B">
        <w:rPr>
          <w:rFonts w:cs="Open Sans"/>
          <w:bCs/>
          <w:color w:val="000000"/>
          <w:szCs w:val="20"/>
        </w:rPr>
        <w:t xml:space="preserve"> </w:t>
      </w:r>
    </w:p>
    <w:p w14:paraId="74B718DD" w14:textId="77777777" w:rsidR="00D15B52" w:rsidRPr="006C4F4B" w:rsidRDefault="00D15B52" w:rsidP="009D155F">
      <w:pPr>
        <w:pStyle w:val="Paragraphedeliste"/>
        <w:widowControl w:val="0"/>
        <w:numPr>
          <w:ilvl w:val="0"/>
          <w:numId w:val="14"/>
        </w:numPr>
        <w:autoSpaceDE w:val="0"/>
        <w:autoSpaceDN w:val="0"/>
        <w:adjustRightInd w:val="0"/>
        <w:rPr>
          <w:rFonts w:cs="Open Sans"/>
          <w:szCs w:val="20"/>
        </w:rPr>
      </w:pPr>
      <w:r w:rsidRPr="006C4F4B">
        <w:rPr>
          <w:rFonts w:cs="Open Sans"/>
          <w:szCs w:val="20"/>
        </w:rPr>
        <w:t xml:space="preserve">Acte d’engagement ; </w:t>
      </w:r>
    </w:p>
    <w:p w14:paraId="2F41BBAA" w14:textId="77777777" w:rsidR="00D15B52" w:rsidRPr="006C4F4B" w:rsidRDefault="00D15B52" w:rsidP="009D155F">
      <w:pPr>
        <w:pStyle w:val="Paragraphedeliste"/>
        <w:widowControl w:val="0"/>
        <w:numPr>
          <w:ilvl w:val="0"/>
          <w:numId w:val="14"/>
        </w:numPr>
        <w:autoSpaceDE w:val="0"/>
        <w:autoSpaceDN w:val="0"/>
        <w:adjustRightInd w:val="0"/>
        <w:rPr>
          <w:rFonts w:cs="Open Sans"/>
          <w:szCs w:val="20"/>
        </w:rPr>
      </w:pPr>
      <w:r w:rsidRPr="006C4F4B">
        <w:rPr>
          <w:rFonts w:cs="Open Sans"/>
          <w:szCs w:val="20"/>
        </w:rPr>
        <w:t>Annexes financières ;</w:t>
      </w:r>
    </w:p>
    <w:p w14:paraId="07C93976" w14:textId="77777777" w:rsidR="00D15B52" w:rsidRPr="006C4F4B" w:rsidRDefault="00D15B52" w:rsidP="009D155F">
      <w:pPr>
        <w:pStyle w:val="Paragraphedeliste"/>
        <w:widowControl w:val="0"/>
        <w:numPr>
          <w:ilvl w:val="0"/>
          <w:numId w:val="14"/>
        </w:numPr>
        <w:autoSpaceDE w:val="0"/>
        <w:autoSpaceDN w:val="0"/>
        <w:adjustRightInd w:val="0"/>
        <w:rPr>
          <w:rFonts w:cs="Open Sans"/>
          <w:szCs w:val="20"/>
        </w:rPr>
      </w:pPr>
      <w:r w:rsidRPr="006C4F4B">
        <w:rPr>
          <w:rFonts w:cs="Open Sans"/>
          <w:szCs w:val="20"/>
        </w:rPr>
        <w:t xml:space="preserve">Cadre de réponse technique. </w:t>
      </w:r>
    </w:p>
    <w:p w14:paraId="4DAE0908" w14:textId="77777777" w:rsidR="00D15B52" w:rsidRPr="00BC5C65" w:rsidRDefault="00D15B52" w:rsidP="00D15B52"/>
    <w:p w14:paraId="5A5E7BC8" w14:textId="3E0EB01A" w:rsidR="00307568" w:rsidRDefault="00D15B52" w:rsidP="00D15B52">
      <w:pPr>
        <w:rPr>
          <w:rFonts w:eastAsia="Arial Unicode MS"/>
        </w:rPr>
      </w:pPr>
      <w:r w:rsidRPr="00BC5C65">
        <w:t>Ce format permettra le traitement par l’AGEPS, des données transmises. Il est entendu que les documents fournis par le candidat étant certifiés par la signature électronique, ne seront aucunement modifiés par l’AGEPS (hormis la partie administrative de l’acte d’engagement – p1 et 3).</w:t>
      </w:r>
    </w:p>
    <w:p w14:paraId="51C3152F" w14:textId="44108850" w:rsidR="00307568" w:rsidRDefault="00307568" w:rsidP="00D15B52">
      <w:pPr>
        <w:rPr>
          <w:rFonts w:eastAsia="Arial Unicode MS"/>
        </w:rPr>
      </w:pPr>
    </w:p>
    <w:p w14:paraId="494A2F8A" w14:textId="77777777" w:rsidR="00307568" w:rsidRPr="00BC5C65" w:rsidRDefault="00307568" w:rsidP="00D15B52"/>
    <w:p w14:paraId="36DFD7DA" w14:textId="77777777" w:rsidR="00D15B52" w:rsidRPr="009F58E8" w:rsidRDefault="00D15B52" w:rsidP="00D15B52">
      <w:pPr>
        <w:rPr>
          <w:rFonts w:eastAsia="Arial Unicode MS"/>
        </w:rPr>
      </w:pPr>
    </w:p>
    <w:p w14:paraId="6EC9F191" w14:textId="6FA26741" w:rsidR="00D15B52" w:rsidRDefault="00D15B52" w:rsidP="006C4F4B">
      <w:pPr>
        <w:pStyle w:val="Titre1"/>
      </w:pPr>
      <w:r>
        <w:lastRenderedPageBreak/>
        <w:t xml:space="preserve">EXAMEN DES </w:t>
      </w:r>
      <w:r w:rsidR="006C4F4B">
        <w:t xml:space="preserve">CANDIDATURES ET DES </w:t>
      </w:r>
      <w:r>
        <w:t>OFFRES</w:t>
      </w:r>
    </w:p>
    <w:p w14:paraId="10C6E43C" w14:textId="392E9396" w:rsidR="00D15B52" w:rsidRDefault="00D15B52" w:rsidP="009F1897">
      <w:pPr>
        <w:pStyle w:val="Corpsdetexte"/>
        <w:rPr>
          <w:rFonts w:ascii="Open Sans" w:hAnsi="Open Sans" w:cs="Open Sans"/>
          <w:i w:val="0"/>
        </w:rPr>
      </w:pPr>
    </w:p>
    <w:p w14:paraId="4CD868E3" w14:textId="751CBE7E" w:rsidR="006C4F4B" w:rsidRPr="006C4F4B" w:rsidRDefault="006C4F4B" w:rsidP="006C4F4B">
      <w:pPr>
        <w:pStyle w:val="Titre2"/>
      </w:pPr>
      <w:r w:rsidRPr="006C4F4B">
        <w:t>Examen des offres</w:t>
      </w:r>
    </w:p>
    <w:p w14:paraId="253CB0CC" w14:textId="77777777" w:rsidR="006C4F4B" w:rsidRPr="006C4F4B" w:rsidRDefault="006C4F4B" w:rsidP="006C4F4B">
      <w:pPr>
        <w:pStyle w:val="Corpsdetexte"/>
        <w:rPr>
          <w:rFonts w:ascii="Open Sans" w:hAnsi="Open Sans" w:cs="Open Sans"/>
          <w:i w:val="0"/>
        </w:rPr>
      </w:pPr>
    </w:p>
    <w:p w14:paraId="24573DE7" w14:textId="77777777" w:rsidR="006C4F4B" w:rsidRPr="006C4F4B" w:rsidRDefault="006C4F4B" w:rsidP="006C4F4B">
      <w:pPr>
        <w:pStyle w:val="Corpsdetexte"/>
        <w:rPr>
          <w:rFonts w:ascii="Open Sans" w:hAnsi="Open Sans" w:cs="Open Sans"/>
          <w:b/>
          <w:bCs/>
          <w:i w:val="0"/>
          <w:u w:val="single"/>
        </w:rPr>
      </w:pPr>
      <w:r w:rsidRPr="006C4F4B">
        <w:rPr>
          <w:rFonts w:ascii="Open Sans" w:hAnsi="Open Sans" w:cs="Open Sans"/>
          <w:b/>
          <w:bCs/>
          <w:i w:val="0"/>
          <w:u w:val="single"/>
        </w:rPr>
        <w:t>7.2.1.</w:t>
      </w:r>
      <w:r w:rsidRPr="006C4F4B">
        <w:rPr>
          <w:rFonts w:ascii="Open Sans" w:hAnsi="Open Sans" w:cs="Open Sans"/>
          <w:b/>
          <w:bCs/>
          <w:i w:val="0"/>
          <w:u w:val="single"/>
        </w:rPr>
        <w:tab/>
        <w:t>Généralités</w:t>
      </w:r>
    </w:p>
    <w:p w14:paraId="41EE9ECF" w14:textId="77777777" w:rsidR="006C4F4B" w:rsidRPr="006C4F4B" w:rsidRDefault="006C4F4B" w:rsidP="006C4F4B">
      <w:pPr>
        <w:pStyle w:val="Corpsdetexte"/>
        <w:rPr>
          <w:rFonts w:ascii="Open Sans" w:hAnsi="Open Sans" w:cs="Open Sans"/>
          <w:i w:val="0"/>
        </w:rPr>
      </w:pPr>
    </w:p>
    <w:p w14:paraId="7A4F4782"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Les offres inappropriées, irrégulières ou inacceptables, sont éliminées.</w:t>
      </w:r>
    </w:p>
    <w:p w14:paraId="4E773E09" w14:textId="77777777" w:rsidR="006C4F4B" w:rsidRPr="006C4F4B" w:rsidRDefault="006C4F4B" w:rsidP="006C4F4B">
      <w:pPr>
        <w:pStyle w:val="Corpsdetexte"/>
        <w:rPr>
          <w:rFonts w:ascii="Open Sans" w:hAnsi="Open Sans" w:cs="Open Sans"/>
          <w:i w:val="0"/>
        </w:rPr>
      </w:pPr>
    </w:p>
    <w:p w14:paraId="4F93CA31"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Toutefois, l'acheteur peut autoriser tous les soumissionnaires concernés à régulariser les offres irrégulières dans un délai approprié, à condition qu'elles ne soient pas anormalement basses et que cette régularisation n'ait pas pour effet de modifier les caractéristiques substantielles des offres. </w:t>
      </w:r>
    </w:p>
    <w:p w14:paraId="73C09B5B" w14:textId="77777777" w:rsidR="006C4F4B" w:rsidRPr="006C4F4B" w:rsidRDefault="006C4F4B" w:rsidP="006C4F4B">
      <w:pPr>
        <w:pStyle w:val="Corpsdetexte"/>
        <w:rPr>
          <w:rFonts w:ascii="Open Sans" w:hAnsi="Open Sans" w:cs="Open Sans"/>
          <w:i w:val="0"/>
        </w:rPr>
      </w:pPr>
    </w:p>
    <w:p w14:paraId="3F14DEE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L'acheteur peut demander aux soumissionnaires de préciser la teneur de leur offre. Cette demande ne peut ni aboutir à une négociation ni </w:t>
      </w:r>
      <w:proofErr w:type="spellStart"/>
      <w:r w:rsidRPr="006C4F4B">
        <w:rPr>
          <w:rFonts w:ascii="Open Sans" w:hAnsi="Open Sans" w:cs="Open Sans"/>
          <w:i w:val="0"/>
        </w:rPr>
        <w:t>a</w:t>
      </w:r>
      <w:proofErr w:type="spellEnd"/>
      <w:r w:rsidRPr="006C4F4B">
        <w:rPr>
          <w:rFonts w:ascii="Open Sans" w:hAnsi="Open Sans" w:cs="Open Sans"/>
          <w:i w:val="0"/>
        </w:rPr>
        <w:t xml:space="preserve">̀ une modification de l'offre. </w:t>
      </w:r>
    </w:p>
    <w:p w14:paraId="1EB92774" w14:textId="77777777" w:rsidR="006C4F4B" w:rsidRPr="006C4F4B" w:rsidRDefault="006C4F4B" w:rsidP="006C4F4B">
      <w:pPr>
        <w:pStyle w:val="Corpsdetexte"/>
        <w:rPr>
          <w:rFonts w:ascii="Open Sans" w:hAnsi="Open Sans" w:cs="Open Sans"/>
          <w:i w:val="0"/>
        </w:rPr>
      </w:pPr>
    </w:p>
    <w:p w14:paraId="402B628F" w14:textId="77777777" w:rsidR="006C4F4B" w:rsidRPr="006C4F4B" w:rsidRDefault="006C4F4B" w:rsidP="006C4F4B">
      <w:pPr>
        <w:pStyle w:val="Corpsdetexte"/>
        <w:rPr>
          <w:rFonts w:ascii="Open Sans" w:hAnsi="Open Sans" w:cs="Open Sans"/>
          <w:b/>
          <w:bCs/>
          <w:i w:val="0"/>
          <w:u w:val="single"/>
        </w:rPr>
      </w:pPr>
      <w:r w:rsidRPr="006C4F4B">
        <w:rPr>
          <w:rFonts w:ascii="Open Sans" w:hAnsi="Open Sans" w:cs="Open Sans"/>
          <w:b/>
          <w:bCs/>
          <w:i w:val="0"/>
          <w:u w:val="single"/>
        </w:rPr>
        <w:t>7.2.2.</w:t>
      </w:r>
      <w:r w:rsidRPr="006C4F4B">
        <w:rPr>
          <w:rFonts w:ascii="Open Sans" w:hAnsi="Open Sans" w:cs="Open Sans"/>
          <w:b/>
          <w:bCs/>
          <w:i w:val="0"/>
          <w:u w:val="single"/>
        </w:rPr>
        <w:tab/>
        <w:t>Critères d'attribution</w:t>
      </w:r>
    </w:p>
    <w:p w14:paraId="5B70E47C" w14:textId="77777777" w:rsidR="006C4F4B" w:rsidRPr="006C4F4B" w:rsidRDefault="006C4F4B" w:rsidP="006C4F4B">
      <w:pPr>
        <w:pStyle w:val="Corpsdetexte"/>
        <w:rPr>
          <w:rFonts w:ascii="Open Sans" w:hAnsi="Open Sans" w:cs="Open Sans"/>
          <w:i w:val="0"/>
        </w:rPr>
      </w:pPr>
    </w:p>
    <w:p w14:paraId="14FA4F67" w14:textId="59734B34" w:rsidR="006C4F4B" w:rsidRDefault="006C4F4B" w:rsidP="006C4F4B">
      <w:pPr>
        <w:pStyle w:val="Corpsdetexte"/>
        <w:rPr>
          <w:rFonts w:ascii="Open Sans" w:hAnsi="Open Sans" w:cs="Open Sans"/>
          <w:i w:val="0"/>
        </w:rPr>
      </w:pPr>
      <w:r w:rsidRPr="006C4F4B">
        <w:rPr>
          <w:rFonts w:ascii="Open Sans" w:hAnsi="Open Sans" w:cs="Open Sans"/>
          <w:i w:val="0"/>
        </w:rPr>
        <w:t xml:space="preserve">L’accord-cadre est attribué au candidat ayant présenté l'offre économiquement la plus avantageuse au regard des critères de jugement suivants : </w:t>
      </w:r>
    </w:p>
    <w:p w14:paraId="473114C6" w14:textId="40F6C56C" w:rsidR="006C4F4B" w:rsidRDefault="006C4F4B" w:rsidP="006C4F4B">
      <w:pPr>
        <w:pStyle w:val="Corpsdetexte"/>
        <w:rPr>
          <w:rFonts w:ascii="Open Sans" w:hAnsi="Open Sans" w:cs="Open Sans"/>
          <w:i w:val="0"/>
        </w:rPr>
      </w:pPr>
    </w:p>
    <w:p w14:paraId="71966BE3" w14:textId="2CBACDE7" w:rsidR="006C4F4B" w:rsidRDefault="006C4F4B" w:rsidP="006C4F4B">
      <w:r w:rsidRPr="00144829">
        <w:rPr>
          <w:b/>
          <w:bCs/>
        </w:rPr>
        <w:t>Lot n° 1</w:t>
      </w:r>
      <w:r>
        <w:t xml:space="preserve"> - Prestations d’assistance technique à l’Intégration, la supervision et l’exploitation des applications du SI.</w:t>
      </w:r>
    </w:p>
    <w:p w14:paraId="59017F67" w14:textId="77777777" w:rsid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Critère 1 (niveau 1) (coefficient 50 %) : Prix apprécié(s) sur la base de la valorisation d’une simulation financières.</w:t>
      </w:r>
    </w:p>
    <w:p w14:paraId="4FBCA910" w14:textId="20D21A81" w:rsidR="006C4F4B" w:rsidRP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 xml:space="preserve">Critère 2 (niveau 1) (coefficient : 50 %) : Qualité technique de l’offre selon les pondérations des sous-critères suivantes : </w:t>
      </w:r>
    </w:p>
    <w:p w14:paraId="13AEA43E" w14:textId="1B25CF0B"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2.1 : Pertinence profil/charge (pondération : </w:t>
      </w:r>
      <w:r>
        <w:rPr>
          <w:rFonts w:ascii="Open Sans" w:hAnsi="Open Sans" w:cs="Open Sans"/>
          <w:i w:val="0"/>
        </w:rPr>
        <w:t>40</w:t>
      </w:r>
      <w:r w:rsidRPr="006C4F4B">
        <w:rPr>
          <w:rFonts w:ascii="Open Sans" w:hAnsi="Open Sans" w:cs="Open Sans"/>
          <w:i w:val="0"/>
        </w:rPr>
        <w:t>%) ;</w:t>
      </w:r>
    </w:p>
    <w:p w14:paraId="2DDF9D04" w14:textId="0A204E90"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2.2 : Qualité de la prestation des unités d’œuvres (pondération : </w:t>
      </w:r>
      <w:r>
        <w:rPr>
          <w:rFonts w:ascii="Open Sans" w:hAnsi="Open Sans" w:cs="Open Sans"/>
          <w:i w:val="0"/>
        </w:rPr>
        <w:t>50</w:t>
      </w:r>
      <w:r w:rsidRPr="006C4F4B">
        <w:rPr>
          <w:rFonts w:ascii="Open Sans" w:hAnsi="Open Sans" w:cs="Open Sans"/>
          <w:i w:val="0"/>
        </w:rPr>
        <w:t>%) ;</w:t>
      </w:r>
    </w:p>
    <w:p w14:paraId="769768A8" w14:textId="6F32283B"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Sous-critère 2.3 : Suivi du marché : Modalités d’organisation du titulaire (pondération : 10%).</w:t>
      </w:r>
    </w:p>
    <w:p w14:paraId="32B5E8B0" w14:textId="77777777" w:rsidR="006C4F4B" w:rsidRDefault="006C4F4B" w:rsidP="006C4F4B"/>
    <w:p w14:paraId="07AC8048" w14:textId="3E6CB32D" w:rsidR="006C4F4B" w:rsidRDefault="006C4F4B" w:rsidP="006C4F4B">
      <w:r w:rsidRPr="00144829">
        <w:rPr>
          <w:b/>
          <w:bCs/>
        </w:rPr>
        <w:t>Lot n° 2</w:t>
      </w:r>
      <w:r>
        <w:t xml:space="preserve"> - Prestations pour le maintien en condition opérationnelle des applications et de l’infrastructure du SI par de l’expertise sur les domaines techniques </w:t>
      </w:r>
      <w:proofErr w:type="spellStart"/>
      <w:r>
        <w:t>Wintel</w:t>
      </w:r>
      <w:proofErr w:type="spellEnd"/>
      <w:r>
        <w:t>, Citrix et de virtualisation pour les services opérationnels informatiques et de communication de l’AP-HP.</w:t>
      </w:r>
    </w:p>
    <w:p w14:paraId="27BDE315" w14:textId="77777777" w:rsid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Critère 1 (niveau 1) (coefficient 50 %) : Prix apprécié(s) sur la base de la valorisation d’une simulation financières.</w:t>
      </w:r>
    </w:p>
    <w:p w14:paraId="3ABD5234" w14:textId="77777777" w:rsidR="006C4F4B" w:rsidRP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 xml:space="preserve">Critère 2 (niveau 1) (coefficient : 50 %) : Qualité technique de l’offre selon les pondérations des sous-critères suivantes : </w:t>
      </w:r>
    </w:p>
    <w:p w14:paraId="0C0769DD" w14:textId="25EE8DCB"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2.1 : Pertinence profil/charge (pondération : </w:t>
      </w:r>
      <w:r>
        <w:rPr>
          <w:rFonts w:ascii="Open Sans" w:hAnsi="Open Sans" w:cs="Open Sans"/>
          <w:i w:val="0"/>
        </w:rPr>
        <w:t>40</w:t>
      </w:r>
      <w:r w:rsidRPr="006C4F4B">
        <w:rPr>
          <w:rFonts w:ascii="Open Sans" w:hAnsi="Open Sans" w:cs="Open Sans"/>
          <w:i w:val="0"/>
        </w:rPr>
        <w:t>%) ;</w:t>
      </w:r>
    </w:p>
    <w:p w14:paraId="1374F604" w14:textId="4EFAB229"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2.2 : Qualité de la prestation des unités d’œuvres (pondération : </w:t>
      </w:r>
      <w:r>
        <w:rPr>
          <w:rFonts w:ascii="Open Sans" w:hAnsi="Open Sans" w:cs="Open Sans"/>
          <w:i w:val="0"/>
        </w:rPr>
        <w:t>50</w:t>
      </w:r>
      <w:r w:rsidRPr="006C4F4B">
        <w:rPr>
          <w:rFonts w:ascii="Open Sans" w:hAnsi="Open Sans" w:cs="Open Sans"/>
          <w:i w:val="0"/>
        </w:rPr>
        <w:t>%) ;</w:t>
      </w:r>
    </w:p>
    <w:p w14:paraId="090EA9CF" w14:textId="77777777"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Sous-critère 2.3 : Suivi du marché : Modalités d’organisation du titulaire (pondération : 10%).</w:t>
      </w:r>
    </w:p>
    <w:p w14:paraId="7FC2038C" w14:textId="77777777" w:rsidR="006C4F4B" w:rsidRDefault="006C4F4B" w:rsidP="006C4F4B"/>
    <w:p w14:paraId="510F174E" w14:textId="12952013" w:rsidR="006C4F4B" w:rsidRDefault="006C4F4B" w:rsidP="006C4F4B">
      <w:r w:rsidRPr="00144829">
        <w:rPr>
          <w:b/>
          <w:bCs/>
        </w:rPr>
        <w:t>Lot n° 3</w:t>
      </w:r>
      <w:r>
        <w:t xml:space="preserve"> - Prestations pour le maintien en condition opérationnelle des applications et de l’infrastructure du SI par de l’expertise sur les domaines techniques des systèmes d’exploitation et des systèmes de gestion des bases de données pour les services opérationnels informatiques et de communication de l’AP-HP.</w:t>
      </w:r>
    </w:p>
    <w:p w14:paraId="51B1CF35" w14:textId="77777777" w:rsid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Critère 1 (niveau 1) (coefficient 50 %) : Prix apprécié(s) sur la base de la valorisation d’une simulation financières.</w:t>
      </w:r>
    </w:p>
    <w:p w14:paraId="2D66FE8B" w14:textId="77777777" w:rsidR="006C4F4B" w:rsidRP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 xml:space="preserve">Critère 2 (niveau 1) (coefficient : 50 %) : Qualité technique de l’offre selon les pondérations des sous-critères suivantes : </w:t>
      </w:r>
    </w:p>
    <w:p w14:paraId="633FEF9D" w14:textId="372164CC"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2.1 : Pertinence profil/charge (pondération : </w:t>
      </w:r>
      <w:r>
        <w:rPr>
          <w:rFonts w:ascii="Open Sans" w:hAnsi="Open Sans" w:cs="Open Sans"/>
          <w:i w:val="0"/>
        </w:rPr>
        <w:t>40</w:t>
      </w:r>
      <w:r w:rsidRPr="006C4F4B">
        <w:rPr>
          <w:rFonts w:ascii="Open Sans" w:hAnsi="Open Sans" w:cs="Open Sans"/>
          <w:i w:val="0"/>
        </w:rPr>
        <w:t>%) ;</w:t>
      </w:r>
    </w:p>
    <w:p w14:paraId="26D84110" w14:textId="61FC5A98"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2.2 : Qualité de la prestation des unités d’œuvres (pondération : </w:t>
      </w:r>
      <w:r>
        <w:rPr>
          <w:rFonts w:ascii="Open Sans" w:hAnsi="Open Sans" w:cs="Open Sans"/>
          <w:i w:val="0"/>
        </w:rPr>
        <w:t>50</w:t>
      </w:r>
      <w:r w:rsidRPr="006C4F4B">
        <w:rPr>
          <w:rFonts w:ascii="Open Sans" w:hAnsi="Open Sans" w:cs="Open Sans"/>
          <w:i w:val="0"/>
        </w:rPr>
        <w:t>%) ;</w:t>
      </w:r>
    </w:p>
    <w:p w14:paraId="5144D349" w14:textId="77777777"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Sous-critère 2.3 : Suivi du marché : Modalités d’organisation du titulaire (pondération : 10%).</w:t>
      </w:r>
    </w:p>
    <w:p w14:paraId="4AFDF882" w14:textId="77777777" w:rsidR="006C4F4B" w:rsidRDefault="006C4F4B" w:rsidP="006C4F4B"/>
    <w:p w14:paraId="0C335FA8" w14:textId="77777777" w:rsidR="006C4F4B" w:rsidRPr="00144829" w:rsidRDefault="006C4F4B" w:rsidP="006C4F4B">
      <w:r w:rsidRPr="00144829">
        <w:rPr>
          <w:b/>
          <w:bCs/>
        </w:rPr>
        <w:t>Lot n° 4</w:t>
      </w:r>
      <w:r>
        <w:t xml:space="preserve"> - Prestations de métrologie et mesure de la performance.</w:t>
      </w:r>
    </w:p>
    <w:p w14:paraId="586A7481" w14:textId="77777777" w:rsid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t>Critère 1 (niveau 1) (coefficient 50 %) : Prix apprécié(s) sur la base de la valorisation d’une simulation financières.</w:t>
      </w:r>
    </w:p>
    <w:p w14:paraId="070462AA" w14:textId="77777777" w:rsidR="006C4F4B" w:rsidRPr="006C4F4B" w:rsidRDefault="006C4F4B" w:rsidP="009D155F">
      <w:pPr>
        <w:pStyle w:val="Corpsdetexte"/>
        <w:numPr>
          <w:ilvl w:val="0"/>
          <w:numId w:val="15"/>
        </w:numPr>
        <w:rPr>
          <w:rFonts w:ascii="Open Sans" w:hAnsi="Open Sans" w:cs="Open Sans"/>
          <w:i w:val="0"/>
        </w:rPr>
      </w:pPr>
      <w:r w:rsidRPr="006C4F4B">
        <w:rPr>
          <w:rFonts w:ascii="Open Sans" w:hAnsi="Open Sans" w:cs="Open Sans"/>
          <w:i w:val="0"/>
        </w:rPr>
        <w:lastRenderedPageBreak/>
        <w:t xml:space="preserve">Critère 2 (niveau 1) (coefficient : 50 %) : Qualité technique de l’offre selon les pondérations des sous-critères suivantes : </w:t>
      </w:r>
    </w:p>
    <w:p w14:paraId="4E49D984" w14:textId="64B4F031"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2.1 : Pertinence profil/charge (pondération : </w:t>
      </w:r>
      <w:r>
        <w:rPr>
          <w:rFonts w:ascii="Open Sans" w:hAnsi="Open Sans" w:cs="Open Sans"/>
          <w:i w:val="0"/>
        </w:rPr>
        <w:t>40</w:t>
      </w:r>
      <w:r w:rsidRPr="006C4F4B">
        <w:rPr>
          <w:rFonts w:ascii="Open Sans" w:hAnsi="Open Sans" w:cs="Open Sans"/>
          <w:i w:val="0"/>
        </w:rPr>
        <w:t>%) ;</w:t>
      </w:r>
    </w:p>
    <w:p w14:paraId="022A7AEB" w14:textId="3C411D40"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 xml:space="preserve">Sous-critère 2.2 : Qualité de la prestation des unités d’œuvres (pondération : </w:t>
      </w:r>
      <w:r>
        <w:rPr>
          <w:rFonts w:ascii="Open Sans" w:hAnsi="Open Sans" w:cs="Open Sans"/>
          <w:i w:val="0"/>
        </w:rPr>
        <w:t>50</w:t>
      </w:r>
      <w:r w:rsidRPr="006C4F4B">
        <w:rPr>
          <w:rFonts w:ascii="Open Sans" w:hAnsi="Open Sans" w:cs="Open Sans"/>
          <w:i w:val="0"/>
        </w:rPr>
        <w:t>%) ;</w:t>
      </w:r>
    </w:p>
    <w:p w14:paraId="32BA344E" w14:textId="77777777" w:rsidR="006C4F4B" w:rsidRPr="006C4F4B" w:rsidRDefault="006C4F4B" w:rsidP="009D155F">
      <w:pPr>
        <w:pStyle w:val="Corpsdetexte"/>
        <w:numPr>
          <w:ilvl w:val="0"/>
          <w:numId w:val="16"/>
        </w:numPr>
        <w:ind w:left="1428"/>
        <w:rPr>
          <w:rFonts w:ascii="Open Sans" w:hAnsi="Open Sans" w:cs="Open Sans"/>
          <w:i w:val="0"/>
        </w:rPr>
      </w:pPr>
      <w:r w:rsidRPr="006C4F4B">
        <w:rPr>
          <w:rFonts w:ascii="Open Sans" w:hAnsi="Open Sans" w:cs="Open Sans"/>
          <w:i w:val="0"/>
        </w:rPr>
        <w:t>Sous-critère 2.3 : Suivi du marché : Modalités d’organisation du titulaire (pondération : 10%).</w:t>
      </w:r>
    </w:p>
    <w:p w14:paraId="0153ACDD" w14:textId="77777777" w:rsidR="006C4F4B" w:rsidRPr="006C4F4B" w:rsidRDefault="006C4F4B" w:rsidP="006C4F4B">
      <w:pPr>
        <w:pStyle w:val="Corpsdetexte"/>
        <w:rPr>
          <w:rFonts w:ascii="Open Sans" w:hAnsi="Open Sans" w:cs="Open Sans"/>
          <w:i w:val="0"/>
        </w:rPr>
      </w:pPr>
    </w:p>
    <w:p w14:paraId="021B436D"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Dans le cas où des erreurs de multiplication, d’addition ou de reports seraient constatées dans la décomposition d’un prix figurant dans l’offre d’un candidat, il n’en est pas tenu compte dans le jugement de la consultation. </w:t>
      </w:r>
    </w:p>
    <w:p w14:paraId="6AF6555C" w14:textId="77777777" w:rsidR="006C4F4B" w:rsidRPr="006C4F4B" w:rsidRDefault="006C4F4B" w:rsidP="006C4F4B">
      <w:pPr>
        <w:pStyle w:val="Corpsdetexte"/>
        <w:rPr>
          <w:rFonts w:ascii="Open Sans" w:hAnsi="Open Sans" w:cs="Open Sans"/>
          <w:i w:val="0"/>
        </w:rPr>
      </w:pPr>
    </w:p>
    <w:p w14:paraId="07358892"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Toutefois, si le candidat concerné est sur le point d’être retenu, il sera invité à rectifier cette décomposition pour la mettre en harmonie avec le prix. En cas de refus, son offre est éliminée comme irrégulière. </w:t>
      </w:r>
    </w:p>
    <w:p w14:paraId="671C6514" w14:textId="77777777" w:rsidR="006C4F4B" w:rsidRPr="006C4F4B" w:rsidRDefault="006C4F4B" w:rsidP="006C4F4B">
      <w:pPr>
        <w:pStyle w:val="Corpsdetexte"/>
        <w:rPr>
          <w:rFonts w:ascii="Open Sans" w:hAnsi="Open Sans" w:cs="Open Sans"/>
          <w:i w:val="0"/>
        </w:rPr>
      </w:pPr>
    </w:p>
    <w:p w14:paraId="475E97F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Le représentant du pouvoir adjudicateur peut déclarer la consultation infructueuse. </w:t>
      </w:r>
    </w:p>
    <w:p w14:paraId="12F8C78F" w14:textId="77777777" w:rsidR="006C4F4B" w:rsidRPr="006C4F4B" w:rsidRDefault="006C4F4B" w:rsidP="006C4F4B">
      <w:pPr>
        <w:pStyle w:val="Corpsdetexte"/>
        <w:rPr>
          <w:rFonts w:ascii="Open Sans" w:hAnsi="Open Sans" w:cs="Open Sans"/>
          <w:i w:val="0"/>
        </w:rPr>
      </w:pPr>
    </w:p>
    <w:p w14:paraId="6D0C70D8"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En application des articles R. 2185-1 à R. 2185-2 du Code de la commande publique, la procédure peut être déclarée sans suite par le Représentant du Pouvoir Adjudicateur.  </w:t>
      </w:r>
    </w:p>
    <w:p w14:paraId="1151FBA4" w14:textId="77777777" w:rsidR="006C4F4B" w:rsidRPr="006C4F4B" w:rsidRDefault="006C4F4B" w:rsidP="006C4F4B">
      <w:pPr>
        <w:pStyle w:val="Corpsdetexte"/>
        <w:rPr>
          <w:rFonts w:ascii="Open Sans" w:hAnsi="Open Sans" w:cs="Open Sans"/>
          <w:i w:val="0"/>
        </w:rPr>
      </w:pPr>
    </w:p>
    <w:p w14:paraId="112F8F15" w14:textId="1234D6F0" w:rsidR="006C4F4B" w:rsidRPr="006C4F4B" w:rsidRDefault="006C4F4B" w:rsidP="006C4F4B">
      <w:pPr>
        <w:pStyle w:val="Titre2"/>
      </w:pPr>
      <w:r w:rsidRPr="006C4F4B">
        <w:t>Méthode de notation des offres</w:t>
      </w:r>
    </w:p>
    <w:p w14:paraId="6890DD90" w14:textId="77777777" w:rsidR="006C4F4B" w:rsidRPr="006C4F4B" w:rsidRDefault="006C4F4B" w:rsidP="006C4F4B">
      <w:pPr>
        <w:pStyle w:val="Corpsdetexte"/>
        <w:rPr>
          <w:rFonts w:ascii="Open Sans" w:hAnsi="Open Sans" w:cs="Open Sans"/>
          <w:i w:val="0"/>
        </w:rPr>
      </w:pPr>
    </w:p>
    <w:p w14:paraId="1890BB5A" w14:textId="77777777" w:rsidR="006C4F4B" w:rsidRPr="006C4F4B" w:rsidRDefault="006C4F4B" w:rsidP="006C4F4B">
      <w:pPr>
        <w:pStyle w:val="Corpsdetexte"/>
        <w:rPr>
          <w:rFonts w:ascii="Open Sans" w:hAnsi="Open Sans" w:cs="Open Sans"/>
          <w:i w:val="0"/>
          <w:u w:val="single"/>
        </w:rPr>
      </w:pPr>
      <w:r w:rsidRPr="006C4F4B">
        <w:rPr>
          <w:rFonts w:ascii="Open Sans" w:hAnsi="Open Sans" w:cs="Open Sans"/>
          <w:i w:val="0"/>
          <w:u w:val="single"/>
        </w:rPr>
        <w:t>Méthode de notation du critère « prix » (critère 1)</w:t>
      </w:r>
    </w:p>
    <w:p w14:paraId="03701D9A" w14:textId="77777777" w:rsidR="006C4F4B" w:rsidRPr="006C4F4B" w:rsidRDefault="006C4F4B" w:rsidP="006C4F4B">
      <w:pPr>
        <w:pStyle w:val="Corpsdetexte"/>
        <w:rPr>
          <w:rFonts w:ascii="Open Sans" w:hAnsi="Open Sans" w:cs="Open Sans"/>
          <w:i w:val="0"/>
        </w:rPr>
      </w:pPr>
    </w:p>
    <w:p w14:paraId="7F2C4F5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Les simulations financières sont basées sur le chiffrage des quantités estimées d'UO sur la durée du marché. Elles intègrent la valorisation et la composition humaine des UO. </w:t>
      </w:r>
    </w:p>
    <w:p w14:paraId="61EDD2B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Cette simulation, qui n’a pas valeur contractuelle, n’engage pas l’acheteur à un montant minimal de commandes et n’est utilisée que pour la seule notation des offres.</w:t>
      </w:r>
    </w:p>
    <w:p w14:paraId="7BB9A333" w14:textId="77777777" w:rsidR="006C4F4B" w:rsidRPr="006C4F4B" w:rsidRDefault="006C4F4B" w:rsidP="006C4F4B">
      <w:pPr>
        <w:pStyle w:val="Corpsdetexte"/>
        <w:rPr>
          <w:rFonts w:ascii="Open Sans" w:hAnsi="Open Sans" w:cs="Open Sans"/>
          <w:i w:val="0"/>
        </w:rPr>
      </w:pPr>
    </w:p>
    <w:p w14:paraId="1BB6CAE0" w14:textId="77777777" w:rsidR="006C4F4B" w:rsidRPr="006C4F4B" w:rsidRDefault="006C4F4B" w:rsidP="006C4F4B">
      <w:pPr>
        <w:pStyle w:val="Corpsdetexte"/>
        <w:rPr>
          <w:rFonts w:ascii="Open Sans" w:hAnsi="Open Sans" w:cs="Open Sans"/>
          <w:i w:val="0"/>
          <w:u w:val="single"/>
        </w:rPr>
      </w:pPr>
      <w:r w:rsidRPr="006C4F4B">
        <w:rPr>
          <w:rFonts w:ascii="Open Sans" w:hAnsi="Open Sans" w:cs="Open Sans"/>
          <w:i w:val="0"/>
          <w:u w:val="single"/>
        </w:rPr>
        <w:t>Méthode de notation du critère « technique » (critère 2)</w:t>
      </w:r>
    </w:p>
    <w:p w14:paraId="4E91A3DA" w14:textId="77777777" w:rsidR="006C4F4B" w:rsidRPr="006C4F4B" w:rsidRDefault="006C4F4B" w:rsidP="006C4F4B">
      <w:pPr>
        <w:pStyle w:val="Corpsdetexte"/>
        <w:rPr>
          <w:rFonts w:ascii="Open Sans" w:hAnsi="Open Sans" w:cs="Open Sans"/>
          <w:i w:val="0"/>
        </w:rPr>
      </w:pPr>
    </w:p>
    <w:p w14:paraId="4447D00A"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Pour chacun des sous-critères techniques de niveau 2, l’acheteur procède à la notation des offres selon une pondération précisée dans le présent règlement de consultation et au regard des attendus précisés dans le CDRT.</w:t>
      </w:r>
    </w:p>
    <w:p w14:paraId="1204F46A" w14:textId="77777777" w:rsidR="006C4F4B" w:rsidRPr="006C4F4B" w:rsidRDefault="006C4F4B" w:rsidP="006C4F4B">
      <w:pPr>
        <w:pStyle w:val="Corpsdetexte"/>
        <w:rPr>
          <w:rFonts w:ascii="Open Sans" w:hAnsi="Open Sans" w:cs="Open Sans"/>
          <w:i w:val="0"/>
        </w:rPr>
      </w:pPr>
    </w:p>
    <w:p w14:paraId="632145BF" w14:textId="3C703F5D" w:rsidR="006C4F4B" w:rsidRPr="006C4F4B" w:rsidRDefault="006C4F4B" w:rsidP="006C4F4B">
      <w:pPr>
        <w:pStyle w:val="Titre2"/>
      </w:pPr>
      <w:r w:rsidRPr="006C4F4B">
        <w:t>Durée de validité des offres</w:t>
      </w:r>
    </w:p>
    <w:p w14:paraId="0E7D95EB" w14:textId="77777777" w:rsidR="006C4F4B" w:rsidRPr="006C4F4B" w:rsidRDefault="006C4F4B" w:rsidP="006C4F4B">
      <w:pPr>
        <w:pStyle w:val="Corpsdetexte"/>
        <w:rPr>
          <w:rFonts w:ascii="Open Sans" w:hAnsi="Open Sans" w:cs="Open Sans"/>
          <w:i w:val="0"/>
        </w:rPr>
      </w:pPr>
    </w:p>
    <w:p w14:paraId="02ED1092"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Le délai de validité des offres est de six (6) mois (180 jours) à compter de la date limite de remise des plis.</w:t>
      </w:r>
    </w:p>
    <w:p w14:paraId="5AED1E5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En tant que de besoin, l'acheteur peut solliciter des candidats ou des soumissionnaires la prorogation du délai de validité des offres.</w:t>
      </w:r>
    </w:p>
    <w:p w14:paraId="55B2D29D" w14:textId="77777777" w:rsidR="006C4F4B" w:rsidRPr="006C4F4B" w:rsidRDefault="006C4F4B" w:rsidP="006C4F4B">
      <w:pPr>
        <w:pStyle w:val="Corpsdetexte"/>
        <w:rPr>
          <w:rFonts w:ascii="Open Sans" w:hAnsi="Open Sans" w:cs="Open Sans"/>
          <w:i w:val="0"/>
        </w:rPr>
      </w:pPr>
    </w:p>
    <w:p w14:paraId="4846C26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Pour ce faire il transmet, pour accord, sa demande à l'ensemble des candidats ou soumissionnaires via la plateforme PLACE. La demande précise la durée de prorogation de la validité des offres.</w:t>
      </w:r>
    </w:p>
    <w:p w14:paraId="5D9CBC70" w14:textId="77777777" w:rsidR="006C4F4B" w:rsidRPr="006C4F4B" w:rsidRDefault="006C4F4B" w:rsidP="006C4F4B">
      <w:pPr>
        <w:pStyle w:val="Corpsdetexte"/>
        <w:rPr>
          <w:rFonts w:ascii="Open Sans" w:hAnsi="Open Sans" w:cs="Open Sans"/>
          <w:i w:val="0"/>
        </w:rPr>
      </w:pPr>
    </w:p>
    <w:p w14:paraId="60F5F86A"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Si le candidat ou le soumissionnaire n'accepte pas de maintenir son offre, l'acheteur poursuit la procédure avec les seuls candidats ou soumissionnaires ayant accepté la prorogation du délai de validité de leur offre.</w:t>
      </w:r>
    </w:p>
    <w:p w14:paraId="4AE0A766" w14:textId="54AEF653" w:rsidR="00D15B52" w:rsidRDefault="00D15B52" w:rsidP="009F1897">
      <w:pPr>
        <w:pStyle w:val="Corpsdetexte"/>
        <w:rPr>
          <w:rFonts w:ascii="Open Sans" w:hAnsi="Open Sans" w:cs="Open Sans"/>
          <w:i w:val="0"/>
        </w:rPr>
      </w:pPr>
    </w:p>
    <w:p w14:paraId="146DA235" w14:textId="19DE5984" w:rsidR="006C4F4B" w:rsidRPr="006C4F4B" w:rsidRDefault="006C4F4B" w:rsidP="006C4F4B">
      <w:pPr>
        <w:pStyle w:val="Titre1"/>
      </w:pPr>
      <w:r w:rsidRPr="006C4F4B">
        <w:t>ATTRIBUTION DU MARCHE</w:t>
      </w:r>
    </w:p>
    <w:p w14:paraId="4CF47CDB" w14:textId="77777777" w:rsidR="006C4F4B" w:rsidRPr="006C4F4B" w:rsidRDefault="006C4F4B" w:rsidP="006C4F4B">
      <w:pPr>
        <w:pStyle w:val="Corpsdetexte"/>
        <w:rPr>
          <w:rFonts w:ascii="Open Sans" w:hAnsi="Open Sans" w:cs="Open Sans"/>
          <w:i w:val="0"/>
        </w:rPr>
      </w:pPr>
    </w:p>
    <w:p w14:paraId="5A66CC57"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L'accord-cadre est attribué au soumissionnaire dont l'offre est économiquement la plus avantageuse, au regard des critères d'attribution énoncés dans le présent règlement de la consultation.</w:t>
      </w:r>
    </w:p>
    <w:p w14:paraId="34BA019E"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Les soumissionnaires évincés sont informés du rejet de leur offre dans les conditions fixées à l’article R.2181-1 et suivants du code de la commande publique.</w:t>
      </w:r>
    </w:p>
    <w:p w14:paraId="5EDCE655" w14:textId="77777777" w:rsidR="006C4F4B" w:rsidRPr="006C4F4B" w:rsidRDefault="006C4F4B" w:rsidP="006C4F4B">
      <w:pPr>
        <w:pStyle w:val="Corpsdetexte"/>
        <w:rPr>
          <w:rFonts w:ascii="Open Sans" w:hAnsi="Open Sans" w:cs="Open Sans"/>
          <w:i w:val="0"/>
        </w:rPr>
      </w:pPr>
    </w:p>
    <w:p w14:paraId="5B7D4636" w14:textId="4E0DD334" w:rsidR="006C4F4B" w:rsidRPr="006C4F4B" w:rsidRDefault="006C4F4B" w:rsidP="006C4F4B">
      <w:pPr>
        <w:pStyle w:val="Titre2"/>
      </w:pPr>
      <w:r w:rsidRPr="006C4F4B">
        <w:t>Interdiction d’attribution</w:t>
      </w:r>
    </w:p>
    <w:p w14:paraId="6FFB5EB4" w14:textId="77777777" w:rsidR="006C4F4B" w:rsidRPr="006C4F4B" w:rsidRDefault="006C4F4B" w:rsidP="006C4F4B">
      <w:pPr>
        <w:pStyle w:val="Corpsdetexte"/>
        <w:rPr>
          <w:rFonts w:ascii="Open Sans" w:hAnsi="Open Sans" w:cs="Open Sans"/>
          <w:i w:val="0"/>
        </w:rPr>
      </w:pPr>
    </w:p>
    <w:p w14:paraId="196D1E79"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 xml:space="preserve">Est exclu de la procédure tout candidat auquel l'acheteur ne peut attribuer le contrat, en application d'une </w:t>
      </w:r>
      <w:r w:rsidRPr="006C4F4B">
        <w:rPr>
          <w:rFonts w:ascii="Open Sans" w:hAnsi="Open Sans" w:cs="Open Sans"/>
          <w:i w:val="0"/>
        </w:rPr>
        <w:lastRenderedPageBreak/>
        <w:t>interdiction émanant d'un texte d'applicabilité directe (accords internationaux, règlement européen...).</w:t>
      </w:r>
    </w:p>
    <w:p w14:paraId="0A36BDD6" w14:textId="77777777" w:rsidR="006C4F4B" w:rsidRPr="006C4F4B" w:rsidRDefault="006C4F4B" w:rsidP="006C4F4B">
      <w:pPr>
        <w:pStyle w:val="Corpsdetexte"/>
        <w:rPr>
          <w:rFonts w:ascii="Open Sans" w:hAnsi="Open Sans" w:cs="Open Sans"/>
          <w:i w:val="0"/>
        </w:rPr>
      </w:pPr>
    </w:p>
    <w:p w14:paraId="711D5EDB" w14:textId="015D8B08" w:rsidR="006C4F4B" w:rsidRPr="006C4F4B" w:rsidRDefault="006C4F4B" w:rsidP="006C4F4B">
      <w:pPr>
        <w:pStyle w:val="Titre2"/>
      </w:pPr>
      <w:r w:rsidRPr="006C4F4B">
        <w:t>Mise au point</w:t>
      </w:r>
    </w:p>
    <w:p w14:paraId="0ECCE688" w14:textId="77777777" w:rsidR="006C4F4B" w:rsidRPr="006C4F4B" w:rsidRDefault="006C4F4B" w:rsidP="006C4F4B">
      <w:pPr>
        <w:pStyle w:val="Corpsdetexte"/>
        <w:rPr>
          <w:rFonts w:ascii="Open Sans" w:hAnsi="Open Sans" w:cs="Open Sans"/>
          <w:i w:val="0"/>
        </w:rPr>
      </w:pPr>
    </w:p>
    <w:p w14:paraId="65B4A354" w14:textId="77777777" w:rsidR="006C4F4B" w:rsidRPr="006C4F4B" w:rsidRDefault="006C4F4B" w:rsidP="006C4F4B">
      <w:pPr>
        <w:pStyle w:val="Corpsdetexte"/>
        <w:rPr>
          <w:rFonts w:ascii="Open Sans" w:hAnsi="Open Sans" w:cs="Open Sans"/>
          <w:i w:val="0"/>
        </w:rPr>
      </w:pPr>
      <w:r w:rsidRPr="006C4F4B">
        <w:rPr>
          <w:rFonts w:ascii="Open Sans" w:hAnsi="Open Sans" w:cs="Open Sans"/>
          <w:i w:val="0"/>
        </w:rPr>
        <w:t>L’acheteur et le soumissionnaire retenu peuvent procéder à une mise au point des composantes du marché. Cette mise au point ne peut avoir pour objet de modifier des éléments substantiels de l'offre ou du présent accord-cadre.</w:t>
      </w:r>
    </w:p>
    <w:p w14:paraId="5DEAC8FF" w14:textId="77777777" w:rsidR="006C4F4B" w:rsidRPr="006C4F4B" w:rsidRDefault="006C4F4B" w:rsidP="006C4F4B">
      <w:pPr>
        <w:pStyle w:val="Corpsdetexte"/>
        <w:rPr>
          <w:rFonts w:ascii="Open Sans" w:hAnsi="Open Sans" w:cs="Open Sans"/>
          <w:i w:val="0"/>
        </w:rPr>
      </w:pPr>
    </w:p>
    <w:p w14:paraId="132DC5AB" w14:textId="584A32DB" w:rsidR="006C4F4B" w:rsidRPr="006C4F4B" w:rsidRDefault="006C4F4B" w:rsidP="006C4F4B">
      <w:pPr>
        <w:pStyle w:val="Titre2"/>
      </w:pPr>
      <w:r w:rsidRPr="006C4F4B">
        <w:t>Signature de l’accord-cadre</w:t>
      </w:r>
    </w:p>
    <w:p w14:paraId="5E04DB3B" w14:textId="77777777" w:rsidR="006C4F4B" w:rsidRPr="006C4F4B" w:rsidRDefault="006C4F4B" w:rsidP="006C4F4B">
      <w:pPr>
        <w:pStyle w:val="Corpsdetexte"/>
        <w:rPr>
          <w:rFonts w:ascii="Open Sans" w:hAnsi="Open Sans" w:cs="Open Sans"/>
          <w:i w:val="0"/>
        </w:rPr>
      </w:pPr>
    </w:p>
    <w:p w14:paraId="572CA9F0" w14:textId="7B5B436B" w:rsidR="00D15B52" w:rsidRPr="006E5758" w:rsidRDefault="006C4F4B" w:rsidP="006C4F4B">
      <w:pPr>
        <w:pStyle w:val="Corpsdetexte"/>
        <w:rPr>
          <w:rFonts w:ascii="Open Sans" w:hAnsi="Open Sans" w:cs="Open Sans"/>
          <w:i w:val="0"/>
        </w:rPr>
      </w:pPr>
      <w:r w:rsidRPr="006C4F4B">
        <w:rPr>
          <w:rFonts w:ascii="Open Sans" w:hAnsi="Open Sans" w:cs="Open Sans"/>
          <w:i w:val="0"/>
        </w:rPr>
        <w:t>L’accord-cadre est signé électroniquement par le soumissionnaire retenu au moyen de l’acte d’engagement qui lui est adressé par l’acheteur.</w:t>
      </w:r>
    </w:p>
    <w:p w14:paraId="2746125F" w14:textId="77777777" w:rsidR="00640B74" w:rsidRPr="006E5758" w:rsidRDefault="00640B74">
      <w:pPr>
        <w:widowControl w:val="0"/>
        <w:autoSpaceDE w:val="0"/>
        <w:autoSpaceDN w:val="0"/>
        <w:adjustRightInd w:val="0"/>
        <w:rPr>
          <w:rFonts w:cs="Open Sans"/>
          <w:b/>
          <w:bCs/>
          <w:szCs w:val="20"/>
        </w:rPr>
      </w:pPr>
    </w:p>
    <w:p w14:paraId="463DFC41" w14:textId="5EAE58A6" w:rsidR="006C4F4B" w:rsidRPr="006C4F4B" w:rsidRDefault="006C4F4B" w:rsidP="006C4F4B">
      <w:pPr>
        <w:pStyle w:val="Titre1"/>
      </w:pPr>
      <w:r w:rsidRPr="006C4F4B">
        <w:t>LANGUE</w:t>
      </w:r>
    </w:p>
    <w:p w14:paraId="53032AF2" w14:textId="77777777" w:rsidR="006C4F4B" w:rsidRPr="006C4F4B" w:rsidRDefault="006C4F4B" w:rsidP="006C4F4B">
      <w:pPr>
        <w:widowControl w:val="0"/>
        <w:autoSpaceDE w:val="0"/>
        <w:autoSpaceDN w:val="0"/>
        <w:adjustRightInd w:val="0"/>
        <w:rPr>
          <w:rFonts w:cs="Open Sans"/>
          <w:b/>
          <w:bCs/>
          <w:szCs w:val="20"/>
        </w:rPr>
      </w:pPr>
    </w:p>
    <w:p w14:paraId="3B935DE1" w14:textId="77777777" w:rsidR="006C4F4B" w:rsidRPr="006C4F4B" w:rsidRDefault="006C4F4B" w:rsidP="006C4F4B">
      <w:r w:rsidRPr="006C4F4B">
        <w:t>La langue utilisée pour présenter les candidatures et les offres est le français.</w:t>
      </w:r>
    </w:p>
    <w:p w14:paraId="1F856405" w14:textId="77777777" w:rsidR="006C4F4B" w:rsidRPr="006C4F4B" w:rsidRDefault="006C4F4B" w:rsidP="006C4F4B"/>
    <w:p w14:paraId="5B5AE124" w14:textId="77777777" w:rsidR="006C4F4B" w:rsidRPr="006C4F4B" w:rsidRDefault="006C4F4B" w:rsidP="006C4F4B">
      <w:r w:rsidRPr="006C4F4B">
        <w:t>Conformément à l’article R. 2143-16 du Code de la commande publique, les pièces accompagnant le dossier de candidature rédigées en langue étrangère seront acceptées uniquement si elles sont accompagnées d’une traduction en langue française.</w:t>
      </w:r>
    </w:p>
    <w:p w14:paraId="642D5678" w14:textId="77777777" w:rsidR="006C4F4B" w:rsidRPr="006C4F4B" w:rsidRDefault="006C4F4B" w:rsidP="006C4F4B">
      <w:pPr>
        <w:widowControl w:val="0"/>
        <w:autoSpaceDE w:val="0"/>
        <w:autoSpaceDN w:val="0"/>
        <w:adjustRightInd w:val="0"/>
        <w:rPr>
          <w:rFonts w:cs="Open Sans"/>
          <w:b/>
          <w:bCs/>
          <w:szCs w:val="20"/>
        </w:rPr>
      </w:pPr>
    </w:p>
    <w:p w14:paraId="3A5B15AE" w14:textId="3E4778ED" w:rsidR="006C4F4B" w:rsidRPr="006C4F4B" w:rsidRDefault="006C4F4B" w:rsidP="006C4F4B">
      <w:pPr>
        <w:pStyle w:val="Titre1"/>
      </w:pPr>
      <w:r w:rsidRPr="006C4F4B">
        <w:t>NOTIFICATION DES RESULTATS</w:t>
      </w:r>
    </w:p>
    <w:p w14:paraId="535B971E" w14:textId="77777777" w:rsidR="006C4F4B" w:rsidRPr="006C4F4B" w:rsidRDefault="006C4F4B" w:rsidP="006C4F4B">
      <w:pPr>
        <w:widowControl w:val="0"/>
        <w:autoSpaceDE w:val="0"/>
        <w:autoSpaceDN w:val="0"/>
        <w:adjustRightInd w:val="0"/>
        <w:rPr>
          <w:rFonts w:cs="Open Sans"/>
          <w:b/>
          <w:bCs/>
          <w:szCs w:val="20"/>
        </w:rPr>
      </w:pPr>
    </w:p>
    <w:p w14:paraId="7BC12ABE" w14:textId="77777777" w:rsidR="006C4F4B" w:rsidRPr="006C4F4B" w:rsidRDefault="006C4F4B" w:rsidP="006C4F4B">
      <w:r w:rsidRPr="006C4F4B">
        <w:t xml:space="preserve">En cas d’absence des attestations de régularité fiscale et sociale ou équivalent mentionnés ci-dessus, le candidat attributaire devra obligatoirement produire ces documents sous un délai de 5 jours à compter de la date de réception de la demande confirmée par lettre avec accusé de réception. </w:t>
      </w:r>
    </w:p>
    <w:p w14:paraId="3C91BADA" w14:textId="77777777" w:rsidR="006C4F4B" w:rsidRPr="006C4F4B" w:rsidRDefault="006C4F4B" w:rsidP="006C4F4B"/>
    <w:p w14:paraId="3DBA128A" w14:textId="77777777" w:rsidR="006C4F4B" w:rsidRPr="006C4F4B" w:rsidRDefault="006C4F4B" w:rsidP="006C4F4B">
      <w:r w:rsidRPr="006C4F4B">
        <w:t>Au cas où ces documents ne parviendraient pas à l’AGEPS dans les délais impartis, la même demande sera faite au candidat classé n° 2 et le candidat classé n° 1 sera éliminé (article R. 2144-7 du Code de la commande publique).</w:t>
      </w:r>
    </w:p>
    <w:p w14:paraId="26660DB4" w14:textId="77777777" w:rsidR="006C4F4B" w:rsidRPr="006C4F4B" w:rsidRDefault="006C4F4B" w:rsidP="006C4F4B"/>
    <w:p w14:paraId="34287680" w14:textId="77777777" w:rsidR="006C4F4B" w:rsidRPr="006C4F4B" w:rsidRDefault="006C4F4B" w:rsidP="006C4F4B">
      <w:r w:rsidRPr="006C4F4B">
        <w:t xml:space="preserve">Le candidat auquel il est envisagé d’attribuer le marché produit en outre dans les mêmes conditions les pièces prévues aux articles D.8222-5 et D.8222-7 du Code du travail (Les documents mentionnés dans la partie F1, ou si le candidat est domicilié à l’étranger, dans la partie G du formulaire NOTI 1 ou équivalent). </w:t>
      </w:r>
    </w:p>
    <w:p w14:paraId="0F56EA9D" w14:textId="77777777" w:rsidR="006C4F4B" w:rsidRPr="006C4F4B" w:rsidRDefault="006C4F4B" w:rsidP="006C4F4B"/>
    <w:p w14:paraId="147341E9" w14:textId="77777777" w:rsidR="006C4F4B" w:rsidRPr="006C4F4B" w:rsidRDefault="006C4F4B" w:rsidP="006C4F4B">
      <w:r w:rsidRPr="006C4F4B">
        <w:t>Dès réception des imprimés OUV7 et des attestations de régularité fiscale et sociale ou équivalent (pièces prévues aux articles D8222-5 et D8222-7 du Code du travail), l’ensemble des candidats est informé par courrier transmis par voie électronique.</w:t>
      </w:r>
    </w:p>
    <w:p w14:paraId="24B435F4" w14:textId="77777777" w:rsidR="006C4F4B" w:rsidRPr="006C4F4B" w:rsidRDefault="006C4F4B" w:rsidP="006C4F4B"/>
    <w:p w14:paraId="30868EDC" w14:textId="77777777" w:rsidR="006C4F4B" w:rsidRPr="006C4F4B" w:rsidRDefault="006C4F4B" w:rsidP="006C4F4B">
      <w:r w:rsidRPr="006C4F4B">
        <w:t>Si la signature électronique est invalide ou absente lors du dépôt des plis, l’attributaire du marché devra signer l’acte d’engagement et ses annexes financières, cette signature conditionnera la validité du marché</w:t>
      </w:r>
    </w:p>
    <w:p w14:paraId="463B7D95" w14:textId="77777777" w:rsidR="00561835" w:rsidRPr="006E5758" w:rsidRDefault="00561835">
      <w:pPr>
        <w:widowControl w:val="0"/>
        <w:autoSpaceDE w:val="0"/>
        <w:autoSpaceDN w:val="0"/>
        <w:adjustRightInd w:val="0"/>
        <w:rPr>
          <w:rFonts w:cs="Open Sans"/>
          <w:b/>
          <w:bCs/>
          <w:szCs w:val="20"/>
        </w:rPr>
      </w:pPr>
    </w:p>
    <w:p w14:paraId="734DAA5F" w14:textId="1EF61EF3" w:rsidR="00561835" w:rsidRPr="006E5758" w:rsidRDefault="006C4F4B" w:rsidP="006C4F4B">
      <w:r w:rsidRPr="006C4F4B">
        <w:t>Après signature du marché par les autorités compétentes, le candidat retenu reçoit via la plate-forme de dématérialisation une copie de l’acte d’engagement. S’il souhaite procéder au nantissement des créances nées de l’exécution du marché, il lui appartient de solliciter la remise d’une copie revêtue de la mention « exemplaire unique ».</w:t>
      </w:r>
    </w:p>
    <w:p w14:paraId="058DF846" w14:textId="77777777" w:rsidR="00561835" w:rsidRPr="006E5758" w:rsidRDefault="00561835">
      <w:pPr>
        <w:widowControl w:val="0"/>
        <w:autoSpaceDE w:val="0"/>
        <w:autoSpaceDN w:val="0"/>
        <w:adjustRightInd w:val="0"/>
        <w:rPr>
          <w:rFonts w:cs="Open Sans"/>
          <w:b/>
          <w:bCs/>
          <w:szCs w:val="20"/>
        </w:rPr>
      </w:pPr>
    </w:p>
    <w:p w14:paraId="38FC0440" w14:textId="05B76098" w:rsidR="006C4F4B" w:rsidRPr="006C4F4B" w:rsidRDefault="006C4F4B" w:rsidP="006C4F4B">
      <w:pPr>
        <w:pStyle w:val="Titre1"/>
      </w:pPr>
      <w:r w:rsidRPr="006C4F4B">
        <w:t>AVANCES</w:t>
      </w:r>
    </w:p>
    <w:p w14:paraId="373BE29E" w14:textId="77777777" w:rsidR="006C4F4B" w:rsidRPr="006C4F4B" w:rsidRDefault="006C4F4B" w:rsidP="006C4F4B">
      <w:pPr>
        <w:widowControl w:val="0"/>
        <w:autoSpaceDE w:val="0"/>
        <w:autoSpaceDN w:val="0"/>
        <w:adjustRightInd w:val="0"/>
        <w:rPr>
          <w:rFonts w:cs="Open Sans"/>
          <w:b/>
          <w:bCs/>
          <w:szCs w:val="20"/>
        </w:rPr>
      </w:pPr>
    </w:p>
    <w:p w14:paraId="0F71994C" w14:textId="6701566C" w:rsidR="006C4F4B" w:rsidRDefault="006C4F4B" w:rsidP="006C4F4B">
      <w:r w:rsidRPr="006C4F4B">
        <w:t>Le Titulaire bénéficie de l’avance, sous réserve des conditions visées aux articles L. 2191-2 et L. 2191-3 du Code de la commande publique. Il peut y renoncer en le mentionnant expressément sur l’acte d’engagement.</w:t>
      </w:r>
    </w:p>
    <w:p w14:paraId="395D57B5" w14:textId="77777777" w:rsidR="006C4F4B" w:rsidRPr="006C4F4B" w:rsidRDefault="006C4F4B" w:rsidP="006C4F4B"/>
    <w:p w14:paraId="1412C08B" w14:textId="77777777" w:rsidR="006C4F4B" w:rsidRPr="006C4F4B" w:rsidRDefault="006C4F4B" w:rsidP="006C4F4B">
      <w:r w:rsidRPr="006C4F4B">
        <w:t>Le titulaire ou son sous-traitant admis au paiement direct bénéficient d'une avance calculée en application du code de la commande publique dès lors que le marché respecte les conditions mentionnées à l'article R. 2191-3 ou que le marché de défense ou de sécurité respecte les conditions mentionnées à l'article R. 2391-1.</w:t>
      </w:r>
    </w:p>
    <w:p w14:paraId="2E71565C" w14:textId="4CFA98DD" w:rsidR="006C4F4B" w:rsidRDefault="006C4F4B" w:rsidP="006C4F4B">
      <w:r w:rsidRPr="006C4F4B">
        <w:lastRenderedPageBreak/>
        <w:t>Lorsque le titulaire ou le sous-traitant est une petite ou moyenne entreprise au sens du code de la commande publique, le taux de l'avance mentionné à l'article R. 2191-10 est fixé à 20 % ou à un taux supérieur fixé par les documents particuliers du marché.</w:t>
      </w:r>
    </w:p>
    <w:p w14:paraId="44C73585" w14:textId="77777777" w:rsidR="006C4F4B" w:rsidRPr="006C4F4B" w:rsidRDefault="006C4F4B" w:rsidP="006C4F4B"/>
    <w:p w14:paraId="4D0AD44C" w14:textId="295D03FD" w:rsidR="006C4F4B" w:rsidRDefault="006C4F4B" w:rsidP="006C4F4B">
      <w:r w:rsidRPr="006C4F4B">
        <w:t>Lorsque le titulaire ou le sous-traitant n'est pas une petite ou moyenne entreprise au sens du code de la commande publique, le taux de l'avance est fixé par les documents particuliers du marché et, à défaut, au taux minimal prévu à l'article R. 2191-7 du code de la commande publique pour les marchés ou par l'article R. 2391-4 pour les marchés de défense ou de sécurité.</w:t>
      </w:r>
    </w:p>
    <w:p w14:paraId="706EBE20" w14:textId="77777777" w:rsidR="006C4F4B" w:rsidRPr="006C4F4B" w:rsidRDefault="006C4F4B" w:rsidP="006C4F4B"/>
    <w:p w14:paraId="337F4F63" w14:textId="77777777" w:rsidR="006C4F4B" w:rsidRPr="006C4F4B" w:rsidRDefault="006C4F4B" w:rsidP="006C4F4B">
      <w:r w:rsidRPr="006C4F4B">
        <w:t>L'avance est versée et remboursée selon les dispositions du code de la commande publique.</w:t>
      </w:r>
    </w:p>
    <w:p w14:paraId="36155265" w14:textId="77777777" w:rsidR="006C4F4B" w:rsidRPr="006C4F4B" w:rsidRDefault="006C4F4B" w:rsidP="006C4F4B">
      <w:pPr>
        <w:widowControl w:val="0"/>
        <w:autoSpaceDE w:val="0"/>
        <w:autoSpaceDN w:val="0"/>
        <w:adjustRightInd w:val="0"/>
        <w:rPr>
          <w:rFonts w:cs="Open Sans"/>
          <w:b/>
          <w:bCs/>
          <w:szCs w:val="20"/>
        </w:rPr>
      </w:pPr>
    </w:p>
    <w:p w14:paraId="6B06C6D4" w14:textId="6380BAD3" w:rsidR="006C4F4B" w:rsidRPr="006C4F4B" w:rsidRDefault="006C4F4B" w:rsidP="006C4F4B">
      <w:pPr>
        <w:pStyle w:val="Titre1"/>
      </w:pPr>
      <w:r w:rsidRPr="006C4F4B">
        <w:t>VOIES DE RECOURS</w:t>
      </w:r>
    </w:p>
    <w:p w14:paraId="7E06A08F" w14:textId="77777777" w:rsidR="006C4F4B" w:rsidRPr="006C4F4B" w:rsidRDefault="006C4F4B" w:rsidP="006C4F4B">
      <w:pPr>
        <w:widowControl w:val="0"/>
        <w:autoSpaceDE w:val="0"/>
        <w:autoSpaceDN w:val="0"/>
        <w:adjustRightInd w:val="0"/>
        <w:rPr>
          <w:rFonts w:cs="Open Sans"/>
          <w:b/>
          <w:bCs/>
          <w:szCs w:val="20"/>
        </w:rPr>
      </w:pPr>
    </w:p>
    <w:p w14:paraId="5F4A7D5E" w14:textId="77777777" w:rsidR="006C4F4B" w:rsidRPr="006C4F4B" w:rsidRDefault="006C4F4B" w:rsidP="006C4F4B">
      <w:r w:rsidRPr="006C4F4B">
        <w:t>Cette consultation peut faire l’objet :</w:t>
      </w:r>
    </w:p>
    <w:p w14:paraId="47B85CE2" w14:textId="77777777" w:rsidR="006C4F4B" w:rsidRPr="006C4F4B" w:rsidRDefault="006C4F4B" w:rsidP="006C4F4B">
      <w:r w:rsidRPr="006C4F4B">
        <w:t xml:space="preserve"> </w:t>
      </w:r>
    </w:p>
    <w:p w14:paraId="06D02CDC" w14:textId="71BAF0C2" w:rsidR="006C4F4B" w:rsidRPr="006C4F4B" w:rsidRDefault="006C4F4B" w:rsidP="009D155F">
      <w:pPr>
        <w:pStyle w:val="Paragraphedeliste"/>
        <w:numPr>
          <w:ilvl w:val="0"/>
          <w:numId w:val="17"/>
        </w:numPr>
      </w:pPr>
      <w:r w:rsidRPr="006C4F4B">
        <w:t xml:space="preserve">d'un référé précontractuel : avant la conclusion du marché et jusqu'à sa date de notification dans les conditions prévues à l'article L 551-1 à L551-12 du code de justice administrative ; </w:t>
      </w:r>
    </w:p>
    <w:p w14:paraId="7B55B6D4" w14:textId="2E3F901F" w:rsidR="006C4F4B" w:rsidRPr="006C4F4B" w:rsidRDefault="006C4F4B" w:rsidP="009D155F">
      <w:pPr>
        <w:pStyle w:val="Paragraphedeliste"/>
        <w:numPr>
          <w:ilvl w:val="0"/>
          <w:numId w:val="17"/>
        </w:numPr>
      </w:pPr>
      <w:r w:rsidRPr="006C4F4B">
        <w:t xml:space="preserve">d’un référé contractuel : dans les conditions définies aux articles L551-13 et L.551-23 et suivants du Code de Justice Administrative ; </w:t>
      </w:r>
    </w:p>
    <w:p w14:paraId="2253EB16" w14:textId="0CED9A46" w:rsidR="006C4F4B" w:rsidRPr="006C4F4B" w:rsidRDefault="006C4F4B" w:rsidP="009D155F">
      <w:pPr>
        <w:pStyle w:val="Paragraphedeliste"/>
        <w:numPr>
          <w:ilvl w:val="0"/>
          <w:numId w:val="17"/>
        </w:numPr>
      </w:pPr>
      <w:r w:rsidRPr="006C4F4B">
        <w:t xml:space="preserve">d'un recours de plein contentieux : dans un délai de deux mois à compter de l'accomplissement des mesures de publicité concernant l'attribution du marché public. </w:t>
      </w:r>
    </w:p>
    <w:p w14:paraId="086E7F71" w14:textId="77777777" w:rsidR="006C4F4B" w:rsidRPr="006C4F4B" w:rsidRDefault="006C4F4B" w:rsidP="006C4F4B"/>
    <w:p w14:paraId="121BBA5E" w14:textId="77777777" w:rsidR="006C4F4B" w:rsidRPr="006C4F4B" w:rsidRDefault="006C4F4B" w:rsidP="006C4F4B">
      <w:r w:rsidRPr="006C4F4B">
        <w:t xml:space="preserve">Auprès du Tribunal Administratif de Paris – 7 rue de Jouy – 75181 Paris Cedex 04. </w:t>
      </w:r>
    </w:p>
    <w:p w14:paraId="4CC950FC" w14:textId="77777777" w:rsidR="006C4F4B" w:rsidRPr="006C4F4B" w:rsidRDefault="006C4F4B" w:rsidP="006C4F4B"/>
    <w:p w14:paraId="6234AD29" w14:textId="77777777" w:rsidR="006C4F4B" w:rsidRPr="006C4F4B" w:rsidRDefault="006C4F4B" w:rsidP="006C4F4B">
      <w:r w:rsidRPr="006C4F4B">
        <w:t xml:space="preserve">Courrier électronique : greffe.ta-paris@juradm.fr </w:t>
      </w:r>
    </w:p>
    <w:p w14:paraId="19E3E107" w14:textId="77777777" w:rsidR="006C4F4B" w:rsidRPr="006C4F4B" w:rsidRDefault="006C4F4B" w:rsidP="006C4F4B">
      <w:r w:rsidRPr="006C4F4B">
        <w:t xml:space="preserve">Téléphone : 01 44 59 44 00 </w:t>
      </w:r>
    </w:p>
    <w:p w14:paraId="563C88EE" w14:textId="77777777" w:rsidR="006C4F4B" w:rsidRPr="006C4F4B" w:rsidRDefault="006C4F4B" w:rsidP="006C4F4B">
      <w:r w:rsidRPr="006C4F4B">
        <w:t xml:space="preserve">Télécopie : 01 44 59 46 46 </w:t>
      </w:r>
    </w:p>
    <w:p w14:paraId="6B5E05EC" w14:textId="77777777" w:rsidR="006C4F4B" w:rsidRPr="006C4F4B" w:rsidRDefault="006C4F4B" w:rsidP="006C4F4B"/>
    <w:p w14:paraId="11162B6B" w14:textId="77777777" w:rsidR="006C4F4B" w:rsidRPr="006C4F4B" w:rsidRDefault="006C4F4B" w:rsidP="006C4F4B">
      <w:r w:rsidRPr="006C4F4B">
        <w:t xml:space="preserve">Organe chargé des procédures de médiation : </w:t>
      </w:r>
    </w:p>
    <w:p w14:paraId="1A8C64F1" w14:textId="77777777" w:rsidR="006C4F4B" w:rsidRPr="006C4F4B" w:rsidRDefault="006C4F4B" w:rsidP="006C4F4B"/>
    <w:p w14:paraId="17092674" w14:textId="77777777" w:rsidR="006C4F4B" w:rsidRPr="006C4F4B" w:rsidRDefault="006C4F4B" w:rsidP="006C4F4B">
      <w:r w:rsidRPr="006C4F4B">
        <w:t xml:space="preserve">Médiateur de la république </w:t>
      </w:r>
    </w:p>
    <w:p w14:paraId="5514ECC2" w14:textId="77777777" w:rsidR="006C4F4B" w:rsidRPr="006C4F4B" w:rsidRDefault="006C4F4B" w:rsidP="006C4F4B">
      <w:r w:rsidRPr="006C4F4B">
        <w:t xml:space="preserve">Contact : consulter la rubrique « où trouver les délégués ? » sur http://www.mediateur-republique.fr/ </w:t>
      </w:r>
    </w:p>
    <w:p w14:paraId="327A4F5A" w14:textId="1ECBA64B" w:rsidR="00561835" w:rsidRPr="006E5758" w:rsidRDefault="006C4F4B" w:rsidP="006C4F4B">
      <w:r w:rsidRPr="006C4F4B">
        <w:t>En cas de litige, le droit français est seul applicable.</w:t>
      </w:r>
    </w:p>
    <w:p w14:paraId="1942F2D5" w14:textId="77777777" w:rsidR="00561835" w:rsidRDefault="00561835">
      <w:pPr>
        <w:widowControl w:val="0"/>
        <w:autoSpaceDE w:val="0"/>
        <w:autoSpaceDN w:val="0"/>
        <w:adjustRightInd w:val="0"/>
        <w:rPr>
          <w:rFonts w:cs="Open Sans"/>
          <w:b/>
          <w:bCs/>
          <w:szCs w:val="20"/>
        </w:rPr>
      </w:pPr>
    </w:p>
    <w:p w14:paraId="386AA5A1" w14:textId="77777777" w:rsidR="00493B9C" w:rsidRDefault="00493B9C">
      <w:pPr>
        <w:widowControl w:val="0"/>
        <w:autoSpaceDE w:val="0"/>
        <w:autoSpaceDN w:val="0"/>
        <w:adjustRightInd w:val="0"/>
        <w:rPr>
          <w:rFonts w:cs="Open Sans"/>
          <w:b/>
          <w:bCs/>
          <w:szCs w:val="20"/>
        </w:rPr>
      </w:pPr>
    </w:p>
    <w:p w14:paraId="6E60D991" w14:textId="77777777" w:rsidR="00493B9C" w:rsidRDefault="00493B9C">
      <w:pPr>
        <w:widowControl w:val="0"/>
        <w:autoSpaceDE w:val="0"/>
        <w:autoSpaceDN w:val="0"/>
        <w:adjustRightInd w:val="0"/>
        <w:rPr>
          <w:rFonts w:cs="Open Sans"/>
          <w:b/>
          <w:bCs/>
          <w:szCs w:val="20"/>
        </w:rPr>
      </w:pPr>
    </w:p>
    <w:p w14:paraId="36636BE9" w14:textId="79426207" w:rsidR="00F90C96" w:rsidRPr="00A52637" w:rsidRDefault="00FC2CCA" w:rsidP="005F6F8B">
      <w:pPr>
        <w:widowControl w:val="0"/>
        <w:autoSpaceDE w:val="0"/>
        <w:autoSpaceDN w:val="0"/>
        <w:adjustRightInd w:val="0"/>
        <w:rPr>
          <w:rFonts w:eastAsia="Arial Unicode MS" w:cs="Open Sans"/>
          <w:b/>
          <w:bCs/>
          <w:sz w:val="18"/>
          <w:szCs w:val="18"/>
        </w:rPr>
      </w:pPr>
      <w:r w:rsidRPr="00A52637">
        <w:rPr>
          <w:rFonts w:cs="Open Sans"/>
          <w:noProof/>
          <w:sz w:val="18"/>
          <w:szCs w:val="18"/>
        </w:rPr>
        <mc:AlternateContent>
          <mc:Choice Requires="wps">
            <w:drawing>
              <wp:anchor distT="0" distB="0" distL="114300" distR="114300" simplePos="0" relativeHeight="251653632" behindDoc="0" locked="0" layoutInCell="1" allowOverlap="1" wp14:anchorId="5CC86CCB" wp14:editId="02B79165">
                <wp:simplePos x="0" y="0"/>
                <wp:positionH relativeFrom="column">
                  <wp:posOffset>4637405</wp:posOffset>
                </wp:positionH>
                <wp:positionV relativeFrom="paragraph">
                  <wp:posOffset>8185150</wp:posOffset>
                </wp:positionV>
                <wp:extent cx="1828800" cy="647700"/>
                <wp:effectExtent l="0" t="0" r="0" b="0"/>
                <wp:wrapNone/>
                <wp:docPr id="9"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D98FE3" w14:textId="77777777" w:rsidR="003E3F9F" w:rsidRPr="00D50780" w:rsidRDefault="003E3F9F" w:rsidP="001A42BC">
                            <w:pPr>
                              <w:pStyle w:val="Corpsdetexte"/>
                              <w:rPr>
                                <w:b/>
                                <w:i w:val="0"/>
                                <w:iCs w:val="0"/>
                                <w:color w:val="000080"/>
                                <w:sz w:val="14"/>
                              </w:rPr>
                            </w:pPr>
                          </w:p>
                          <w:p w14:paraId="1071AC71" w14:textId="77777777" w:rsidR="003E3F9F" w:rsidRPr="00D50780" w:rsidRDefault="003E3F9F" w:rsidP="001A42BC">
                            <w:pPr>
                              <w:pStyle w:val="Corpsdetexte"/>
                              <w:jc w:val="center"/>
                              <w:rPr>
                                <w:b/>
                                <w:i w:val="0"/>
                                <w:iCs w:val="0"/>
                                <w:color w:val="000080"/>
                                <w:sz w:val="22"/>
                                <w:szCs w:val="22"/>
                              </w:rPr>
                            </w:pPr>
                            <w:r w:rsidRPr="00D50780">
                              <w:rPr>
                                <w:b/>
                                <w:i w:val="0"/>
                                <w:iCs w:val="0"/>
                                <w:color w:val="000080"/>
                                <w:sz w:val="22"/>
                                <w:szCs w:val="22"/>
                              </w:rPr>
                              <w:t>C.H.U de BICETRE</w:t>
                            </w:r>
                          </w:p>
                          <w:p w14:paraId="73F12EA2" w14:textId="77777777" w:rsidR="003E3F9F" w:rsidRPr="00D50780" w:rsidRDefault="003E3F9F" w:rsidP="001A42BC">
                            <w:pPr>
                              <w:pStyle w:val="Corpsdetexte"/>
                              <w:jc w:val="center"/>
                              <w:rPr>
                                <w:i w:val="0"/>
                                <w:iCs w:val="0"/>
                                <w:color w:val="000080"/>
                                <w:sz w:val="16"/>
                                <w:szCs w:val="16"/>
                              </w:rPr>
                            </w:pPr>
                            <w:r w:rsidRPr="00D50780">
                              <w:rPr>
                                <w:i w:val="0"/>
                                <w:iCs w:val="0"/>
                                <w:color w:val="000080"/>
                                <w:sz w:val="16"/>
                                <w:szCs w:val="16"/>
                              </w:rPr>
                              <w:t>78, Rue du Général Leclerc</w:t>
                            </w:r>
                          </w:p>
                          <w:p w14:paraId="0696F6EA" w14:textId="77777777" w:rsidR="003E3F9F" w:rsidRDefault="003E3F9F" w:rsidP="001A42BC">
                            <w:pPr>
                              <w:pStyle w:val="Corpsdetexte2"/>
                              <w:jc w:val="center"/>
                              <w:rPr>
                                <w:color w:val="000080"/>
                                <w:sz w:val="16"/>
                                <w:szCs w:val="16"/>
                              </w:rPr>
                            </w:pPr>
                            <w:r w:rsidRPr="00D50780">
                              <w:rPr>
                                <w:color w:val="000080"/>
                                <w:sz w:val="16"/>
                                <w:szCs w:val="16"/>
                              </w:rPr>
                              <w:t>94 270 Le Kremlin Bicêtre</w:t>
                            </w:r>
                          </w:p>
                          <w:p w14:paraId="688B1E6F" w14:textId="77777777" w:rsidR="003E3F9F" w:rsidRPr="00D50780" w:rsidRDefault="003E3F9F" w:rsidP="001A42BC">
                            <w:pPr>
                              <w:pStyle w:val="Corpsdetexte2"/>
                              <w:jc w:val="center"/>
                              <w:rPr>
                                <w:color w:val="000080"/>
                                <w:sz w:val="16"/>
                                <w:szCs w:val="16"/>
                              </w:rPr>
                            </w:pPr>
                          </w:p>
                        </w:txbxContent>
                      </wps:txbx>
                      <wps:bodyPr rot="0" vert="horz" wrap="square" lIns="54000" tIns="36000" rIns="54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C86CCB" id="_x0000_t202" coordsize="21600,21600" o:spt="202" path="m,l,21600r21600,l21600,xe">
                <v:stroke joinstyle="miter"/>
                <v:path gradientshapeok="t" o:connecttype="rect"/>
              </v:shapetype>
              <v:shape id="Text Box 52" o:spid="_x0000_s1026" type="#_x0000_t202" style="position:absolute;left:0;text-align:left;margin-left:365.15pt;margin-top:644.5pt;width:2in;height:51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" stroked="f">
                <v:textbox inset="1.5mm,1mm,1.5mm,1mm">
                  <w:txbxContent>
                    <w:p w14:paraId="17D98FE3" w14:textId="77777777" w:rsidR="003E3F9F" w:rsidRPr="00D50780" w:rsidRDefault="003E3F9F" w:rsidP="001A42BC">
                      <w:pPr>
                        <w:pStyle w:val="Corpsdetexte"/>
                        <w:rPr>
                          <w:b/>
                          <w:i w:val="0"/>
                          <w:iCs w:val="0"/>
                          <w:color w:val="000080"/>
                          <w:sz w:val="14"/>
                        </w:rPr>
                      </w:pPr>
                    </w:p>
                    <w:p w14:paraId="1071AC71" w14:textId="77777777" w:rsidR="003E3F9F" w:rsidRPr="00D50780" w:rsidRDefault="003E3F9F" w:rsidP="001A42BC">
                      <w:pPr>
                        <w:pStyle w:val="Corpsdetexte"/>
                        <w:jc w:val="center"/>
                        <w:rPr>
                          <w:b/>
                          <w:i w:val="0"/>
                          <w:iCs w:val="0"/>
                          <w:color w:val="000080"/>
                          <w:sz w:val="22"/>
                          <w:szCs w:val="22"/>
                        </w:rPr>
                      </w:pPr>
                      <w:r w:rsidRPr="00D50780">
                        <w:rPr>
                          <w:b/>
                          <w:i w:val="0"/>
                          <w:iCs w:val="0"/>
                          <w:color w:val="000080"/>
                          <w:sz w:val="22"/>
                          <w:szCs w:val="22"/>
                        </w:rPr>
                        <w:t>C.H.U de BICETRE</w:t>
                      </w:r>
                    </w:p>
                    <w:p w14:paraId="73F12EA2" w14:textId="77777777" w:rsidR="003E3F9F" w:rsidRPr="00D50780" w:rsidRDefault="003E3F9F" w:rsidP="001A42BC">
                      <w:pPr>
                        <w:pStyle w:val="Corpsdetexte"/>
                        <w:jc w:val="center"/>
                        <w:rPr>
                          <w:i w:val="0"/>
                          <w:iCs w:val="0"/>
                          <w:color w:val="000080"/>
                          <w:sz w:val="16"/>
                          <w:szCs w:val="16"/>
                        </w:rPr>
                      </w:pPr>
                      <w:r w:rsidRPr="00D50780">
                        <w:rPr>
                          <w:i w:val="0"/>
                          <w:iCs w:val="0"/>
                          <w:color w:val="000080"/>
                          <w:sz w:val="16"/>
                          <w:szCs w:val="16"/>
                        </w:rPr>
                        <w:t>78, Rue du Général Leclerc</w:t>
                      </w:r>
                    </w:p>
                    <w:p w14:paraId="0696F6EA" w14:textId="77777777" w:rsidR="003E3F9F" w:rsidRDefault="003E3F9F" w:rsidP="001A42BC">
                      <w:pPr>
                        <w:pStyle w:val="Corpsdetexte2"/>
                        <w:jc w:val="center"/>
                        <w:rPr>
                          <w:color w:val="000080"/>
                          <w:sz w:val="16"/>
                          <w:szCs w:val="16"/>
                        </w:rPr>
                      </w:pPr>
                      <w:r w:rsidRPr="00D50780">
                        <w:rPr>
                          <w:color w:val="000080"/>
                          <w:sz w:val="16"/>
                          <w:szCs w:val="16"/>
                        </w:rPr>
                        <w:t>94 270 Le Kremlin Bicêtre</w:t>
                      </w:r>
                    </w:p>
                    <w:p w14:paraId="688B1E6F" w14:textId="77777777" w:rsidR="003E3F9F" w:rsidRPr="00D50780" w:rsidRDefault="003E3F9F" w:rsidP="001A42BC">
                      <w:pPr>
                        <w:pStyle w:val="Corpsdetexte2"/>
                        <w:jc w:val="center"/>
                        <w:rPr>
                          <w:color w:val="000080"/>
                          <w:sz w:val="16"/>
                          <w:szCs w:val="16"/>
                        </w:rPr>
                      </w:pPr>
                    </w:p>
                  </w:txbxContent>
                </v:textbox>
              </v:shape>
            </w:pict>
          </mc:Fallback>
        </mc:AlternateContent>
      </w:r>
      <w:r w:rsidRPr="00A52637">
        <w:rPr>
          <w:rFonts w:cs="Open Sans"/>
          <w:noProof/>
          <w:sz w:val="18"/>
          <w:szCs w:val="18"/>
        </w:rPr>
        <mc:AlternateContent>
          <mc:Choice Requires="wps">
            <w:drawing>
              <wp:anchor distT="4294967294" distB="4294967294" distL="114298" distR="114298" simplePos="0" relativeHeight="251657728" behindDoc="0" locked="0" layoutInCell="1" allowOverlap="1" wp14:anchorId="4D123391" wp14:editId="4E511D63">
                <wp:simplePos x="0" y="0"/>
                <wp:positionH relativeFrom="column">
                  <wp:posOffset>4488179</wp:posOffset>
                </wp:positionH>
                <wp:positionV relativeFrom="paragraph">
                  <wp:posOffset>30479</wp:posOffset>
                </wp:positionV>
                <wp:extent cx="0" cy="0"/>
                <wp:effectExtent l="0" t="0" r="0" b="0"/>
                <wp:wrapNone/>
                <wp:docPr id="34" name="Connecteur droit avec flèch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0"/>
                        </a:xfrm>
                        <a:prstGeom prst="straightConnector1">
                          <a:avLst/>
                        </a:prstGeom>
                        <a:noFill/>
                        <a:ln w="9525" cap="flat" cmpd="sng" algn="ctr">
                          <a:solidFill>
                            <a:srgbClr val="4F81BD">
                              <a:shade val="95000"/>
                              <a:satMod val="105000"/>
                            </a:srgbClr>
                          </a:solidFill>
                          <a:prstDash val="solid"/>
                          <a:tailEnd type="arrow"/>
                        </a:ln>
                        <a:effectLst/>
                      </wps:spPr>
                      <wps:bodyPr/>
                    </wps:wsp>
                  </a:graphicData>
                </a:graphic>
                <wp14:sizeRelH relativeFrom="page">
                  <wp14:pctWidth>0</wp14:pctWidth>
                </wp14:sizeRelH>
                <wp14:sizeRelV relativeFrom="page">
                  <wp14:pctHeight>0</wp14:pctHeight>
                </wp14:sizeRelV>
              </wp:anchor>
            </w:drawing>
          </mc:Choice>
          <mc:Fallback>
            <w:pict>
              <v:shape w14:anchorId="18FB9564" id="Connecteur droit avec flèche 34" o:spid="_x0000_s1026" type="#_x0000_t32" style="position:absolute;margin-left:353.4pt;margin-top:2.4pt;width:0;height:0;z-index:251657728;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" strokecolor="#4a7ebb">
                <v:stroke endarrow="open"/>
                <o:lock v:ext="edit" shapetype="f"/>
              </v:shape>
            </w:pict>
          </mc:Fallback>
        </mc:AlternateContent>
      </w:r>
      <w:r w:rsidRPr="00A52637">
        <w:rPr>
          <w:rFonts w:cs="Open Sans"/>
          <w:noProof/>
          <w:sz w:val="18"/>
          <w:szCs w:val="18"/>
        </w:rPr>
        <mc:AlternateContent>
          <mc:Choice Requires="wps">
            <w:drawing>
              <wp:anchor distT="0" distB="0" distL="114300" distR="114300" simplePos="0" relativeHeight="251648512" behindDoc="0" locked="0" layoutInCell="1" allowOverlap="1" wp14:anchorId="18E14565" wp14:editId="152FF2C9">
                <wp:simplePos x="0" y="0"/>
                <wp:positionH relativeFrom="column">
                  <wp:posOffset>3370580</wp:posOffset>
                </wp:positionH>
                <wp:positionV relativeFrom="paragraph">
                  <wp:posOffset>5239385</wp:posOffset>
                </wp:positionV>
                <wp:extent cx="1188720" cy="182880"/>
                <wp:effectExtent l="0" t="0" r="0" b="7620"/>
                <wp:wrapNone/>
                <wp:docPr id="1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8720" cy="1828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31D624" w14:textId="77777777" w:rsidR="003E3F9F" w:rsidRDefault="003E3F9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E14565" id="Text Box 20" o:spid="_x0000_s1027" type="#_x0000_t202" style="position:absolute;left:0;text-align:left;margin-left:265.4pt;margin-top:412.55pt;width:93.6pt;height:14.4pt;z-index:25164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" stroked="f">
                <v:textbox>
                  <w:txbxContent>
                    <w:p w14:paraId="0731D624" w14:textId="77777777" w:rsidR="003E3F9F" w:rsidRDefault="003E3F9F"/>
                  </w:txbxContent>
                </v:textbox>
              </v:shape>
            </w:pict>
          </mc:Fallback>
        </mc:AlternateContent>
      </w:r>
    </w:p>
    <w:sectPr w:rsidR="00F90C96" w:rsidRPr="00A52637" w:rsidSect="007E39DE">
      <w:footerReference w:type="default" r:id="rId17"/>
      <w:pgSz w:w="11907" w:h="16840" w:code="9"/>
      <w:pgMar w:top="567" w:right="567" w:bottom="567" w:left="567" w:header="284" w:footer="2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9FEE30" w14:textId="77777777" w:rsidR="003E3F9F" w:rsidRDefault="003E3F9F">
      <w:r>
        <w:separator/>
      </w:r>
    </w:p>
  </w:endnote>
  <w:endnote w:type="continuationSeparator" w:id="0">
    <w:p w14:paraId="4D7E6C37" w14:textId="77777777" w:rsidR="003E3F9F" w:rsidRDefault="003E3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ndale Sans UI">
    <w:altName w:val="Arial Unicode MS"/>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6520"/>
      <w:gridCol w:w="1701"/>
    </w:tblGrid>
    <w:tr w:rsidR="003E3F9F" w:rsidRPr="00B10C7A" w14:paraId="43FF1577" w14:textId="77777777" w:rsidTr="002E7B67">
      <w:tc>
        <w:tcPr>
          <w:tcW w:w="1702" w:type="dxa"/>
          <w:tcBorders>
            <w:top w:val="single" w:sz="4" w:space="0" w:color="auto"/>
            <w:left w:val="single" w:sz="4" w:space="0" w:color="auto"/>
            <w:bottom w:val="single" w:sz="4" w:space="0" w:color="auto"/>
            <w:right w:val="single" w:sz="4" w:space="0" w:color="auto"/>
          </w:tcBorders>
          <w:vAlign w:val="center"/>
        </w:tcPr>
        <w:p w14:paraId="0402A295" w14:textId="77777777" w:rsidR="003E3F9F" w:rsidRPr="00B10C7A" w:rsidRDefault="003E3F9F">
          <w:pPr>
            <w:pStyle w:val="Pieddepage"/>
            <w:jc w:val="center"/>
            <w:rPr>
              <w:rFonts w:cs="Open Sans"/>
              <w:szCs w:val="20"/>
              <w:lang w:val="en-GB"/>
            </w:rPr>
          </w:pPr>
          <w:r w:rsidRPr="00B10C7A">
            <w:rPr>
              <w:rFonts w:cs="Open Sans"/>
              <w:szCs w:val="20"/>
              <w:lang w:val="en-GB"/>
            </w:rPr>
            <w:t>A.P.-H.P.</w:t>
          </w:r>
        </w:p>
      </w:tc>
      <w:tc>
        <w:tcPr>
          <w:tcW w:w="6520" w:type="dxa"/>
          <w:tcBorders>
            <w:top w:val="single" w:sz="4" w:space="0" w:color="auto"/>
            <w:left w:val="single" w:sz="4" w:space="0" w:color="auto"/>
            <w:bottom w:val="single" w:sz="4" w:space="0" w:color="auto"/>
            <w:right w:val="single" w:sz="4" w:space="0" w:color="auto"/>
          </w:tcBorders>
          <w:vAlign w:val="center"/>
        </w:tcPr>
        <w:p w14:paraId="7423D204" w14:textId="77777777" w:rsidR="003E3F9F" w:rsidRPr="00B10C7A" w:rsidRDefault="003E3F9F" w:rsidP="00F15560">
          <w:pPr>
            <w:pStyle w:val="Pieddepage"/>
            <w:jc w:val="center"/>
            <w:rPr>
              <w:rFonts w:cs="Open Sans"/>
              <w:szCs w:val="20"/>
            </w:rPr>
          </w:pPr>
          <w:r w:rsidRPr="00B10C7A">
            <w:rPr>
              <w:rFonts w:cs="Open Sans"/>
              <w:szCs w:val="20"/>
            </w:rPr>
            <w:t xml:space="preserve">Consultation n° </w:t>
          </w:r>
          <w:r w:rsidR="00F15560">
            <w:rPr>
              <w:rFonts w:cs="Open Sans"/>
              <w:szCs w:val="20"/>
            </w:rPr>
            <w:t>24-034 IT</w:t>
          </w:r>
        </w:p>
      </w:tc>
      <w:tc>
        <w:tcPr>
          <w:tcW w:w="1701" w:type="dxa"/>
          <w:tcBorders>
            <w:top w:val="single" w:sz="4" w:space="0" w:color="auto"/>
            <w:left w:val="single" w:sz="4" w:space="0" w:color="auto"/>
            <w:bottom w:val="single" w:sz="4" w:space="0" w:color="auto"/>
            <w:right w:val="single" w:sz="4" w:space="0" w:color="auto"/>
          </w:tcBorders>
          <w:vAlign w:val="center"/>
        </w:tcPr>
        <w:p w14:paraId="1D3CE3E2" w14:textId="77777777" w:rsidR="003E3F9F" w:rsidRPr="00B10C7A" w:rsidRDefault="00F15560">
          <w:pPr>
            <w:pStyle w:val="Pieddepage"/>
            <w:jc w:val="center"/>
            <w:rPr>
              <w:rFonts w:cs="Open Sans"/>
              <w:szCs w:val="20"/>
              <w:lang w:val="en-GB"/>
            </w:rPr>
          </w:pPr>
          <w:r>
            <w:rPr>
              <w:rFonts w:cs="Open Sans"/>
              <w:szCs w:val="20"/>
              <w:lang w:val="en-GB"/>
            </w:rPr>
            <w:t>AGEPS</w:t>
          </w:r>
        </w:p>
      </w:tc>
    </w:tr>
    <w:tr w:rsidR="003E3F9F" w:rsidRPr="00B10C7A" w14:paraId="281089EE" w14:textId="77777777" w:rsidTr="002E7B67">
      <w:tc>
        <w:tcPr>
          <w:tcW w:w="1702" w:type="dxa"/>
          <w:tcBorders>
            <w:top w:val="single" w:sz="4" w:space="0" w:color="auto"/>
            <w:left w:val="single" w:sz="4" w:space="0" w:color="auto"/>
            <w:bottom w:val="single" w:sz="4" w:space="0" w:color="auto"/>
            <w:right w:val="single" w:sz="4" w:space="0" w:color="auto"/>
          </w:tcBorders>
          <w:vAlign w:val="center"/>
        </w:tcPr>
        <w:p w14:paraId="2BE75132" w14:textId="77777777" w:rsidR="003E3F9F" w:rsidRPr="00B10C7A" w:rsidRDefault="003E3F9F" w:rsidP="00A740D7">
          <w:pPr>
            <w:pStyle w:val="Pieddepage"/>
            <w:jc w:val="center"/>
            <w:rPr>
              <w:rFonts w:cs="Open Sans"/>
              <w:szCs w:val="20"/>
            </w:rPr>
          </w:pPr>
          <w:r w:rsidRPr="00B10C7A">
            <w:rPr>
              <w:rFonts w:cs="Open Sans"/>
              <w:szCs w:val="20"/>
            </w:rPr>
            <w:t>RC.10</w:t>
          </w:r>
        </w:p>
        <w:p w14:paraId="6422B245" w14:textId="77777777" w:rsidR="003E3F9F" w:rsidRPr="00B10C7A" w:rsidRDefault="003E3F9F" w:rsidP="00AF429A">
          <w:pPr>
            <w:pStyle w:val="Pieddepage"/>
            <w:jc w:val="center"/>
            <w:rPr>
              <w:rFonts w:cs="Open Sans"/>
              <w:szCs w:val="20"/>
            </w:rPr>
          </w:pPr>
        </w:p>
      </w:tc>
      <w:tc>
        <w:tcPr>
          <w:tcW w:w="6520" w:type="dxa"/>
          <w:tcBorders>
            <w:top w:val="single" w:sz="4" w:space="0" w:color="auto"/>
            <w:left w:val="single" w:sz="4" w:space="0" w:color="auto"/>
            <w:bottom w:val="single" w:sz="4" w:space="0" w:color="auto"/>
            <w:right w:val="single" w:sz="4" w:space="0" w:color="auto"/>
          </w:tcBorders>
          <w:vAlign w:val="center"/>
        </w:tcPr>
        <w:p w14:paraId="221DE95E" w14:textId="55D90864" w:rsidR="003E3F9F" w:rsidRPr="00B10C7A" w:rsidRDefault="00F15560" w:rsidP="000401C3">
          <w:pPr>
            <w:pStyle w:val="Pieddepage"/>
            <w:jc w:val="center"/>
            <w:rPr>
              <w:rFonts w:cs="Open Sans"/>
              <w:szCs w:val="20"/>
            </w:rPr>
          </w:pPr>
          <w:r>
            <w:rPr>
              <w:rFonts w:cs="Open Sans"/>
              <w:szCs w:val="20"/>
            </w:rPr>
            <w:t xml:space="preserve">Règlement de </w:t>
          </w:r>
          <w:r w:rsidR="00144829">
            <w:rPr>
              <w:rFonts w:cs="Open Sans"/>
              <w:szCs w:val="20"/>
            </w:rPr>
            <w:t>Consultation</w:t>
          </w:r>
        </w:p>
      </w:tc>
      <w:tc>
        <w:tcPr>
          <w:tcW w:w="1701" w:type="dxa"/>
          <w:tcBorders>
            <w:top w:val="single" w:sz="4" w:space="0" w:color="auto"/>
            <w:left w:val="single" w:sz="4" w:space="0" w:color="auto"/>
            <w:bottom w:val="single" w:sz="4" w:space="0" w:color="auto"/>
            <w:right w:val="single" w:sz="4" w:space="0" w:color="auto"/>
          </w:tcBorders>
          <w:vAlign w:val="center"/>
        </w:tcPr>
        <w:p w14:paraId="708E8EFE" w14:textId="34A130B8" w:rsidR="003E3F9F" w:rsidRPr="00B10C7A" w:rsidRDefault="003E3F9F">
          <w:pPr>
            <w:pStyle w:val="Pieddepage"/>
            <w:jc w:val="center"/>
            <w:rPr>
              <w:rFonts w:cs="Open Sans"/>
              <w:szCs w:val="20"/>
            </w:rPr>
          </w:pPr>
          <w:r w:rsidRPr="00B10C7A">
            <w:rPr>
              <w:rStyle w:val="Numrodepage"/>
              <w:rFonts w:ascii="Open Sans" w:hAnsi="Open Sans" w:cs="Open Sans"/>
              <w:szCs w:val="20"/>
            </w:rPr>
            <w:fldChar w:fldCharType="begin"/>
          </w:r>
          <w:r w:rsidRPr="00B10C7A">
            <w:rPr>
              <w:rStyle w:val="Numrodepage"/>
              <w:rFonts w:ascii="Open Sans" w:hAnsi="Open Sans" w:cs="Open Sans"/>
              <w:szCs w:val="20"/>
            </w:rPr>
            <w:instrText xml:space="preserve"> PAGE </w:instrText>
          </w:r>
          <w:r w:rsidRPr="00B10C7A">
            <w:rPr>
              <w:rStyle w:val="Numrodepage"/>
              <w:rFonts w:ascii="Open Sans" w:hAnsi="Open Sans" w:cs="Open Sans"/>
              <w:szCs w:val="20"/>
            </w:rPr>
            <w:fldChar w:fldCharType="separate"/>
          </w:r>
          <w:r w:rsidR="00291AB6">
            <w:rPr>
              <w:rStyle w:val="Numrodepage"/>
              <w:rFonts w:ascii="Open Sans" w:hAnsi="Open Sans" w:cs="Open Sans"/>
              <w:noProof/>
              <w:szCs w:val="20"/>
            </w:rPr>
            <w:t>17</w:t>
          </w:r>
          <w:r w:rsidRPr="00B10C7A">
            <w:rPr>
              <w:rStyle w:val="Numrodepage"/>
              <w:rFonts w:ascii="Open Sans" w:hAnsi="Open Sans" w:cs="Open Sans"/>
              <w:szCs w:val="20"/>
            </w:rPr>
            <w:fldChar w:fldCharType="end"/>
          </w:r>
          <w:r w:rsidRPr="00B10C7A">
            <w:rPr>
              <w:rStyle w:val="Numrodepage"/>
              <w:rFonts w:ascii="Open Sans" w:hAnsi="Open Sans" w:cs="Open Sans"/>
              <w:szCs w:val="20"/>
            </w:rPr>
            <w:t xml:space="preserve"> / </w:t>
          </w:r>
          <w:r w:rsidRPr="00B10C7A">
            <w:rPr>
              <w:rStyle w:val="Numrodepage"/>
              <w:rFonts w:ascii="Open Sans" w:hAnsi="Open Sans" w:cs="Open Sans"/>
              <w:szCs w:val="20"/>
            </w:rPr>
            <w:fldChar w:fldCharType="begin"/>
          </w:r>
          <w:r w:rsidRPr="00B10C7A">
            <w:rPr>
              <w:rStyle w:val="Numrodepage"/>
              <w:rFonts w:ascii="Open Sans" w:hAnsi="Open Sans" w:cs="Open Sans"/>
              <w:szCs w:val="20"/>
            </w:rPr>
            <w:instrText xml:space="preserve"> NUMPAGES </w:instrText>
          </w:r>
          <w:r w:rsidRPr="00B10C7A">
            <w:rPr>
              <w:rStyle w:val="Numrodepage"/>
              <w:rFonts w:ascii="Open Sans" w:hAnsi="Open Sans" w:cs="Open Sans"/>
              <w:szCs w:val="20"/>
            </w:rPr>
            <w:fldChar w:fldCharType="separate"/>
          </w:r>
          <w:r w:rsidR="00291AB6">
            <w:rPr>
              <w:rStyle w:val="Numrodepage"/>
              <w:rFonts w:ascii="Open Sans" w:hAnsi="Open Sans" w:cs="Open Sans"/>
              <w:noProof/>
              <w:szCs w:val="20"/>
            </w:rPr>
            <w:t>17</w:t>
          </w:r>
          <w:r w:rsidRPr="00B10C7A">
            <w:rPr>
              <w:rStyle w:val="Numrodepage"/>
              <w:rFonts w:ascii="Open Sans" w:hAnsi="Open Sans" w:cs="Open Sans"/>
              <w:szCs w:val="20"/>
            </w:rPr>
            <w:fldChar w:fldCharType="end"/>
          </w:r>
        </w:p>
      </w:tc>
    </w:tr>
  </w:tbl>
  <w:p w14:paraId="1D88396B" w14:textId="77777777" w:rsidR="003E3F9F" w:rsidRDefault="003E3F9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81BA3F" w14:textId="77777777" w:rsidR="003E3F9F" w:rsidRDefault="003E3F9F">
      <w:r>
        <w:separator/>
      </w:r>
    </w:p>
  </w:footnote>
  <w:footnote w:type="continuationSeparator" w:id="0">
    <w:p w14:paraId="385BE6DF" w14:textId="77777777" w:rsidR="003E3F9F" w:rsidRDefault="003E3F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4B736A"/>
    <w:multiLevelType w:val="hybridMultilevel"/>
    <w:tmpl w:val="E85EFB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711C20"/>
    <w:multiLevelType w:val="hybridMultilevel"/>
    <w:tmpl w:val="680AD538"/>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C9852DD"/>
    <w:multiLevelType w:val="hybridMultilevel"/>
    <w:tmpl w:val="4F480270"/>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0B77D15"/>
    <w:multiLevelType w:val="hybridMultilevel"/>
    <w:tmpl w:val="0800493A"/>
    <w:lvl w:ilvl="0" w:tplc="4A60B7A4">
      <w:numFmt w:val="bullet"/>
      <w:lvlText w:val=""/>
      <w:lvlJc w:val="left"/>
      <w:pPr>
        <w:ind w:left="1069" w:hanging="360"/>
      </w:pPr>
      <w:rPr>
        <w:rFonts w:ascii="Symbol" w:hAnsi="Symbol"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4" w15:restartNumberingAfterBreak="0">
    <w:nsid w:val="23F1123F"/>
    <w:multiLevelType w:val="hybridMultilevel"/>
    <w:tmpl w:val="7BD870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0958E4"/>
    <w:multiLevelType w:val="hybridMultilevel"/>
    <w:tmpl w:val="6E00809C"/>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6507EE1"/>
    <w:multiLevelType w:val="hybridMultilevel"/>
    <w:tmpl w:val="95A0AB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7E36BB3"/>
    <w:multiLevelType w:val="hybridMultilevel"/>
    <w:tmpl w:val="0F0EFD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2D302E"/>
    <w:multiLevelType w:val="hybridMultilevel"/>
    <w:tmpl w:val="2ED02D76"/>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1C34213"/>
    <w:multiLevelType w:val="hybridMultilevel"/>
    <w:tmpl w:val="2A682BEE"/>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0" w15:restartNumberingAfterBreak="0">
    <w:nsid w:val="39861463"/>
    <w:multiLevelType w:val="hybridMultilevel"/>
    <w:tmpl w:val="95880E28"/>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B405920"/>
    <w:multiLevelType w:val="multilevel"/>
    <w:tmpl w:val="30602BEE"/>
    <w:lvl w:ilvl="0">
      <w:start w:val="1"/>
      <w:numFmt w:val="decimal"/>
      <w:pStyle w:val="Titre1"/>
      <w:lvlText w:val="ARTICLE %1."/>
      <w:lvlJc w:val="left"/>
      <w:pPr>
        <w:tabs>
          <w:tab w:val="num" w:pos="2935"/>
        </w:tabs>
        <w:ind w:left="1135" w:firstLine="0"/>
      </w:pPr>
      <w:rPr>
        <w:rFonts w:hint="default"/>
      </w:rPr>
    </w:lvl>
    <w:lvl w:ilvl="1">
      <w:start w:val="1"/>
      <w:numFmt w:val="decimal"/>
      <w:pStyle w:val="Titre2"/>
      <w:lvlText w:val="%1.%2"/>
      <w:lvlJc w:val="left"/>
      <w:pPr>
        <w:tabs>
          <w:tab w:val="num" w:pos="720"/>
        </w:tabs>
        <w:ind w:left="0" w:firstLine="0"/>
      </w:pPr>
      <w:rPr>
        <w:rFonts w:hint="default"/>
        <w:sz w:val="28"/>
      </w:rPr>
    </w:lvl>
    <w:lvl w:ilvl="2">
      <w:start w:val="1"/>
      <w:numFmt w:val="lowerLetter"/>
      <w:pStyle w:val="Titre3"/>
      <w:lvlText w:val="(%3)"/>
      <w:lvlJc w:val="left"/>
      <w:pPr>
        <w:tabs>
          <w:tab w:val="num" w:pos="720"/>
        </w:tabs>
        <w:ind w:left="720" w:hanging="432"/>
      </w:pPr>
      <w:rPr>
        <w:rFonts w:hint="default"/>
      </w:rPr>
    </w:lvl>
    <w:lvl w:ilvl="3">
      <w:start w:val="1"/>
      <w:numFmt w:val="lowerRoman"/>
      <w:pStyle w:val="Titre4"/>
      <w:lvlText w:val="(%4)"/>
      <w:lvlJc w:val="right"/>
      <w:pPr>
        <w:tabs>
          <w:tab w:val="num" w:pos="864"/>
        </w:tabs>
        <w:ind w:left="864" w:hanging="144"/>
      </w:pPr>
      <w:rPr>
        <w:rFonts w:hint="default"/>
      </w:rPr>
    </w:lvl>
    <w:lvl w:ilvl="4">
      <w:start w:val="1"/>
      <w:numFmt w:val="decimal"/>
      <w:pStyle w:val="Titre5"/>
      <w:lvlText w:val="%5)"/>
      <w:lvlJc w:val="left"/>
      <w:pPr>
        <w:tabs>
          <w:tab w:val="num" w:pos="1008"/>
        </w:tabs>
        <w:ind w:left="1008" w:hanging="432"/>
      </w:pPr>
      <w:rPr>
        <w:rFonts w:hint="default"/>
      </w:rPr>
    </w:lvl>
    <w:lvl w:ilvl="5">
      <w:start w:val="1"/>
      <w:numFmt w:val="lowerLetter"/>
      <w:pStyle w:val="Titre6"/>
      <w:lvlText w:val="%6)"/>
      <w:lvlJc w:val="left"/>
      <w:pPr>
        <w:tabs>
          <w:tab w:val="num" w:pos="1152"/>
        </w:tabs>
        <w:ind w:left="1152" w:hanging="432"/>
      </w:pPr>
      <w:rPr>
        <w:rFonts w:hint="default"/>
      </w:rPr>
    </w:lvl>
    <w:lvl w:ilvl="6">
      <w:start w:val="1"/>
      <w:numFmt w:val="lowerRoman"/>
      <w:pStyle w:val="Titre7"/>
      <w:lvlText w:val="%7)"/>
      <w:lvlJc w:val="right"/>
      <w:pPr>
        <w:tabs>
          <w:tab w:val="num" w:pos="1296"/>
        </w:tabs>
        <w:ind w:left="1296" w:hanging="288"/>
      </w:pPr>
      <w:rPr>
        <w:rFonts w:hint="default"/>
      </w:rPr>
    </w:lvl>
    <w:lvl w:ilvl="7">
      <w:start w:val="1"/>
      <w:numFmt w:val="lowerLetter"/>
      <w:pStyle w:val="Titre8"/>
      <w:lvlText w:val="%8."/>
      <w:lvlJc w:val="left"/>
      <w:pPr>
        <w:tabs>
          <w:tab w:val="num" w:pos="1440"/>
        </w:tabs>
        <w:ind w:left="1440" w:hanging="432"/>
      </w:pPr>
      <w:rPr>
        <w:rFonts w:hint="default"/>
      </w:rPr>
    </w:lvl>
    <w:lvl w:ilvl="8">
      <w:start w:val="1"/>
      <w:numFmt w:val="lowerRoman"/>
      <w:pStyle w:val="Titre9"/>
      <w:lvlText w:val="%9."/>
      <w:lvlJc w:val="right"/>
      <w:pPr>
        <w:tabs>
          <w:tab w:val="num" w:pos="1584"/>
        </w:tabs>
        <w:ind w:left="1584" w:hanging="144"/>
      </w:pPr>
      <w:rPr>
        <w:rFonts w:hint="default"/>
      </w:rPr>
    </w:lvl>
  </w:abstractNum>
  <w:abstractNum w:abstractNumId="12" w15:restartNumberingAfterBreak="0">
    <w:nsid w:val="3F7D61DF"/>
    <w:multiLevelType w:val="hybridMultilevel"/>
    <w:tmpl w:val="CC6E2CC8"/>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3" w15:restartNumberingAfterBreak="0">
    <w:nsid w:val="466A1871"/>
    <w:multiLevelType w:val="hybridMultilevel"/>
    <w:tmpl w:val="CAFE0EBA"/>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9D5388A"/>
    <w:multiLevelType w:val="hybridMultilevel"/>
    <w:tmpl w:val="43209320"/>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0A80776"/>
    <w:multiLevelType w:val="hybridMultilevel"/>
    <w:tmpl w:val="8422A16E"/>
    <w:lvl w:ilvl="0" w:tplc="B9BC0ACE">
      <w:numFmt w:val="bullet"/>
      <w:lvlText w:val="-"/>
      <w:lvlJc w:val="left"/>
      <w:pPr>
        <w:ind w:left="720" w:hanging="360"/>
      </w:pPr>
      <w:rPr>
        <w:rFonts w:ascii="Microsoft Sans Serif" w:eastAsia="Microsoft Sans Serif" w:hAnsi="Microsoft Sans Serif" w:cs="Microsoft Sans Serif" w:hint="default"/>
        <w:w w:val="96"/>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2752343"/>
    <w:multiLevelType w:val="hybridMultilevel"/>
    <w:tmpl w:val="D5BAF37C"/>
    <w:lvl w:ilvl="0" w:tplc="4EF21588">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9"/>
  </w:num>
  <w:num w:numId="3">
    <w:abstractNumId w:val="1"/>
  </w:num>
  <w:num w:numId="4">
    <w:abstractNumId w:val="10"/>
  </w:num>
  <w:num w:numId="5">
    <w:abstractNumId w:val="12"/>
  </w:num>
  <w:num w:numId="6">
    <w:abstractNumId w:val="13"/>
  </w:num>
  <w:num w:numId="7">
    <w:abstractNumId w:val="3"/>
  </w:num>
  <w:num w:numId="8">
    <w:abstractNumId w:val="14"/>
  </w:num>
  <w:num w:numId="9">
    <w:abstractNumId w:val="15"/>
  </w:num>
  <w:num w:numId="10">
    <w:abstractNumId w:val="5"/>
  </w:num>
  <w:num w:numId="11">
    <w:abstractNumId w:val="16"/>
  </w:num>
  <w:num w:numId="12">
    <w:abstractNumId w:val="7"/>
  </w:num>
  <w:num w:numId="13">
    <w:abstractNumId w:val="0"/>
  </w:num>
  <w:num w:numId="14">
    <w:abstractNumId w:val="4"/>
  </w:num>
  <w:num w:numId="15">
    <w:abstractNumId w:val="8"/>
  </w:num>
  <w:num w:numId="16">
    <w:abstractNumId w:val="6"/>
  </w:num>
  <w:num w:numId="17">
    <w:abstractNumId w:val="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6625"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324A"/>
    <w:rsid w:val="000008CC"/>
    <w:rsid w:val="00000B4F"/>
    <w:rsid w:val="000013AF"/>
    <w:rsid w:val="0000185C"/>
    <w:rsid w:val="0000231E"/>
    <w:rsid w:val="00003B56"/>
    <w:rsid w:val="00004891"/>
    <w:rsid w:val="00004A1A"/>
    <w:rsid w:val="000057AE"/>
    <w:rsid w:val="00006FDD"/>
    <w:rsid w:val="0000774B"/>
    <w:rsid w:val="00010366"/>
    <w:rsid w:val="000116A7"/>
    <w:rsid w:val="00013576"/>
    <w:rsid w:val="00015A24"/>
    <w:rsid w:val="000162E9"/>
    <w:rsid w:val="000169CB"/>
    <w:rsid w:val="00016C9C"/>
    <w:rsid w:val="00022073"/>
    <w:rsid w:val="00022395"/>
    <w:rsid w:val="00026E56"/>
    <w:rsid w:val="000278FD"/>
    <w:rsid w:val="00027AC8"/>
    <w:rsid w:val="000316B7"/>
    <w:rsid w:val="0003202A"/>
    <w:rsid w:val="000336D6"/>
    <w:rsid w:val="00033A82"/>
    <w:rsid w:val="00034FC8"/>
    <w:rsid w:val="00035A80"/>
    <w:rsid w:val="00035FC9"/>
    <w:rsid w:val="00036B84"/>
    <w:rsid w:val="000401C3"/>
    <w:rsid w:val="00040951"/>
    <w:rsid w:val="000417E8"/>
    <w:rsid w:val="00042C21"/>
    <w:rsid w:val="00044276"/>
    <w:rsid w:val="00044609"/>
    <w:rsid w:val="00047CB3"/>
    <w:rsid w:val="000514A2"/>
    <w:rsid w:val="0005234C"/>
    <w:rsid w:val="00052431"/>
    <w:rsid w:val="0005245E"/>
    <w:rsid w:val="00053859"/>
    <w:rsid w:val="00053C7F"/>
    <w:rsid w:val="00054C6B"/>
    <w:rsid w:val="00057654"/>
    <w:rsid w:val="0005786F"/>
    <w:rsid w:val="00061440"/>
    <w:rsid w:val="00062B32"/>
    <w:rsid w:val="00065076"/>
    <w:rsid w:val="00066B86"/>
    <w:rsid w:val="00073465"/>
    <w:rsid w:val="00073541"/>
    <w:rsid w:val="000737B1"/>
    <w:rsid w:val="00076D36"/>
    <w:rsid w:val="00077056"/>
    <w:rsid w:val="000800CA"/>
    <w:rsid w:val="000826DA"/>
    <w:rsid w:val="00083F85"/>
    <w:rsid w:val="00084689"/>
    <w:rsid w:val="00085D07"/>
    <w:rsid w:val="00086140"/>
    <w:rsid w:val="0008642B"/>
    <w:rsid w:val="00086AF4"/>
    <w:rsid w:val="000879FF"/>
    <w:rsid w:val="000937C8"/>
    <w:rsid w:val="00093EC9"/>
    <w:rsid w:val="000943AE"/>
    <w:rsid w:val="000943E0"/>
    <w:rsid w:val="000956D5"/>
    <w:rsid w:val="000A20B5"/>
    <w:rsid w:val="000A4B7D"/>
    <w:rsid w:val="000A5E5D"/>
    <w:rsid w:val="000A69E1"/>
    <w:rsid w:val="000B3176"/>
    <w:rsid w:val="000B5B2C"/>
    <w:rsid w:val="000B5C15"/>
    <w:rsid w:val="000B79FD"/>
    <w:rsid w:val="000C33FD"/>
    <w:rsid w:val="000C6FFD"/>
    <w:rsid w:val="000C767E"/>
    <w:rsid w:val="000C7C1F"/>
    <w:rsid w:val="000D1398"/>
    <w:rsid w:val="000D349B"/>
    <w:rsid w:val="000D4870"/>
    <w:rsid w:val="000D5282"/>
    <w:rsid w:val="000D53B0"/>
    <w:rsid w:val="000D7F11"/>
    <w:rsid w:val="000E1282"/>
    <w:rsid w:val="000E1D24"/>
    <w:rsid w:val="000E3877"/>
    <w:rsid w:val="000F1234"/>
    <w:rsid w:val="000F2116"/>
    <w:rsid w:val="00100CF8"/>
    <w:rsid w:val="00103C0B"/>
    <w:rsid w:val="00104B3D"/>
    <w:rsid w:val="00104F65"/>
    <w:rsid w:val="001072E1"/>
    <w:rsid w:val="00107999"/>
    <w:rsid w:val="00107AFE"/>
    <w:rsid w:val="00110007"/>
    <w:rsid w:val="0011007B"/>
    <w:rsid w:val="001107B1"/>
    <w:rsid w:val="00110F7D"/>
    <w:rsid w:val="00111AA9"/>
    <w:rsid w:val="00112168"/>
    <w:rsid w:val="00115309"/>
    <w:rsid w:val="00116CD6"/>
    <w:rsid w:val="00116D55"/>
    <w:rsid w:val="00117BCC"/>
    <w:rsid w:val="001228D2"/>
    <w:rsid w:val="0012612E"/>
    <w:rsid w:val="00133CFF"/>
    <w:rsid w:val="00133FC4"/>
    <w:rsid w:val="001344F1"/>
    <w:rsid w:val="00134E51"/>
    <w:rsid w:val="001352CC"/>
    <w:rsid w:val="00135A40"/>
    <w:rsid w:val="00140573"/>
    <w:rsid w:val="00142FB4"/>
    <w:rsid w:val="00144018"/>
    <w:rsid w:val="00144829"/>
    <w:rsid w:val="00146818"/>
    <w:rsid w:val="00147121"/>
    <w:rsid w:val="00152833"/>
    <w:rsid w:val="0015365D"/>
    <w:rsid w:val="00155237"/>
    <w:rsid w:val="00155970"/>
    <w:rsid w:val="00157C2D"/>
    <w:rsid w:val="00161642"/>
    <w:rsid w:val="00162754"/>
    <w:rsid w:val="001640FB"/>
    <w:rsid w:val="00166A67"/>
    <w:rsid w:val="00170923"/>
    <w:rsid w:val="00171EF8"/>
    <w:rsid w:val="001730B0"/>
    <w:rsid w:val="001737AF"/>
    <w:rsid w:val="0017388E"/>
    <w:rsid w:val="00173939"/>
    <w:rsid w:val="00175805"/>
    <w:rsid w:val="00175FF2"/>
    <w:rsid w:val="001815EC"/>
    <w:rsid w:val="0018250A"/>
    <w:rsid w:val="00183B45"/>
    <w:rsid w:val="001849A0"/>
    <w:rsid w:val="00184B24"/>
    <w:rsid w:val="001857C6"/>
    <w:rsid w:val="00186607"/>
    <w:rsid w:val="0019344C"/>
    <w:rsid w:val="00194BDF"/>
    <w:rsid w:val="00194CAD"/>
    <w:rsid w:val="00195222"/>
    <w:rsid w:val="00197A86"/>
    <w:rsid w:val="001A18B7"/>
    <w:rsid w:val="001A2C12"/>
    <w:rsid w:val="001A3243"/>
    <w:rsid w:val="001A42BC"/>
    <w:rsid w:val="001A485E"/>
    <w:rsid w:val="001A4C76"/>
    <w:rsid w:val="001A6C1A"/>
    <w:rsid w:val="001A753A"/>
    <w:rsid w:val="001B06D0"/>
    <w:rsid w:val="001B126F"/>
    <w:rsid w:val="001B3D23"/>
    <w:rsid w:val="001B709E"/>
    <w:rsid w:val="001C0A58"/>
    <w:rsid w:val="001C1E97"/>
    <w:rsid w:val="001C1F39"/>
    <w:rsid w:val="001C25AE"/>
    <w:rsid w:val="001C2BAF"/>
    <w:rsid w:val="001C3C2E"/>
    <w:rsid w:val="001C3F6D"/>
    <w:rsid w:val="001C441D"/>
    <w:rsid w:val="001C44FB"/>
    <w:rsid w:val="001D0FFD"/>
    <w:rsid w:val="001D12B7"/>
    <w:rsid w:val="001D30EC"/>
    <w:rsid w:val="001D5EF0"/>
    <w:rsid w:val="001D665C"/>
    <w:rsid w:val="001D6982"/>
    <w:rsid w:val="001D7D7B"/>
    <w:rsid w:val="001D7FA0"/>
    <w:rsid w:val="001E0215"/>
    <w:rsid w:val="001E1280"/>
    <w:rsid w:val="001F07E8"/>
    <w:rsid w:val="001F282C"/>
    <w:rsid w:val="001F2CBE"/>
    <w:rsid w:val="001F2E6C"/>
    <w:rsid w:val="001F4A20"/>
    <w:rsid w:val="001F68C9"/>
    <w:rsid w:val="001F6995"/>
    <w:rsid w:val="001F6B47"/>
    <w:rsid w:val="00203771"/>
    <w:rsid w:val="0020399C"/>
    <w:rsid w:val="00205822"/>
    <w:rsid w:val="00205ED2"/>
    <w:rsid w:val="002109F1"/>
    <w:rsid w:val="00210E24"/>
    <w:rsid w:val="00216B61"/>
    <w:rsid w:val="00220130"/>
    <w:rsid w:val="0022192F"/>
    <w:rsid w:val="002221FB"/>
    <w:rsid w:val="002239D1"/>
    <w:rsid w:val="002250E2"/>
    <w:rsid w:val="00225F7F"/>
    <w:rsid w:val="00226CFF"/>
    <w:rsid w:val="002277B0"/>
    <w:rsid w:val="00230970"/>
    <w:rsid w:val="002314D7"/>
    <w:rsid w:val="00233549"/>
    <w:rsid w:val="0023720F"/>
    <w:rsid w:val="002409E0"/>
    <w:rsid w:val="00240EB4"/>
    <w:rsid w:val="0024150A"/>
    <w:rsid w:val="00241CE1"/>
    <w:rsid w:val="00242D0F"/>
    <w:rsid w:val="0024496B"/>
    <w:rsid w:val="00245540"/>
    <w:rsid w:val="0024647C"/>
    <w:rsid w:val="00246E32"/>
    <w:rsid w:val="00250076"/>
    <w:rsid w:val="00253170"/>
    <w:rsid w:val="0025449A"/>
    <w:rsid w:val="00257ED4"/>
    <w:rsid w:val="00260226"/>
    <w:rsid w:val="0026035C"/>
    <w:rsid w:val="00261A1F"/>
    <w:rsid w:val="00261B83"/>
    <w:rsid w:val="00263129"/>
    <w:rsid w:val="002643F7"/>
    <w:rsid w:val="002644C4"/>
    <w:rsid w:val="00264EDF"/>
    <w:rsid w:val="00265925"/>
    <w:rsid w:val="00267221"/>
    <w:rsid w:val="0027166F"/>
    <w:rsid w:val="00273AAE"/>
    <w:rsid w:val="00273E51"/>
    <w:rsid w:val="002768A8"/>
    <w:rsid w:val="00277555"/>
    <w:rsid w:val="00285965"/>
    <w:rsid w:val="00286F41"/>
    <w:rsid w:val="00290C58"/>
    <w:rsid w:val="00291AB6"/>
    <w:rsid w:val="00294031"/>
    <w:rsid w:val="00297B57"/>
    <w:rsid w:val="002A124F"/>
    <w:rsid w:val="002A1799"/>
    <w:rsid w:val="002A20A2"/>
    <w:rsid w:val="002A2101"/>
    <w:rsid w:val="002A4738"/>
    <w:rsid w:val="002A4B81"/>
    <w:rsid w:val="002A53D1"/>
    <w:rsid w:val="002A5588"/>
    <w:rsid w:val="002A648B"/>
    <w:rsid w:val="002A6FFC"/>
    <w:rsid w:val="002B030E"/>
    <w:rsid w:val="002B083B"/>
    <w:rsid w:val="002B19F0"/>
    <w:rsid w:val="002B440E"/>
    <w:rsid w:val="002C1C8E"/>
    <w:rsid w:val="002C2302"/>
    <w:rsid w:val="002C5171"/>
    <w:rsid w:val="002C5208"/>
    <w:rsid w:val="002C6438"/>
    <w:rsid w:val="002C67EE"/>
    <w:rsid w:val="002D1D11"/>
    <w:rsid w:val="002D59ED"/>
    <w:rsid w:val="002D690C"/>
    <w:rsid w:val="002D74CF"/>
    <w:rsid w:val="002E00FF"/>
    <w:rsid w:val="002E203B"/>
    <w:rsid w:val="002E2427"/>
    <w:rsid w:val="002E266E"/>
    <w:rsid w:val="002E3F70"/>
    <w:rsid w:val="002E41A8"/>
    <w:rsid w:val="002E44E9"/>
    <w:rsid w:val="002E5F80"/>
    <w:rsid w:val="002E77C4"/>
    <w:rsid w:val="002E7ADA"/>
    <w:rsid w:val="002E7B67"/>
    <w:rsid w:val="002F268F"/>
    <w:rsid w:val="002F40A9"/>
    <w:rsid w:val="002F42D4"/>
    <w:rsid w:val="002F6B0D"/>
    <w:rsid w:val="00300325"/>
    <w:rsid w:val="003003CF"/>
    <w:rsid w:val="00300440"/>
    <w:rsid w:val="00301620"/>
    <w:rsid w:val="00305999"/>
    <w:rsid w:val="00305A1D"/>
    <w:rsid w:val="00306D95"/>
    <w:rsid w:val="0030723C"/>
    <w:rsid w:val="00307568"/>
    <w:rsid w:val="003075DA"/>
    <w:rsid w:val="00307652"/>
    <w:rsid w:val="00307D97"/>
    <w:rsid w:val="00310191"/>
    <w:rsid w:val="00312864"/>
    <w:rsid w:val="00315360"/>
    <w:rsid w:val="00323445"/>
    <w:rsid w:val="003256B5"/>
    <w:rsid w:val="003264F8"/>
    <w:rsid w:val="00326F11"/>
    <w:rsid w:val="00330E2D"/>
    <w:rsid w:val="00332071"/>
    <w:rsid w:val="00333EC6"/>
    <w:rsid w:val="00333FC6"/>
    <w:rsid w:val="00334A28"/>
    <w:rsid w:val="00340FE3"/>
    <w:rsid w:val="003412C6"/>
    <w:rsid w:val="00342A82"/>
    <w:rsid w:val="00343BB4"/>
    <w:rsid w:val="0034450C"/>
    <w:rsid w:val="0034640D"/>
    <w:rsid w:val="0034662A"/>
    <w:rsid w:val="0035127C"/>
    <w:rsid w:val="00351E1C"/>
    <w:rsid w:val="00355B29"/>
    <w:rsid w:val="0035786F"/>
    <w:rsid w:val="00357C94"/>
    <w:rsid w:val="00361B6E"/>
    <w:rsid w:val="00363089"/>
    <w:rsid w:val="00363607"/>
    <w:rsid w:val="00363A62"/>
    <w:rsid w:val="00364710"/>
    <w:rsid w:val="0036484B"/>
    <w:rsid w:val="00364977"/>
    <w:rsid w:val="00364DB8"/>
    <w:rsid w:val="00367324"/>
    <w:rsid w:val="00371274"/>
    <w:rsid w:val="003734A2"/>
    <w:rsid w:val="0037535A"/>
    <w:rsid w:val="00375E7A"/>
    <w:rsid w:val="0037670F"/>
    <w:rsid w:val="00377933"/>
    <w:rsid w:val="00385214"/>
    <w:rsid w:val="00385F34"/>
    <w:rsid w:val="00386226"/>
    <w:rsid w:val="003951F9"/>
    <w:rsid w:val="0039591B"/>
    <w:rsid w:val="003A1E28"/>
    <w:rsid w:val="003A36CB"/>
    <w:rsid w:val="003A3DED"/>
    <w:rsid w:val="003A5346"/>
    <w:rsid w:val="003A79EA"/>
    <w:rsid w:val="003B0295"/>
    <w:rsid w:val="003B08E1"/>
    <w:rsid w:val="003B29EB"/>
    <w:rsid w:val="003B3FC7"/>
    <w:rsid w:val="003B4E61"/>
    <w:rsid w:val="003B4FE9"/>
    <w:rsid w:val="003B54AE"/>
    <w:rsid w:val="003B5882"/>
    <w:rsid w:val="003B6D26"/>
    <w:rsid w:val="003C0D33"/>
    <w:rsid w:val="003C2824"/>
    <w:rsid w:val="003C4295"/>
    <w:rsid w:val="003C450F"/>
    <w:rsid w:val="003C7513"/>
    <w:rsid w:val="003D0AF2"/>
    <w:rsid w:val="003D228E"/>
    <w:rsid w:val="003D2B89"/>
    <w:rsid w:val="003D5322"/>
    <w:rsid w:val="003D64E9"/>
    <w:rsid w:val="003E0A56"/>
    <w:rsid w:val="003E2AC4"/>
    <w:rsid w:val="003E3264"/>
    <w:rsid w:val="003E3790"/>
    <w:rsid w:val="003E3F9F"/>
    <w:rsid w:val="003E3FB0"/>
    <w:rsid w:val="003E4240"/>
    <w:rsid w:val="003E5180"/>
    <w:rsid w:val="003E6650"/>
    <w:rsid w:val="003E6841"/>
    <w:rsid w:val="003F2619"/>
    <w:rsid w:val="003F4F82"/>
    <w:rsid w:val="003F7539"/>
    <w:rsid w:val="004028AB"/>
    <w:rsid w:val="0040324A"/>
    <w:rsid w:val="004035F6"/>
    <w:rsid w:val="00404FC1"/>
    <w:rsid w:val="00407ACD"/>
    <w:rsid w:val="0041157E"/>
    <w:rsid w:val="004130F6"/>
    <w:rsid w:val="004154D0"/>
    <w:rsid w:val="00421FCE"/>
    <w:rsid w:val="00422714"/>
    <w:rsid w:val="0042381D"/>
    <w:rsid w:val="0042455E"/>
    <w:rsid w:val="00424647"/>
    <w:rsid w:val="0042468A"/>
    <w:rsid w:val="0042668D"/>
    <w:rsid w:val="004272C4"/>
    <w:rsid w:val="0043121C"/>
    <w:rsid w:val="0043123E"/>
    <w:rsid w:val="00432467"/>
    <w:rsid w:val="00432B1A"/>
    <w:rsid w:val="00434BE0"/>
    <w:rsid w:val="00434EDF"/>
    <w:rsid w:val="004371F8"/>
    <w:rsid w:val="00440FE8"/>
    <w:rsid w:val="00441219"/>
    <w:rsid w:val="004412F4"/>
    <w:rsid w:val="0044168B"/>
    <w:rsid w:val="0044329A"/>
    <w:rsid w:val="00443517"/>
    <w:rsid w:val="0044373D"/>
    <w:rsid w:val="00444921"/>
    <w:rsid w:val="00444EBA"/>
    <w:rsid w:val="0044532C"/>
    <w:rsid w:val="00446424"/>
    <w:rsid w:val="00446A01"/>
    <w:rsid w:val="004473E1"/>
    <w:rsid w:val="004479A8"/>
    <w:rsid w:val="004502D6"/>
    <w:rsid w:val="00451036"/>
    <w:rsid w:val="0045134A"/>
    <w:rsid w:val="00451396"/>
    <w:rsid w:val="004530C4"/>
    <w:rsid w:val="00457119"/>
    <w:rsid w:val="0045760C"/>
    <w:rsid w:val="00461218"/>
    <w:rsid w:val="00461244"/>
    <w:rsid w:val="0046133F"/>
    <w:rsid w:val="00463DBD"/>
    <w:rsid w:val="00465057"/>
    <w:rsid w:val="00467288"/>
    <w:rsid w:val="004700F5"/>
    <w:rsid w:val="004704D6"/>
    <w:rsid w:val="004715CD"/>
    <w:rsid w:val="00471764"/>
    <w:rsid w:val="004728C0"/>
    <w:rsid w:val="0047344C"/>
    <w:rsid w:val="004745B3"/>
    <w:rsid w:val="004750F8"/>
    <w:rsid w:val="00481A75"/>
    <w:rsid w:val="004857ED"/>
    <w:rsid w:val="00485B2A"/>
    <w:rsid w:val="00490112"/>
    <w:rsid w:val="00492EF7"/>
    <w:rsid w:val="00493B9C"/>
    <w:rsid w:val="00495098"/>
    <w:rsid w:val="0049674B"/>
    <w:rsid w:val="004A0315"/>
    <w:rsid w:val="004A10D9"/>
    <w:rsid w:val="004A50F6"/>
    <w:rsid w:val="004B0BC7"/>
    <w:rsid w:val="004B1D7A"/>
    <w:rsid w:val="004B41D4"/>
    <w:rsid w:val="004B5939"/>
    <w:rsid w:val="004B609B"/>
    <w:rsid w:val="004B6593"/>
    <w:rsid w:val="004B6F7E"/>
    <w:rsid w:val="004C1818"/>
    <w:rsid w:val="004C2E9F"/>
    <w:rsid w:val="004C36CB"/>
    <w:rsid w:val="004C5ADB"/>
    <w:rsid w:val="004C73C5"/>
    <w:rsid w:val="004D088F"/>
    <w:rsid w:val="004D2F86"/>
    <w:rsid w:val="004D32F3"/>
    <w:rsid w:val="004D469F"/>
    <w:rsid w:val="004D46BE"/>
    <w:rsid w:val="004D53E2"/>
    <w:rsid w:val="004D71E4"/>
    <w:rsid w:val="004E2E59"/>
    <w:rsid w:val="004E4918"/>
    <w:rsid w:val="004E7E7C"/>
    <w:rsid w:val="004F061C"/>
    <w:rsid w:val="004F171B"/>
    <w:rsid w:val="004F1A2A"/>
    <w:rsid w:val="004F1FC5"/>
    <w:rsid w:val="004F310C"/>
    <w:rsid w:val="004F3E15"/>
    <w:rsid w:val="004F5052"/>
    <w:rsid w:val="004F7C61"/>
    <w:rsid w:val="00500E04"/>
    <w:rsid w:val="00500F06"/>
    <w:rsid w:val="00503BCA"/>
    <w:rsid w:val="005046F7"/>
    <w:rsid w:val="005047B0"/>
    <w:rsid w:val="00506EA2"/>
    <w:rsid w:val="00512B6E"/>
    <w:rsid w:val="00512CE8"/>
    <w:rsid w:val="0051411A"/>
    <w:rsid w:val="00517F1C"/>
    <w:rsid w:val="00520B62"/>
    <w:rsid w:val="00522080"/>
    <w:rsid w:val="0052377B"/>
    <w:rsid w:val="0052378D"/>
    <w:rsid w:val="005237D5"/>
    <w:rsid w:val="005254A5"/>
    <w:rsid w:val="00526BA9"/>
    <w:rsid w:val="00526E28"/>
    <w:rsid w:val="00533238"/>
    <w:rsid w:val="00534130"/>
    <w:rsid w:val="00540276"/>
    <w:rsid w:val="00543583"/>
    <w:rsid w:val="00545E69"/>
    <w:rsid w:val="005478BC"/>
    <w:rsid w:val="00547AFE"/>
    <w:rsid w:val="00551BF2"/>
    <w:rsid w:val="005529E8"/>
    <w:rsid w:val="00554FB4"/>
    <w:rsid w:val="005554DC"/>
    <w:rsid w:val="005564A9"/>
    <w:rsid w:val="00557BA7"/>
    <w:rsid w:val="005616AA"/>
    <w:rsid w:val="00561835"/>
    <w:rsid w:val="005641C3"/>
    <w:rsid w:val="00564A7F"/>
    <w:rsid w:val="00566A05"/>
    <w:rsid w:val="0057022B"/>
    <w:rsid w:val="005705C3"/>
    <w:rsid w:val="00572105"/>
    <w:rsid w:val="00575FBF"/>
    <w:rsid w:val="00580C99"/>
    <w:rsid w:val="005824A3"/>
    <w:rsid w:val="00584CAF"/>
    <w:rsid w:val="005855C0"/>
    <w:rsid w:val="0059110D"/>
    <w:rsid w:val="00591256"/>
    <w:rsid w:val="00592DBF"/>
    <w:rsid w:val="005969E1"/>
    <w:rsid w:val="005A28D5"/>
    <w:rsid w:val="005A316A"/>
    <w:rsid w:val="005A562C"/>
    <w:rsid w:val="005A58BA"/>
    <w:rsid w:val="005A5963"/>
    <w:rsid w:val="005A63B4"/>
    <w:rsid w:val="005A73ED"/>
    <w:rsid w:val="005B536F"/>
    <w:rsid w:val="005B7091"/>
    <w:rsid w:val="005C08D4"/>
    <w:rsid w:val="005C1BF3"/>
    <w:rsid w:val="005C3E47"/>
    <w:rsid w:val="005C5468"/>
    <w:rsid w:val="005C7256"/>
    <w:rsid w:val="005D05B1"/>
    <w:rsid w:val="005D08D7"/>
    <w:rsid w:val="005D1A91"/>
    <w:rsid w:val="005D7F99"/>
    <w:rsid w:val="005E12B0"/>
    <w:rsid w:val="005E1A98"/>
    <w:rsid w:val="005E1AFC"/>
    <w:rsid w:val="005E2634"/>
    <w:rsid w:val="005E29D8"/>
    <w:rsid w:val="005E2F5B"/>
    <w:rsid w:val="005F08DF"/>
    <w:rsid w:val="005F147E"/>
    <w:rsid w:val="005F1CE8"/>
    <w:rsid w:val="005F40A4"/>
    <w:rsid w:val="005F6F8B"/>
    <w:rsid w:val="00601AFB"/>
    <w:rsid w:val="0060241F"/>
    <w:rsid w:val="00602D56"/>
    <w:rsid w:val="0060447F"/>
    <w:rsid w:val="00604927"/>
    <w:rsid w:val="00605317"/>
    <w:rsid w:val="006066DE"/>
    <w:rsid w:val="00606D4B"/>
    <w:rsid w:val="006133C8"/>
    <w:rsid w:val="00614DA9"/>
    <w:rsid w:val="00617ABE"/>
    <w:rsid w:val="00617AF4"/>
    <w:rsid w:val="00620A96"/>
    <w:rsid w:val="00627C8B"/>
    <w:rsid w:val="00630678"/>
    <w:rsid w:val="00631186"/>
    <w:rsid w:val="00631A69"/>
    <w:rsid w:val="00631C43"/>
    <w:rsid w:val="00633686"/>
    <w:rsid w:val="00633DE6"/>
    <w:rsid w:val="00634011"/>
    <w:rsid w:val="00636DCD"/>
    <w:rsid w:val="00640B74"/>
    <w:rsid w:val="00640E19"/>
    <w:rsid w:val="0064102F"/>
    <w:rsid w:val="0064137E"/>
    <w:rsid w:val="00641E5F"/>
    <w:rsid w:val="006429FF"/>
    <w:rsid w:val="00646A04"/>
    <w:rsid w:val="00646DA7"/>
    <w:rsid w:val="00646FBD"/>
    <w:rsid w:val="00651719"/>
    <w:rsid w:val="00652BA8"/>
    <w:rsid w:val="00653386"/>
    <w:rsid w:val="006534B0"/>
    <w:rsid w:val="006565BE"/>
    <w:rsid w:val="00656AC5"/>
    <w:rsid w:val="00657DD9"/>
    <w:rsid w:val="00660612"/>
    <w:rsid w:val="00663F25"/>
    <w:rsid w:val="00664261"/>
    <w:rsid w:val="00665240"/>
    <w:rsid w:val="00665A0A"/>
    <w:rsid w:val="006705E3"/>
    <w:rsid w:val="0067065D"/>
    <w:rsid w:val="00671190"/>
    <w:rsid w:val="006714C8"/>
    <w:rsid w:val="006717C8"/>
    <w:rsid w:val="006735FD"/>
    <w:rsid w:val="006776BA"/>
    <w:rsid w:val="00680B5E"/>
    <w:rsid w:val="0068127A"/>
    <w:rsid w:val="00682096"/>
    <w:rsid w:val="00683966"/>
    <w:rsid w:val="006851AA"/>
    <w:rsid w:val="006857E4"/>
    <w:rsid w:val="00685DFD"/>
    <w:rsid w:val="006874A7"/>
    <w:rsid w:val="0069097E"/>
    <w:rsid w:val="00690981"/>
    <w:rsid w:val="00691446"/>
    <w:rsid w:val="0069163D"/>
    <w:rsid w:val="00692592"/>
    <w:rsid w:val="00693EED"/>
    <w:rsid w:val="0069599A"/>
    <w:rsid w:val="006972BB"/>
    <w:rsid w:val="00697F1C"/>
    <w:rsid w:val="006A00D6"/>
    <w:rsid w:val="006A2078"/>
    <w:rsid w:val="006A2253"/>
    <w:rsid w:val="006A73E2"/>
    <w:rsid w:val="006B3838"/>
    <w:rsid w:val="006B4B1A"/>
    <w:rsid w:val="006B6402"/>
    <w:rsid w:val="006B7838"/>
    <w:rsid w:val="006C0261"/>
    <w:rsid w:val="006C4041"/>
    <w:rsid w:val="006C469D"/>
    <w:rsid w:val="006C4F4B"/>
    <w:rsid w:val="006C5CF7"/>
    <w:rsid w:val="006C5E40"/>
    <w:rsid w:val="006D00EE"/>
    <w:rsid w:val="006D1161"/>
    <w:rsid w:val="006D168B"/>
    <w:rsid w:val="006D7F68"/>
    <w:rsid w:val="006E2FB9"/>
    <w:rsid w:val="006E5758"/>
    <w:rsid w:val="006E5C7B"/>
    <w:rsid w:val="006E5D01"/>
    <w:rsid w:val="006E7B0A"/>
    <w:rsid w:val="006F1CA1"/>
    <w:rsid w:val="006F1E99"/>
    <w:rsid w:val="006F1F2E"/>
    <w:rsid w:val="006F29E0"/>
    <w:rsid w:val="006F2F27"/>
    <w:rsid w:val="006F41F1"/>
    <w:rsid w:val="006F5A3A"/>
    <w:rsid w:val="006F5B43"/>
    <w:rsid w:val="006F7597"/>
    <w:rsid w:val="00703BFF"/>
    <w:rsid w:val="00710D26"/>
    <w:rsid w:val="0071124F"/>
    <w:rsid w:val="0071296C"/>
    <w:rsid w:val="00713CEF"/>
    <w:rsid w:val="00714AA7"/>
    <w:rsid w:val="00715021"/>
    <w:rsid w:val="00716677"/>
    <w:rsid w:val="0072277A"/>
    <w:rsid w:val="00726B93"/>
    <w:rsid w:val="00726F7C"/>
    <w:rsid w:val="0073060A"/>
    <w:rsid w:val="0073331F"/>
    <w:rsid w:val="00733DA3"/>
    <w:rsid w:val="00734B76"/>
    <w:rsid w:val="007350D8"/>
    <w:rsid w:val="007363C0"/>
    <w:rsid w:val="00737821"/>
    <w:rsid w:val="007411C8"/>
    <w:rsid w:val="00745274"/>
    <w:rsid w:val="00746A9F"/>
    <w:rsid w:val="007471AB"/>
    <w:rsid w:val="00747322"/>
    <w:rsid w:val="00750124"/>
    <w:rsid w:val="00751713"/>
    <w:rsid w:val="00752517"/>
    <w:rsid w:val="0075684A"/>
    <w:rsid w:val="0075726D"/>
    <w:rsid w:val="0076107B"/>
    <w:rsid w:val="0076544E"/>
    <w:rsid w:val="00765B63"/>
    <w:rsid w:val="00766648"/>
    <w:rsid w:val="00766C09"/>
    <w:rsid w:val="007674ED"/>
    <w:rsid w:val="00770FCF"/>
    <w:rsid w:val="00772D22"/>
    <w:rsid w:val="00782408"/>
    <w:rsid w:val="0078383C"/>
    <w:rsid w:val="00785E1C"/>
    <w:rsid w:val="007860B4"/>
    <w:rsid w:val="00786260"/>
    <w:rsid w:val="0079246D"/>
    <w:rsid w:val="00795B47"/>
    <w:rsid w:val="007A01EB"/>
    <w:rsid w:val="007A117F"/>
    <w:rsid w:val="007A149A"/>
    <w:rsid w:val="007A4AD5"/>
    <w:rsid w:val="007A5753"/>
    <w:rsid w:val="007B1BBE"/>
    <w:rsid w:val="007B3CB6"/>
    <w:rsid w:val="007B5633"/>
    <w:rsid w:val="007B6D07"/>
    <w:rsid w:val="007C025D"/>
    <w:rsid w:val="007C1BBD"/>
    <w:rsid w:val="007C64B9"/>
    <w:rsid w:val="007D0EDF"/>
    <w:rsid w:val="007D1993"/>
    <w:rsid w:val="007D20B1"/>
    <w:rsid w:val="007D20CF"/>
    <w:rsid w:val="007D469C"/>
    <w:rsid w:val="007D594E"/>
    <w:rsid w:val="007D6E53"/>
    <w:rsid w:val="007E02FD"/>
    <w:rsid w:val="007E1AB4"/>
    <w:rsid w:val="007E320D"/>
    <w:rsid w:val="007E39DE"/>
    <w:rsid w:val="007E4779"/>
    <w:rsid w:val="007E47E0"/>
    <w:rsid w:val="007E489B"/>
    <w:rsid w:val="007E621D"/>
    <w:rsid w:val="007E7323"/>
    <w:rsid w:val="007E7ED3"/>
    <w:rsid w:val="007F027F"/>
    <w:rsid w:val="007F06F7"/>
    <w:rsid w:val="008016E1"/>
    <w:rsid w:val="00802DC3"/>
    <w:rsid w:val="0080334E"/>
    <w:rsid w:val="0080445D"/>
    <w:rsid w:val="0080449C"/>
    <w:rsid w:val="00810113"/>
    <w:rsid w:val="008102A5"/>
    <w:rsid w:val="00810DE8"/>
    <w:rsid w:val="00811D24"/>
    <w:rsid w:val="00811E64"/>
    <w:rsid w:val="00812AD9"/>
    <w:rsid w:val="00813C56"/>
    <w:rsid w:val="00822A75"/>
    <w:rsid w:val="00823887"/>
    <w:rsid w:val="00831B60"/>
    <w:rsid w:val="0083444A"/>
    <w:rsid w:val="0083494B"/>
    <w:rsid w:val="008350E4"/>
    <w:rsid w:val="008410CA"/>
    <w:rsid w:val="00841DA5"/>
    <w:rsid w:val="00843A78"/>
    <w:rsid w:val="00845AD1"/>
    <w:rsid w:val="00845EAC"/>
    <w:rsid w:val="00855B3A"/>
    <w:rsid w:val="0085686D"/>
    <w:rsid w:val="00856EDA"/>
    <w:rsid w:val="00862B3A"/>
    <w:rsid w:val="00862DDE"/>
    <w:rsid w:val="0086635D"/>
    <w:rsid w:val="008672E0"/>
    <w:rsid w:val="00867E47"/>
    <w:rsid w:val="008706C6"/>
    <w:rsid w:val="00870FE2"/>
    <w:rsid w:val="008717D0"/>
    <w:rsid w:val="00873102"/>
    <w:rsid w:val="00874C56"/>
    <w:rsid w:val="008755C5"/>
    <w:rsid w:val="00875A16"/>
    <w:rsid w:val="00877491"/>
    <w:rsid w:val="0088052E"/>
    <w:rsid w:val="008811F7"/>
    <w:rsid w:val="008812F7"/>
    <w:rsid w:val="008812FD"/>
    <w:rsid w:val="008854F1"/>
    <w:rsid w:val="00885E5A"/>
    <w:rsid w:val="00890221"/>
    <w:rsid w:val="00890394"/>
    <w:rsid w:val="00891D74"/>
    <w:rsid w:val="0089514F"/>
    <w:rsid w:val="008967EE"/>
    <w:rsid w:val="008A1E5C"/>
    <w:rsid w:val="008A3ADD"/>
    <w:rsid w:val="008A3B5A"/>
    <w:rsid w:val="008A61F5"/>
    <w:rsid w:val="008A6899"/>
    <w:rsid w:val="008A729D"/>
    <w:rsid w:val="008B0D11"/>
    <w:rsid w:val="008B2680"/>
    <w:rsid w:val="008B2C33"/>
    <w:rsid w:val="008B2EA6"/>
    <w:rsid w:val="008B6ABE"/>
    <w:rsid w:val="008B7611"/>
    <w:rsid w:val="008B7C3D"/>
    <w:rsid w:val="008C0B89"/>
    <w:rsid w:val="008C16DB"/>
    <w:rsid w:val="008C226F"/>
    <w:rsid w:val="008C2BC0"/>
    <w:rsid w:val="008C34EF"/>
    <w:rsid w:val="008C5217"/>
    <w:rsid w:val="008C769E"/>
    <w:rsid w:val="008C76BE"/>
    <w:rsid w:val="008C772B"/>
    <w:rsid w:val="008D2083"/>
    <w:rsid w:val="008D2E15"/>
    <w:rsid w:val="008D2EDD"/>
    <w:rsid w:val="008E2EA8"/>
    <w:rsid w:val="008E3F89"/>
    <w:rsid w:val="008E495D"/>
    <w:rsid w:val="008E5555"/>
    <w:rsid w:val="008E6CB4"/>
    <w:rsid w:val="008E6D2F"/>
    <w:rsid w:val="008F020F"/>
    <w:rsid w:val="008F0348"/>
    <w:rsid w:val="008F0A5F"/>
    <w:rsid w:val="008F0E28"/>
    <w:rsid w:val="008F112C"/>
    <w:rsid w:val="008F24EC"/>
    <w:rsid w:val="008F3F6C"/>
    <w:rsid w:val="008F67C7"/>
    <w:rsid w:val="008F6853"/>
    <w:rsid w:val="008F7508"/>
    <w:rsid w:val="009012A5"/>
    <w:rsid w:val="00902EBA"/>
    <w:rsid w:val="00904FD9"/>
    <w:rsid w:val="00906F1D"/>
    <w:rsid w:val="00907ADD"/>
    <w:rsid w:val="00911E8A"/>
    <w:rsid w:val="009120B8"/>
    <w:rsid w:val="00913471"/>
    <w:rsid w:val="00916222"/>
    <w:rsid w:val="0092042A"/>
    <w:rsid w:val="009215BD"/>
    <w:rsid w:val="00921DF9"/>
    <w:rsid w:val="00922083"/>
    <w:rsid w:val="0092249D"/>
    <w:rsid w:val="00922773"/>
    <w:rsid w:val="00923138"/>
    <w:rsid w:val="00924F60"/>
    <w:rsid w:val="00925233"/>
    <w:rsid w:val="00930062"/>
    <w:rsid w:val="009304B4"/>
    <w:rsid w:val="00931A2C"/>
    <w:rsid w:val="009327EB"/>
    <w:rsid w:val="009375ED"/>
    <w:rsid w:val="00940803"/>
    <w:rsid w:val="009428B0"/>
    <w:rsid w:val="0094548B"/>
    <w:rsid w:val="00946837"/>
    <w:rsid w:val="009478A9"/>
    <w:rsid w:val="009535E0"/>
    <w:rsid w:val="00953C2E"/>
    <w:rsid w:val="0095573E"/>
    <w:rsid w:val="0095593E"/>
    <w:rsid w:val="00957114"/>
    <w:rsid w:val="009617AA"/>
    <w:rsid w:val="0096273E"/>
    <w:rsid w:val="00963DC0"/>
    <w:rsid w:val="00965CF8"/>
    <w:rsid w:val="009727F2"/>
    <w:rsid w:val="00980876"/>
    <w:rsid w:val="009810CA"/>
    <w:rsid w:val="00981BC2"/>
    <w:rsid w:val="00982E9C"/>
    <w:rsid w:val="009856D9"/>
    <w:rsid w:val="00985AC4"/>
    <w:rsid w:val="00985BFD"/>
    <w:rsid w:val="00987E26"/>
    <w:rsid w:val="00993FB4"/>
    <w:rsid w:val="0099469A"/>
    <w:rsid w:val="009956A2"/>
    <w:rsid w:val="00995932"/>
    <w:rsid w:val="00996265"/>
    <w:rsid w:val="00997C1F"/>
    <w:rsid w:val="009A346C"/>
    <w:rsid w:val="009A773F"/>
    <w:rsid w:val="009B0B7F"/>
    <w:rsid w:val="009B0E18"/>
    <w:rsid w:val="009B4473"/>
    <w:rsid w:val="009B44A2"/>
    <w:rsid w:val="009B52C7"/>
    <w:rsid w:val="009B6A89"/>
    <w:rsid w:val="009B6F7F"/>
    <w:rsid w:val="009C1C00"/>
    <w:rsid w:val="009C3C72"/>
    <w:rsid w:val="009C420A"/>
    <w:rsid w:val="009C51F8"/>
    <w:rsid w:val="009C58FC"/>
    <w:rsid w:val="009D087C"/>
    <w:rsid w:val="009D0C74"/>
    <w:rsid w:val="009D155F"/>
    <w:rsid w:val="009D3E12"/>
    <w:rsid w:val="009D77E6"/>
    <w:rsid w:val="009E0907"/>
    <w:rsid w:val="009E504B"/>
    <w:rsid w:val="009E67D1"/>
    <w:rsid w:val="009E6C16"/>
    <w:rsid w:val="009E7429"/>
    <w:rsid w:val="009E751E"/>
    <w:rsid w:val="009E773C"/>
    <w:rsid w:val="009F0156"/>
    <w:rsid w:val="009F0515"/>
    <w:rsid w:val="009F1897"/>
    <w:rsid w:val="009F270E"/>
    <w:rsid w:val="009F2C8D"/>
    <w:rsid w:val="009F4FE0"/>
    <w:rsid w:val="009F63F4"/>
    <w:rsid w:val="009F7340"/>
    <w:rsid w:val="009F7BF0"/>
    <w:rsid w:val="00A01A3C"/>
    <w:rsid w:val="00A01E0E"/>
    <w:rsid w:val="00A02A1B"/>
    <w:rsid w:val="00A07C85"/>
    <w:rsid w:val="00A107AC"/>
    <w:rsid w:val="00A116A9"/>
    <w:rsid w:val="00A13EAB"/>
    <w:rsid w:val="00A15812"/>
    <w:rsid w:val="00A208A5"/>
    <w:rsid w:val="00A20B2A"/>
    <w:rsid w:val="00A21133"/>
    <w:rsid w:val="00A225BF"/>
    <w:rsid w:val="00A22A75"/>
    <w:rsid w:val="00A27462"/>
    <w:rsid w:val="00A31A5D"/>
    <w:rsid w:val="00A33198"/>
    <w:rsid w:val="00A350C1"/>
    <w:rsid w:val="00A37461"/>
    <w:rsid w:val="00A37FC3"/>
    <w:rsid w:val="00A437A9"/>
    <w:rsid w:val="00A45191"/>
    <w:rsid w:val="00A4616B"/>
    <w:rsid w:val="00A47A49"/>
    <w:rsid w:val="00A47D19"/>
    <w:rsid w:val="00A47E86"/>
    <w:rsid w:val="00A507A6"/>
    <w:rsid w:val="00A52498"/>
    <w:rsid w:val="00A52637"/>
    <w:rsid w:val="00A5297F"/>
    <w:rsid w:val="00A53DAD"/>
    <w:rsid w:val="00A55C9E"/>
    <w:rsid w:val="00A56B4C"/>
    <w:rsid w:val="00A603A7"/>
    <w:rsid w:val="00A61D4D"/>
    <w:rsid w:val="00A6227C"/>
    <w:rsid w:val="00A637A9"/>
    <w:rsid w:val="00A63A31"/>
    <w:rsid w:val="00A649DA"/>
    <w:rsid w:val="00A65AC0"/>
    <w:rsid w:val="00A668C9"/>
    <w:rsid w:val="00A70860"/>
    <w:rsid w:val="00A70B17"/>
    <w:rsid w:val="00A70BAC"/>
    <w:rsid w:val="00A7139F"/>
    <w:rsid w:val="00A72CBF"/>
    <w:rsid w:val="00A73A1E"/>
    <w:rsid w:val="00A740D7"/>
    <w:rsid w:val="00A74D13"/>
    <w:rsid w:val="00A75CDF"/>
    <w:rsid w:val="00A76DE3"/>
    <w:rsid w:val="00A80BB1"/>
    <w:rsid w:val="00A813BF"/>
    <w:rsid w:val="00A831D3"/>
    <w:rsid w:val="00A845A5"/>
    <w:rsid w:val="00A8509F"/>
    <w:rsid w:val="00A85C52"/>
    <w:rsid w:val="00A873F7"/>
    <w:rsid w:val="00A9117E"/>
    <w:rsid w:val="00A91D4B"/>
    <w:rsid w:val="00A94EC6"/>
    <w:rsid w:val="00A9532C"/>
    <w:rsid w:val="00A965C6"/>
    <w:rsid w:val="00A967F8"/>
    <w:rsid w:val="00A97305"/>
    <w:rsid w:val="00A975F9"/>
    <w:rsid w:val="00AA417C"/>
    <w:rsid w:val="00AA5C2F"/>
    <w:rsid w:val="00AB2E57"/>
    <w:rsid w:val="00AB49C9"/>
    <w:rsid w:val="00AB565B"/>
    <w:rsid w:val="00AC4B69"/>
    <w:rsid w:val="00AC5C97"/>
    <w:rsid w:val="00AC7FFC"/>
    <w:rsid w:val="00AD1D1B"/>
    <w:rsid w:val="00AD6059"/>
    <w:rsid w:val="00AE17A9"/>
    <w:rsid w:val="00AE29A4"/>
    <w:rsid w:val="00AF36FC"/>
    <w:rsid w:val="00AF40D4"/>
    <w:rsid w:val="00AF429A"/>
    <w:rsid w:val="00AF44AB"/>
    <w:rsid w:val="00AF5F13"/>
    <w:rsid w:val="00AF6633"/>
    <w:rsid w:val="00AF7841"/>
    <w:rsid w:val="00B01124"/>
    <w:rsid w:val="00B03060"/>
    <w:rsid w:val="00B04631"/>
    <w:rsid w:val="00B04A42"/>
    <w:rsid w:val="00B06294"/>
    <w:rsid w:val="00B10098"/>
    <w:rsid w:val="00B10C7A"/>
    <w:rsid w:val="00B12CF9"/>
    <w:rsid w:val="00B14634"/>
    <w:rsid w:val="00B148FB"/>
    <w:rsid w:val="00B14EC6"/>
    <w:rsid w:val="00B151D3"/>
    <w:rsid w:val="00B16BB3"/>
    <w:rsid w:val="00B16C67"/>
    <w:rsid w:val="00B16DB3"/>
    <w:rsid w:val="00B204EA"/>
    <w:rsid w:val="00B212A6"/>
    <w:rsid w:val="00B22033"/>
    <w:rsid w:val="00B25D29"/>
    <w:rsid w:val="00B25F8C"/>
    <w:rsid w:val="00B273FC"/>
    <w:rsid w:val="00B30B6A"/>
    <w:rsid w:val="00B31249"/>
    <w:rsid w:val="00B31538"/>
    <w:rsid w:val="00B345E4"/>
    <w:rsid w:val="00B34804"/>
    <w:rsid w:val="00B35636"/>
    <w:rsid w:val="00B36D3F"/>
    <w:rsid w:val="00B377CB"/>
    <w:rsid w:val="00B40F33"/>
    <w:rsid w:val="00B513D0"/>
    <w:rsid w:val="00B51DCC"/>
    <w:rsid w:val="00B52877"/>
    <w:rsid w:val="00B539B4"/>
    <w:rsid w:val="00B5658B"/>
    <w:rsid w:val="00B56B0C"/>
    <w:rsid w:val="00B57064"/>
    <w:rsid w:val="00B60F0D"/>
    <w:rsid w:val="00B641ED"/>
    <w:rsid w:val="00B67404"/>
    <w:rsid w:val="00B73622"/>
    <w:rsid w:val="00B74B8B"/>
    <w:rsid w:val="00B75F96"/>
    <w:rsid w:val="00B76F4E"/>
    <w:rsid w:val="00B82945"/>
    <w:rsid w:val="00B833F7"/>
    <w:rsid w:val="00B83DD9"/>
    <w:rsid w:val="00B861EA"/>
    <w:rsid w:val="00B86F2C"/>
    <w:rsid w:val="00B90418"/>
    <w:rsid w:val="00B93D8C"/>
    <w:rsid w:val="00B97240"/>
    <w:rsid w:val="00BA12B9"/>
    <w:rsid w:val="00BA3D01"/>
    <w:rsid w:val="00BA410E"/>
    <w:rsid w:val="00BA41F1"/>
    <w:rsid w:val="00BA6675"/>
    <w:rsid w:val="00BA7DF8"/>
    <w:rsid w:val="00BB166F"/>
    <w:rsid w:val="00BB3470"/>
    <w:rsid w:val="00BB6267"/>
    <w:rsid w:val="00BB6EB6"/>
    <w:rsid w:val="00BB7EA3"/>
    <w:rsid w:val="00BC01C0"/>
    <w:rsid w:val="00BC3E22"/>
    <w:rsid w:val="00BC61B8"/>
    <w:rsid w:val="00BC61DC"/>
    <w:rsid w:val="00BC73D1"/>
    <w:rsid w:val="00BC7581"/>
    <w:rsid w:val="00BC7EFD"/>
    <w:rsid w:val="00BD00EB"/>
    <w:rsid w:val="00BD583D"/>
    <w:rsid w:val="00BD6011"/>
    <w:rsid w:val="00BD6B6F"/>
    <w:rsid w:val="00BE115B"/>
    <w:rsid w:val="00BE18D1"/>
    <w:rsid w:val="00BE27EC"/>
    <w:rsid w:val="00BE29C2"/>
    <w:rsid w:val="00BE628F"/>
    <w:rsid w:val="00BE74FC"/>
    <w:rsid w:val="00BF0837"/>
    <w:rsid w:val="00BF08F0"/>
    <w:rsid w:val="00BF3F2A"/>
    <w:rsid w:val="00BF59A1"/>
    <w:rsid w:val="00BF5EEF"/>
    <w:rsid w:val="00BF7836"/>
    <w:rsid w:val="00BF7FC3"/>
    <w:rsid w:val="00C0108C"/>
    <w:rsid w:val="00C01932"/>
    <w:rsid w:val="00C03763"/>
    <w:rsid w:val="00C0506A"/>
    <w:rsid w:val="00C062E9"/>
    <w:rsid w:val="00C10333"/>
    <w:rsid w:val="00C120E8"/>
    <w:rsid w:val="00C15A29"/>
    <w:rsid w:val="00C179B8"/>
    <w:rsid w:val="00C21B68"/>
    <w:rsid w:val="00C226D1"/>
    <w:rsid w:val="00C25221"/>
    <w:rsid w:val="00C258E3"/>
    <w:rsid w:val="00C26401"/>
    <w:rsid w:val="00C269AA"/>
    <w:rsid w:val="00C27CB1"/>
    <w:rsid w:val="00C314A9"/>
    <w:rsid w:val="00C3242E"/>
    <w:rsid w:val="00C36770"/>
    <w:rsid w:val="00C379ED"/>
    <w:rsid w:val="00C4015B"/>
    <w:rsid w:val="00C40900"/>
    <w:rsid w:val="00C41706"/>
    <w:rsid w:val="00C43496"/>
    <w:rsid w:val="00C43940"/>
    <w:rsid w:val="00C45FB9"/>
    <w:rsid w:val="00C467DD"/>
    <w:rsid w:val="00C4764F"/>
    <w:rsid w:val="00C50B54"/>
    <w:rsid w:val="00C50D2E"/>
    <w:rsid w:val="00C52FD1"/>
    <w:rsid w:val="00C54BF0"/>
    <w:rsid w:val="00C5502B"/>
    <w:rsid w:val="00C576F5"/>
    <w:rsid w:val="00C6058A"/>
    <w:rsid w:val="00C62D07"/>
    <w:rsid w:val="00C63BE0"/>
    <w:rsid w:val="00C64DA0"/>
    <w:rsid w:val="00C67F78"/>
    <w:rsid w:val="00C70B07"/>
    <w:rsid w:val="00C71DB7"/>
    <w:rsid w:val="00C7364E"/>
    <w:rsid w:val="00C73BB5"/>
    <w:rsid w:val="00C745F2"/>
    <w:rsid w:val="00C7669A"/>
    <w:rsid w:val="00C76824"/>
    <w:rsid w:val="00C80249"/>
    <w:rsid w:val="00C81498"/>
    <w:rsid w:val="00C90CF0"/>
    <w:rsid w:val="00C91F1C"/>
    <w:rsid w:val="00C9295A"/>
    <w:rsid w:val="00C934BD"/>
    <w:rsid w:val="00C93759"/>
    <w:rsid w:val="00C9497B"/>
    <w:rsid w:val="00C94DBB"/>
    <w:rsid w:val="00C95263"/>
    <w:rsid w:val="00C966BB"/>
    <w:rsid w:val="00C97156"/>
    <w:rsid w:val="00C97271"/>
    <w:rsid w:val="00CA006F"/>
    <w:rsid w:val="00CA01A6"/>
    <w:rsid w:val="00CA2850"/>
    <w:rsid w:val="00CA7A6C"/>
    <w:rsid w:val="00CB2C7F"/>
    <w:rsid w:val="00CB30DA"/>
    <w:rsid w:val="00CB5D51"/>
    <w:rsid w:val="00CB7AB6"/>
    <w:rsid w:val="00CC1496"/>
    <w:rsid w:val="00CC2D8C"/>
    <w:rsid w:val="00CC3480"/>
    <w:rsid w:val="00CC5A07"/>
    <w:rsid w:val="00CC5E04"/>
    <w:rsid w:val="00CD275E"/>
    <w:rsid w:val="00CD2F6C"/>
    <w:rsid w:val="00CD338F"/>
    <w:rsid w:val="00CD3411"/>
    <w:rsid w:val="00CD4D03"/>
    <w:rsid w:val="00CD7C37"/>
    <w:rsid w:val="00CD7E30"/>
    <w:rsid w:val="00CE2097"/>
    <w:rsid w:val="00CE2723"/>
    <w:rsid w:val="00CE3191"/>
    <w:rsid w:val="00CE3A31"/>
    <w:rsid w:val="00CE4811"/>
    <w:rsid w:val="00CE5765"/>
    <w:rsid w:val="00CE7FE3"/>
    <w:rsid w:val="00CF162F"/>
    <w:rsid w:val="00CF27B9"/>
    <w:rsid w:val="00CF38B2"/>
    <w:rsid w:val="00CF3F3A"/>
    <w:rsid w:val="00CF5572"/>
    <w:rsid w:val="00CF6C63"/>
    <w:rsid w:val="00CF7D06"/>
    <w:rsid w:val="00D031AA"/>
    <w:rsid w:val="00D036C0"/>
    <w:rsid w:val="00D06120"/>
    <w:rsid w:val="00D078A8"/>
    <w:rsid w:val="00D07A9D"/>
    <w:rsid w:val="00D10DB2"/>
    <w:rsid w:val="00D1235A"/>
    <w:rsid w:val="00D158DA"/>
    <w:rsid w:val="00D159D2"/>
    <w:rsid w:val="00D15A43"/>
    <w:rsid w:val="00D15B52"/>
    <w:rsid w:val="00D16AB9"/>
    <w:rsid w:val="00D232D2"/>
    <w:rsid w:val="00D23B26"/>
    <w:rsid w:val="00D2699E"/>
    <w:rsid w:val="00D30E0A"/>
    <w:rsid w:val="00D31BC4"/>
    <w:rsid w:val="00D31F69"/>
    <w:rsid w:val="00D33CD1"/>
    <w:rsid w:val="00D34BE5"/>
    <w:rsid w:val="00D4328F"/>
    <w:rsid w:val="00D4381D"/>
    <w:rsid w:val="00D4410C"/>
    <w:rsid w:val="00D44545"/>
    <w:rsid w:val="00D4526E"/>
    <w:rsid w:val="00D453E7"/>
    <w:rsid w:val="00D455F4"/>
    <w:rsid w:val="00D50D84"/>
    <w:rsid w:val="00D50E68"/>
    <w:rsid w:val="00D53405"/>
    <w:rsid w:val="00D53957"/>
    <w:rsid w:val="00D56C88"/>
    <w:rsid w:val="00D6127C"/>
    <w:rsid w:val="00D63405"/>
    <w:rsid w:val="00D63A14"/>
    <w:rsid w:val="00D6469F"/>
    <w:rsid w:val="00D660CB"/>
    <w:rsid w:val="00D661A6"/>
    <w:rsid w:val="00D666A9"/>
    <w:rsid w:val="00D67677"/>
    <w:rsid w:val="00D67B6F"/>
    <w:rsid w:val="00D7132C"/>
    <w:rsid w:val="00D72DBC"/>
    <w:rsid w:val="00D7484D"/>
    <w:rsid w:val="00D80F69"/>
    <w:rsid w:val="00D8398C"/>
    <w:rsid w:val="00D83E33"/>
    <w:rsid w:val="00D8482E"/>
    <w:rsid w:val="00D90987"/>
    <w:rsid w:val="00D93E88"/>
    <w:rsid w:val="00D95D38"/>
    <w:rsid w:val="00D96154"/>
    <w:rsid w:val="00D96A6F"/>
    <w:rsid w:val="00D97615"/>
    <w:rsid w:val="00DA09B2"/>
    <w:rsid w:val="00DA1F0C"/>
    <w:rsid w:val="00DA33C8"/>
    <w:rsid w:val="00DA4C9D"/>
    <w:rsid w:val="00DA512B"/>
    <w:rsid w:val="00DA56B2"/>
    <w:rsid w:val="00DA5AA5"/>
    <w:rsid w:val="00DA7C74"/>
    <w:rsid w:val="00DB102B"/>
    <w:rsid w:val="00DB1AC7"/>
    <w:rsid w:val="00DB2777"/>
    <w:rsid w:val="00DB3669"/>
    <w:rsid w:val="00DB3AC8"/>
    <w:rsid w:val="00DB3BD9"/>
    <w:rsid w:val="00DB51D6"/>
    <w:rsid w:val="00DB6641"/>
    <w:rsid w:val="00DB73B3"/>
    <w:rsid w:val="00DB793A"/>
    <w:rsid w:val="00DC3659"/>
    <w:rsid w:val="00DC5DBB"/>
    <w:rsid w:val="00DC6C09"/>
    <w:rsid w:val="00DC74C6"/>
    <w:rsid w:val="00DD015B"/>
    <w:rsid w:val="00DD42D6"/>
    <w:rsid w:val="00DD4AED"/>
    <w:rsid w:val="00DD4E47"/>
    <w:rsid w:val="00DD605A"/>
    <w:rsid w:val="00DE19F7"/>
    <w:rsid w:val="00DE3266"/>
    <w:rsid w:val="00DE4013"/>
    <w:rsid w:val="00DE658D"/>
    <w:rsid w:val="00DF45CF"/>
    <w:rsid w:val="00DF51CE"/>
    <w:rsid w:val="00DF5DFF"/>
    <w:rsid w:val="00DF7454"/>
    <w:rsid w:val="00E00A3C"/>
    <w:rsid w:val="00E00F5C"/>
    <w:rsid w:val="00E03346"/>
    <w:rsid w:val="00E038F6"/>
    <w:rsid w:val="00E03E4F"/>
    <w:rsid w:val="00E0431A"/>
    <w:rsid w:val="00E072CF"/>
    <w:rsid w:val="00E13B1F"/>
    <w:rsid w:val="00E178BF"/>
    <w:rsid w:val="00E17C78"/>
    <w:rsid w:val="00E17F81"/>
    <w:rsid w:val="00E21222"/>
    <w:rsid w:val="00E21D32"/>
    <w:rsid w:val="00E23EFE"/>
    <w:rsid w:val="00E259DA"/>
    <w:rsid w:val="00E25B10"/>
    <w:rsid w:val="00E262D4"/>
    <w:rsid w:val="00E2667F"/>
    <w:rsid w:val="00E27E3C"/>
    <w:rsid w:val="00E327F0"/>
    <w:rsid w:val="00E32A79"/>
    <w:rsid w:val="00E33157"/>
    <w:rsid w:val="00E3615B"/>
    <w:rsid w:val="00E36D95"/>
    <w:rsid w:val="00E36F99"/>
    <w:rsid w:val="00E43477"/>
    <w:rsid w:val="00E43F95"/>
    <w:rsid w:val="00E44589"/>
    <w:rsid w:val="00E51477"/>
    <w:rsid w:val="00E52C74"/>
    <w:rsid w:val="00E534EF"/>
    <w:rsid w:val="00E54E11"/>
    <w:rsid w:val="00E55E51"/>
    <w:rsid w:val="00E5778A"/>
    <w:rsid w:val="00E5784B"/>
    <w:rsid w:val="00E61C2C"/>
    <w:rsid w:val="00E635B5"/>
    <w:rsid w:val="00E64BCC"/>
    <w:rsid w:val="00E64DCF"/>
    <w:rsid w:val="00E70400"/>
    <w:rsid w:val="00E71FE9"/>
    <w:rsid w:val="00E72FD8"/>
    <w:rsid w:val="00E73307"/>
    <w:rsid w:val="00E76B2B"/>
    <w:rsid w:val="00E77294"/>
    <w:rsid w:val="00E81FB5"/>
    <w:rsid w:val="00E8237A"/>
    <w:rsid w:val="00E8275C"/>
    <w:rsid w:val="00E8412B"/>
    <w:rsid w:val="00E84F13"/>
    <w:rsid w:val="00E854BB"/>
    <w:rsid w:val="00E85916"/>
    <w:rsid w:val="00E85E5D"/>
    <w:rsid w:val="00E907BA"/>
    <w:rsid w:val="00E9248B"/>
    <w:rsid w:val="00E92578"/>
    <w:rsid w:val="00E9788F"/>
    <w:rsid w:val="00EA183F"/>
    <w:rsid w:val="00EA1D43"/>
    <w:rsid w:val="00EB117E"/>
    <w:rsid w:val="00EB3088"/>
    <w:rsid w:val="00EB4520"/>
    <w:rsid w:val="00EB53D9"/>
    <w:rsid w:val="00EB5C9F"/>
    <w:rsid w:val="00EB6CB6"/>
    <w:rsid w:val="00EB73A5"/>
    <w:rsid w:val="00EB7CAB"/>
    <w:rsid w:val="00EC084F"/>
    <w:rsid w:val="00EC0E7C"/>
    <w:rsid w:val="00EC124E"/>
    <w:rsid w:val="00EC458B"/>
    <w:rsid w:val="00EC4703"/>
    <w:rsid w:val="00EC601C"/>
    <w:rsid w:val="00EC64A9"/>
    <w:rsid w:val="00EC6949"/>
    <w:rsid w:val="00ED22EB"/>
    <w:rsid w:val="00ED56C4"/>
    <w:rsid w:val="00ED6077"/>
    <w:rsid w:val="00ED6678"/>
    <w:rsid w:val="00EE2522"/>
    <w:rsid w:val="00EE2956"/>
    <w:rsid w:val="00EE354F"/>
    <w:rsid w:val="00EE4113"/>
    <w:rsid w:val="00EE5327"/>
    <w:rsid w:val="00EE5BC8"/>
    <w:rsid w:val="00EE6212"/>
    <w:rsid w:val="00EF1A6A"/>
    <w:rsid w:val="00EF2938"/>
    <w:rsid w:val="00EF332C"/>
    <w:rsid w:val="00EF339B"/>
    <w:rsid w:val="00F02989"/>
    <w:rsid w:val="00F02F8E"/>
    <w:rsid w:val="00F03E8D"/>
    <w:rsid w:val="00F05E4E"/>
    <w:rsid w:val="00F11043"/>
    <w:rsid w:val="00F11738"/>
    <w:rsid w:val="00F11A54"/>
    <w:rsid w:val="00F11B05"/>
    <w:rsid w:val="00F14691"/>
    <w:rsid w:val="00F14885"/>
    <w:rsid w:val="00F15038"/>
    <w:rsid w:val="00F15560"/>
    <w:rsid w:val="00F166A3"/>
    <w:rsid w:val="00F177D8"/>
    <w:rsid w:val="00F20675"/>
    <w:rsid w:val="00F22791"/>
    <w:rsid w:val="00F25E9C"/>
    <w:rsid w:val="00F25F90"/>
    <w:rsid w:val="00F26AB2"/>
    <w:rsid w:val="00F27D22"/>
    <w:rsid w:val="00F360AA"/>
    <w:rsid w:val="00F4051A"/>
    <w:rsid w:val="00F40BAE"/>
    <w:rsid w:val="00F4185E"/>
    <w:rsid w:val="00F43FAD"/>
    <w:rsid w:val="00F450B9"/>
    <w:rsid w:val="00F45879"/>
    <w:rsid w:val="00F46363"/>
    <w:rsid w:val="00F47AEB"/>
    <w:rsid w:val="00F51F09"/>
    <w:rsid w:val="00F52FEA"/>
    <w:rsid w:val="00F5424C"/>
    <w:rsid w:val="00F54EF1"/>
    <w:rsid w:val="00F55173"/>
    <w:rsid w:val="00F559C4"/>
    <w:rsid w:val="00F609B2"/>
    <w:rsid w:val="00F63F9F"/>
    <w:rsid w:val="00F66616"/>
    <w:rsid w:val="00F67282"/>
    <w:rsid w:val="00F71133"/>
    <w:rsid w:val="00F719ED"/>
    <w:rsid w:val="00F72059"/>
    <w:rsid w:val="00F7335B"/>
    <w:rsid w:val="00F752B3"/>
    <w:rsid w:val="00F75A08"/>
    <w:rsid w:val="00F7686C"/>
    <w:rsid w:val="00F81277"/>
    <w:rsid w:val="00F82717"/>
    <w:rsid w:val="00F82F53"/>
    <w:rsid w:val="00F83339"/>
    <w:rsid w:val="00F8341F"/>
    <w:rsid w:val="00F901BE"/>
    <w:rsid w:val="00F90C96"/>
    <w:rsid w:val="00F91B98"/>
    <w:rsid w:val="00F91E16"/>
    <w:rsid w:val="00F951A1"/>
    <w:rsid w:val="00F96D16"/>
    <w:rsid w:val="00FA0A00"/>
    <w:rsid w:val="00FA3F46"/>
    <w:rsid w:val="00FA474D"/>
    <w:rsid w:val="00FA516A"/>
    <w:rsid w:val="00FA56FC"/>
    <w:rsid w:val="00FA5E92"/>
    <w:rsid w:val="00FA6D0A"/>
    <w:rsid w:val="00FA7302"/>
    <w:rsid w:val="00FA7D52"/>
    <w:rsid w:val="00FB000B"/>
    <w:rsid w:val="00FB1603"/>
    <w:rsid w:val="00FB6BFB"/>
    <w:rsid w:val="00FC2CCA"/>
    <w:rsid w:val="00FC3A95"/>
    <w:rsid w:val="00FC4E55"/>
    <w:rsid w:val="00FC67D2"/>
    <w:rsid w:val="00FC7760"/>
    <w:rsid w:val="00FD1256"/>
    <w:rsid w:val="00FD28E3"/>
    <w:rsid w:val="00FD4A1B"/>
    <w:rsid w:val="00FD6CCE"/>
    <w:rsid w:val="00FE302A"/>
    <w:rsid w:val="00FF1BFB"/>
    <w:rsid w:val="00FF2675"/>
    <w:rsid w:val="00FF280C"/>
    <w:rsid w:val="00FF2834"/>
    <w:rsid w:val="00FF2DBD"/>
    <w:rsid w:val="00FF6F95"/>
    <w:rsid w:val="00FF70B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fillcolor="white">
      <v:fill color="white"/>
    </o:shapedefaults>
    <o:shapelayout v:ext="edit">
      <o:idmap v:ext="edit" data="1"/>
    </o:shapelayout>
  </w:shapeDefaults>
  <w:decimalSymbol w:val=","/>
  <w:listSeparator w:val=";"/>
  <w14:docId w14:val="702A7B32"/>
  <w15:docId w15:val="{96F14B33-D773-48DA-820D-C7B709478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327F0"/>
    <w:pPr>
      <w:jc w:val="both"/>
    </w:pPr>
    <w:rPr>
      <w:rFonts w:ascii="Open Sans" w:hAnsi="Open Sans"/>
      <w:szCs w:val="24"/>
    </w:rPr>
  </w:style>
  <w:style w:type="paragraph" w:styleId="Titre1">
    <w:name w:val="heading 1"/>
    <w:basedOn w:val="Normal"/>
    <w:next w:val="Normal"/>
    <w:qFormat/>
    <w:pPr>
      <w:keepNext/>
      <w:widowControl w:val="0"/>
      <w:numPr>
        <w:numId w:val="1"/>
      </w:numPr>
      <w:shd w:val="clear" w:color="auto" w:fill="B3B3B3"/>
      <w:autoSpaceDE w:val="0"/>
      <w:autoSpaceDN w:val="0"/>
      <w:adjustRightInd w:val="0"/>
      <w:outlineLvl w:val="0"/>
    </w:pPr>
    <w:rPr>
      <w:rFonts w:ascii="Arial" w:eastAsia="Arial Unicode MS" w:hAnsi="Arial"/>
      <w:b/>
      <w:bCs/>
      <w:sz w:val="28"/>
      <w:szCs w:val="20"/>
    </w:rPr>
  </w:style>
  <w:style w:type="paragraph" w:styleId="Titre2">
    <w:name w:val="heading 2"/>
    <w:basedOn w:val="Normal"/>
    <w:next w:val="Normal"/>
    <w:qFormat/>
    <w:rsid w:val="00144829"/>
    <w:pPr>
      <w:keepNext/>
      <w:widowControl w:val="0"/>
      <w:numPr>
        <w:ilvl w:val="1"/>
        <w:numId w:val="1"/>
      </w:numPr>
      <w:autoSpaceDE w:val="0"/>
      <w:autoSpaceDN w:val="0"/>
      <w:adjustRightInd w:val="0"/>
      <w:outlineLvl w:val="1"/>
    </w:pPr>
    <w:rPr>
      <w:rFonts w:cs="Arial"/>
      <w:b/>
      <w:bCs/>
      <w:sz w:val="22"/>
      <w:szCs w:val="20"/>
    </w:rPr>
  </w:style>
  <w:style w:type="paragraph" w:styleId="Titre3">
    <w:name w:val="heading 3"/>
    <w:basedOn w:val="Normal"/>
    <w:next w:val="Normal"/>
    <w:qFormat/>
    <w:pPr>
      <w:keepNext/>
      <w:widowControl w:val="0"/>
      <w:numPr>
        <w:ilvl w:val="2"/>
        <w:numId w:val="1"/>
      </w:numPr>
      <w:autoSpaceDE w:val="0"/>
      <w:autoSpaceDN w:val="0"/>
      <w:adjustRightInd w:val="0"/>
      <w:outlineLvl w:val="2"/>
    </w:pPr>
    <w:rPr>
      <w:rFonts w:ascii="Arial" w:hAnsi="Arial" w:cs="Arial"/>
      <w:b/>
      <w:bCs/>
      <w:color w:val="000000"/>
      <w:szCs w:val="20"/>
    </w:rPr>
  </w:style>
  <w:style w:type="paragraph" w:styleId="Titre4">
    <w:name w:val="heading 4"/>
    <w:basedOn w:val="Normal"/>
    <w:next w:val="Normal"/>
    <w:link w:val="Titre4Car"/>
    <w:qFormat/>
    <w:pPr>
      <w:keepNext/>
      <w:widowControl w:val="0"/>
      <w:numPr>
        <w:ilvl w:val="3"/>
        <w:numId w:val="1"/>
      </w:numPr>
      <w:autoSpaceDE w:val="0"/>
      <w:autoSpaceDN w:val="0"/>
      <w:adjustRightInd w:val="0"/>
      <w:outlineLvl w:val="3"/>
    </w:pPr>
    <w:rPr>
      <w:rFonts w:ascii="Arial" w:hAnsi="Arial" w:cs="Arial"/>
      <w:b/>
      <w:bCs/>
      <w:sz w:val="28"/>
      <w:szCs w:val="20"/>
    </w:rPr>
  </w:style>
  <w:style w:type="paragraph" w:styleId="Titre5">
    <w:name w:val="heading 5"/>
    <w:basedOn w:val="Normal"/>
    <w:next w:val="Normal"/>
    <w:qFormat/>
    <w:pPr>
      <w:keepNext/>
      <w:widowControl w:val="0"/>
      <w:numPr>
        <w:ilvl w:val="4"/>
        <w:numId w:val="1"/>
      </w:numPr>
      <w:autoSpaceDE w:val="0"/>
      <w:autoSpaceDN w:val="0"/>
      <w:adjustRightInd w:val="0"/>
      <w:outlineLvl w:val="4"/>
    </w:pPr>
    <w:rPr>
      <w:rFonts w:ascii="Arial" w:eastAsia="Arial Unicode MS" w:hAnsi="Arial" w:cs="Arial"/>
      <w:b/>
      <w:bCs/>
      <w:caps/>
      <w:color w:val="000000"/>
      <w:sz w:val="28"/>
      <w:szCs w:val="20"/>
    </w:rPr>
  </w:style>
  <w:style w:type="paragraph" w:styleId="Titre6">
    <w:name w:val="heading 6"/>
    <w:basedOn w:val="Normal"/>
    <w:next w:val="Normal"/>
    <w:qFormat/>
    <w:pPr>
      <w:keepNext/>
      <w:widowControl w:val="0"/>
      <w:numPr>
        <w:ilvl w:val="5"/>
        <w:numId w:val="1"/>
      </w:numPr>
      <w:autoSpaceDE w:val="0"/>
      <w:autoSpaceDN w:val="0"/>
      <w:adjustRightInd w:val="0"/>
      <w:outlineLvl w:val="5"/>
    </w:pPr>
    <w:rPr>
      <w:rFonts w:ascii="Arial" w:hAnsi="Arial" w:cs="Arial"/>
      <w:i/>
      <w:iCs/>
      <w:szCs w:val="20"/>
    </w:rPr>
  </w:style>
  <w:style w:type="paragraph" w:styleId="Titre7">
    <w:name w:val="heading 7"/>
    <w:basedOn w:val="Normal"/>
    <w:next w:val="Normal"/>
    <w:qFormat/>
    <w:pPr>
      <w:keepNext/>
      <w:numPr>
        <w:ilvl w:val="6"/>
        <w:numId w:val="1"/>
      </w:numPr>
      <w:jc w:val="center"/>
      <w:outlineLvl w:val="6"/>
    </w:pPr>
    <w:rPr>
      <w:b/>
      <w:bCs/>
    </w:rPr>
  </w:style>
  <w:style w:type="paragraph" w:styleId="Titre8">
    <w:name w:val="heading 8"/>
    <w:basedOn w:val="Normal"/>
    <w:next w:val="Normal"/>
    <w:qFormat/>
    <w:pPr>
      <w:numPr>
        <w:ilvl w:val="7"/>
        <w:numId w:val="1"/>
      </w:numPr>
      <w:spacing w:before="240" w:after="60"/>
      <w:outlineLvl w:val="7"/>
    </w:pPr>
    <w:rPr>
      <w:i/>
      <w:iCs/>
    </w:rPr>
  </w:style>
  <w:style w:type="paragraph" w:styleId="Titre9">
    <w:name w:val="heading 9"/>
    <w:basedOn w:val="Normal"/>
    <w:next w:val="Normal"/>
    <w:qFormat/>
    <w:pPr>
      <w:numPr>
        <w:ilvl w:val="8"/>
        <w:numId w:val="1"/>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uiPriority w:val="99"/>
    <w:rPr>
      <w:rFonts w:ascii="Times New Roman" w:hAnsi="Times New Roman" w:cs="Times New Roman"/>
      <w:color w:val="0000FF"/>
      <w:u w:val="single"/>
    </w:rPr>
  </w:style>
  <w:style w:type="character" w:customStyle="1" w:styleId="EmailStyle16">
    <w:name w:val="EmailStyle16"/>
    <w:rPr>
      <w:rFonts w:ascii="Arial" w:hAnsi="Arial" w:cs="Arial"/>
      <w:color w:val="000080"/>
      <w:sz w:val="24"/>
      <w:szCs w:val="24"/>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rPr>
      <w:rFonts w:ascii="Times New Roman" w:hAnsi="Times New Roman" w:cs="Times New Roman"/>
    </w:rPr>
  </w:style>
  <w:style w:type="paragraph" w:styleId="Retraitcorpsdetexte">
    <w:name w:val="Body Text Indent"/>
    <w:basedOn w:val="Normal"/>
    <w:pPr>
      <w:keepNext/>
      <w:widowControl w:val="0"/>
      <w:pBdr>
        <w:top w:val="single" w:sz="6" w:space="1" w:color="auto"/>
        <w:left w:val="single" w:sz="6" w:space="4" w:color="auto"/>
        <w:bottom w:val="single" w:sz="6" w:space="1" w:color="auto"/>
        <w:right w:val="single" w:sz="6" w:space="4" w:color="auto"/>
      </w:pBdr>
      <w:shd w:val="clear" w:color="auto" w:fill="C0C0C0"/>
      <w:autoSpaceDE w:val="0"/>
      <w:autoSpaceDN w:val="0"/>
      <w:adjustRightInd w:val="0"/>
      <w:spacing w:before="2000"/>
      <w:ind w:left="3969"/>
      <w:jc w:val="center"/>
    </w:pPr>
    <w:rPr>
      <w:rFonts w:ascii="Arial" w:hAnsi="Arial" w:cs="Arial"/>
      <w:b/>
      <w:bCs/>
      <w:sz w:val="40"/>
      <w:szCs w:val="40"/>
    </w:rPr>
  </w:style>
  <w:style w:type="paragraph" w:customStyle="1" w:styleId="Textedebulles1">
    <w:name w:val="Texte de bulles1"/>
    <w:basedOn w:val="Normal"/>
    <w:rPr>
      <w:rFonts w:ascii="Tahoma" w:hAnsi="Tahoma" w:cs="Tahoma"/>
      <w:sz w:val="16"/>
      <w:szCs w:val="16"/>
    </w:rPr>
  </w:style>
  <w:style w:type="paragraph" w:styleId="Corpsdetexte">
    <w:name w:val="Body Text"/>
    <w:basedOn w:val="Normal"/>
    <w:pPr>
      <w:widowControl w:val="0"/>
      <w:autoSpaceDE w:val="0"/>
      <w:autoSpaceDN w:val="0"/>
      <w:adjustRightInd w:val="0"/>
    </w:pPr>
    <w:rPr>
      <w:rFonts w:ascii="Arial" w:hAnsi="Arial" w:cs="Arial"/>
      <w:i/>
      <w:iCs/>
      <w:szCs w:val="20"/>
    </w:rPr>
  </w:style>
  <w:style w:type="paragraph" w:styleId="Retraitcorpsdetexte2">
    <w:name w:val="Body Text Indent 2"/>
    <w:basedOn w:val="Normal"/>
    <w:pPr>
      <w:widowControl w:val="0"/>
      <w:autoSpaceDE w:val="0"/>
      <w:autoSpaceDN w:val="0"/>
      <w:adjustRightInd w:val="0"/>
      <w:ind w:left="426"/>
    </w:pPr>
    <w:rPr>
      <w:rFonts w:ascii="Arial" w:hAnsi="Arial" w:cs="Arial"/>
      <w:color w:val="000000"/>
      <w:szCs w:val="20"/>
    </w:rPr>
  </w:style>
  <w:style w:type="paragraph" w:styleId="Retraitcorpsdetexte3">
    <w:name w:val="Body Text Indent 3"/>
    <w:basedOn w:val="Normal"/>
    <w:pPr>
      <w:widowControl w:val="0"/>
      <w:tabs>
        <w:tab w:val="left" w:pos="720"/>
      </w:tabs>
      <w:autoSpaceDE w:val="0"/>
      <w:autoSpaceDN w:val="0"/>
      <w:adjustRightInd w:val="0"/>
      <w:ind w:left="709"/>
    </w:pPr>
    <w:rPr>
      <w:rFonts w:ascii="Arial" w:hAnsi="Arial" w:cs="Arial"/>
      <w:i/>
      <w:iCs/>
      <w:color w:val="FF0000"/>
      <w:szCs w:val="20"/>
    </w:rPr>
  </w:style>
  <w:style w:type="paragraph" w:styleId="Corpsdetexte2">
    <w:name w:val="Body Text 2"/>
    <w:basedOn w:val="Normal"/>
    <w:rPr>
      <w:rFonts w:ascii="Arial" w:hAnsi="Arial" w:cs="Arial"/>
      <w:color w:val="FF0000"/>
      <w:szCs w:val="20"/>
    </w:rPr>
  </w:style>
  <w:style w:type="character" w:styleId="Lienhypertextesuivivisit">
    <w:name w:val="FollowedHyperlink"/>
    <w:rPr>
      <w:color w:val="800080"/>
      <w:u w:val="single"/>
    </w:rPr>
  </w:style>
  <w:style w:type="paragraph" w:styleId="Corpsdetexte3">
    <w:name w:val="Body Text 3"/>
    <w:basedOn w:val="Normal"/>
    <w:pPr>
      <w:widowControl w:val="0"/>
      <w:autoSpaceDE w:val="0"/>
      <w:autoSpaceDN w:val="0"/>
      <w:adjustRightInd w:val="0"/>
    </w:pPr>
    <w:rPr>
      <w:rFonts w:ascii="Arial" w:hAnsi="Arial" w:cs="Arial"/>
      <w:b/>
      <w:bCs/>
      <w:color w:val="000000"/>
      <w:szCs w:val="20"/>
    </w:rPr>
  </w:style>
  <w:style w:type="paragraph" w:styleId="TM1">
    <w:name w:val="toc 1"/>
    <w:basedOn w:val="Normal"/>
    <w:next w:val="Normal"/>
    <w:autoRedefine/>
    <w:uiPriority w:val="39"/>
    <w:rsid w:val="000169CB"/>
    <w:pPr>
      <w:tabs>
        <w:tab w:val="left" w:pos="1440"/>
        <w:tab w:val="right" w:leader="dot" w:pos="9396"/>
      </w:tabs>
      <w:spacing w:before="60" w:after="60"/>
    </w:pPr>
  </w:style>
  <w:style w:type="paragraph" w:styleId="TM2">
    <w:name w:val="toc 2"/>
    <w:basedOn w:val="Normal"/>
    <w:next w:val="Normal"/>
    <w:autoRedefine/>
    <w:uiPriority w:val="39"/>
    <w:rsid w:val="00FF2675"/>
    <w:pPr>
      <w:tabs>
        <w:tab w:val="left" w:pos="960"/>
        <w:tab w:val="right" w:leader="dot" w:pos="9396"/>
      </w:tabs>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character" w:styleId="Accentuation">
    <w:name w:val="Emphasis"/>
    <w:qFormat/>
    <w:rPr>
      <w:i/>
      <w:iCs/>
    </w:rPr>
  </w:style>
  <w:style w:type="character" w:styleId="lev">
    <w:name w:val="Strong"/>
    <w:qFormat/>
    <w:rPr>
      <w:b/>
      <w:bCs/>
    </w:rPr>
  </w:style>
  <w:style w:type="paragraph" w:customStyle="1" w:styleId="Normal2">
    <w:name w:val="Normal2"/>
    <w:basedOn w:val="Normal"/>
    <w:link w:val="Normal2Car"/>
    <w:pPr>
      <w:ind w:left="142"/>
    </w:pPr>
    <w:rPr>
      <w:rFonts w:ascii="Arial" w:hAnsi="Arial"/>
      <w:i/>
      <w:color w:val="000000"/>
      <w:szCs w:val="20"/>
    </w:rPr>
  </w:style>
  <w:style w:type="table" w:styleId="Grilledutableau">
    <w:name w:val="Table Grid"/>
    <w:basedOn w:val="TableauNormal"/>
    <w:rsid w:val="002A6F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arCar1">
    <w:name w:val="Car Car1"/>
    <w:basedOn w:val="Normal"/>
    <w:rsid w:val="0083494B"/>
    <w:pPr>
      <w:widowControl w:val="0"/>
      <w:overflowPunct w:val="0"/>
      <w:autoSpaceDE w:val="0"/>
      <w:autoSpaceDN w:val="0"/>
      <w:adjustRightInd w:val="0"/>
      <w:spacing w:before="100" w:beforeAutospacing="1" w:after="100" w:afterAutospacing="1" w:line="240" w:lineRule="exact"/>
    </w:pPr>
    <w:rPr>
      <w:rFonts w:ascii="Tahoma" w:hAnsi="Tahoma" w:cs="Tahoma"/>
      <w:szCs w:val="20"/>
      <w:lang w:val="en-US" w:eastAsia="en-US"/>
    </w:rPr>
  </w:style>
  <w:style w:type="paragraph" w:styleId="Textedebulles">
    <w:name w:val="Balloon Text"/>
    <w:basedOn w:val="Normal"/>
    <w:link w:val="TextedebullesCar"/>
    <w:rsid w:val="009A346C"/>
    <w:rPr>
      <w:rFonts w:ascii="Tahoma" w:hAnsi="Tahoma" w:cs="Tahoma"/>
      <w:sz w:val="16"/>
      <w:szCs w:val="16"/>
    </w:rPr>
  </w:style>
  <w:style w:type="character" w:customStyle="1" w:styleId="TextedebullesCar">
    <w:name w:val="Texte de bulles Car"/>
    <w:link w:val="Textedebulles"/>
    <w:rsid w:val="009A346C"/>
    <w:rPr>
      <w:rFonts w:ascii="Tahoma" w:hAnsi="Tahoma" w:cs="Tahoma"/>
      <w:sz w:val="16"/>
      <w:szCs w:val="16"/>
    </w:rPr>
  </w:style>
  <w:style w:type="character" w:styleId="Marquedecommentaire">
    <w:name w:val="annotation reference"/>
    <w:rsid w:val="00503BCA"/>
    <w:rPr>
      <w:sz w:val="16"/>
      <w:szCs w:val="16"/>
    </w:rPr>
  </w:style>
  <w:style w:type="paragraph" w:styleId="Commentaire">
    <w:name w:val="annotation text"/>
    <w:basedOn w:val="Normal"/>
    <w:link w:val="CommentaireCar"/>
    <w:rsid w:val="00503BCA"/>
    <w:rPr>
      <w:szCs w:val="20"/>
    </w:rPr>
  </w:style>
  <w:style w:type="character" w:customStyle="1" w:styleId="CommentaireCar">
    <w:name w:val="Commentaire Car"/>
    <w:basedOn w:val="Policepardfaut"/>
    <w:link w:val="Commentaire"/>
    <w:rsid w:val="00503BCA"/>
  </w:style>
  <w:style w:type="paragraph" w:styleId="Objetducommentaire">
    <w:name w:val="annotation subject"/>
    <w:basedOn w:val="Commentaire"/>
    <w:next w:val="Commentaire"/>
    <w:link w:val="ObjetducommentaireCar"/>
    <w:rsid w:val="00503BCA"/>
    <w:rPr>
      <w:b/>
      <w:bCs/>
    </w:rPr>
  </w:style>
  <w:style w:type="character" w:customStyle="1" w:styleId="ObjetducommentaireCar">
    <w:name w:val="Objet du commentaire Car"/>
    <w:link w:val="Objetducommentaire"/>
    <w:rsid w:val="00503BCA"/>
    <w:rPr>
      <w:b/>
      <w:bCs/>
    </w:rPr>
  </w:style>
  <w:style w:type="paragraph" w:styleId="Paragraphedeliste">
    <w:name w:val="List Paragraph"/>
    <w:basedOn w:val="Normal"/>
    <w:uiPriority w:val="34"/>
    <w:qFormat/>
    <w:rsid w:val="007E621D"/>
    <w:pPr>
      <w:ind w:left="708"/>
    </w:pPr>
  </w:style>
  <w:style w:type="paragraph" w:styleId="Rvision">
    <w:name w:val="Revision"/>
    <w:hidden/>
    <w:uiPriority w:val="99"/>
    <w:semiHidden/>
    <w:rsid w:val="004F3E15"/>
    <w:rPr>
      <w:sz w:val="24"/>
      <w:szCs w:val="24"/>
    </w:rPr>
  </w:style>
  <w:style w:type="paragraph" w:customStyle="1" w:styleId="CharChar1">
    <w:name w:val="Char Char1"/>
    <w:basedOn w:val="Normal"/>
    <w:rsid w:val="00E85E5D"/>
    <w:pPr>
      <w:spacing w:after="160" w:line="240" w:lineRule="exact"/>
    </w:pPr>
    <w:rPr>
      <w:rFonts w:ascii="Verdana" w:hAnsi="Verdana"/>
      <w:szCs w:val="20"/>
      <w:lang w:val="en-US" w:eastAsia="en-US"/>
    </w:rPr>
  </w:style>
  <w:style w:type="character" w:customStyle="1" w:styleId="Titre4Car">
    <w:name w:val="Titre 4 Car"/>
    <w:link w:val="Titre4"/>
    <w:rsid w:val="00E21D32"/>
    <w:rPr>
      <w:rFonts w:ascii="Arial" w:hAnsi="Arial" w:cs="Arial"/>
      <w:b/>
      <w:bCs/>
      <w:sz w:val="28"/>
    </w:rPr>
  </w:style>
  <w:style w:type="paragraph" w:styleId="PrformatHTML">
    <w:name w:val="HTML Preformatted"/>
    <w:basedOn w:val="Normal"/>
    <w:link w:val="PrformatHTMLCar"/>
    <w:rsid w:val="00D5395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Cs w:val="20"/>
    </w:rPr>
  </w:style>
  <w:style w:type="character" w:customStyle="1" w:styleId="PrformatHTMLCar">
    <w:name w:val="Préformaté HTML Car"/>
    <w:link w:val="PrformatHTML"/>
    <w:rsid w:val="00D53957"/>
    <w:rPr>
      <w:rFonts w:ascii="Arial Unicode MS" w:eastAsia="Arial Unicode MS" w:hAnsi="Arial Unicode MS" w:cs="Arial Unicode MS"/>
    </w:rPr>
  </w:style>
  <w:style w:type="paragraph" w:styleId="Notedebasdepage">
    <w:name w:val="footnote text"/>
    <w:basedOn w:val="Normal"/>
    <w:link w:val="NotedebasdepageCar"/>
    <w:semiHidden/>
    <w:unhideWhenUsed/>
    <w:rsid w:val="00155970"/>
    <w:rPr>
      <w:szCs w:val="20"/>
    </w:rPr>
  </w:style>
  <w:style w:type="character" w:customStyle="1" w:styleId="NotedebasdepageCar">
    <w:name w:val="Note de bas de page Car"/>
    <w:basedOn w:val="Policepardfaut"/>
    <w:link w:val="Notedebasdepage"/>
    <w:semiHidden/>
    <w:rsid w:val="00155970"/>
  </w:style>
  <w:style w:type="character" w:styleId="Appelnotedebasdep">
    <w:name w:val="footnote reference"/>
    <w:semiHidden/>
    <w:unhideWhenUsed/>
    <w:rsid w:val="00155970"/>
    <w:rPr>
      <w:vertAlign w:val="superscript"/>
    </w:rPr>
  </w:style>
  <w:style w:type="character" w:customStyle="1" w:styleId="Normal2Car">
    <w:name w:val="Normal2 Car"/>
    <w:link w:val="Normal2"/>
    <w:rsid w:val="00F71133"/>
    <w:rPr>
      <w:rFonts w:ascii="Arial" w:hAnsi="Arial"/>
      <w:i/>
      <w:color w:val="000000"/>
    </w:rPr>
  </w:style>
  <w:style w:type="character" w:customStyle="1" w:styleId="Mentionnonrsolue1">
    <w:name w:val="Mention non résolue1"/>
    <w:basedOn w:val="Policepardfaut"/>
    <w:uiPriority w:val="99"/>
    <w:semiHidden/>
    <w:unhideWhenUsed/>
    <w:rsid w:val="00D15B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810353">
      <w:bodyDiv w:val="1"/>
      <w:marLeft w:val="0"/>
      <w:marRight w:val="0"/>
      <w:marTop w:val="0"/>
      <w:marBottom w:val="0"/>
      <w:divBdr>
        <w:top w:val="none" w:sz="0" w:space="0" w:color="auto"/>
        <w:left w:val="none" w:sz="0" w:space="0" w:color="auto"/>
        <w:bottom w:val="none" w:sz="0" w:space="0" w:color="auto"/>
        <w:right w:val="none" w:sz="0" w:space="0" w:color="auto"/>
      </w:divBdr>
    </w:div>
    <w:div w:id="997807491">
      <w:bodyDiv w:val="1"/>
      <w:marLeft w:val="0"/>
      <w:marRight w:val="0"/>
      <w:marTop w:val="0"/>
      <w:marBottom w:val="0"/>
      <w:divBdr>
        <w:top w:val="none" w:sz="0" w:space="0" w:color="auto"/>
        <w:left w:val="none" w:sz="0" w:space="0" w:color="auto"/>
        <w:bottom w:val="none" w:sz="0" w:space="0" w:color="auto"/>
        <w:right w:val="none" w:sz="0" w:space="0" w:color="auto"/>
      </w:divBdr>
    </w:div>
    <w:div w:id="1141270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marches-publics.gouv.f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ches-publics.gouv.fr/?page=entreprise.AccueilEntrepris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page=commun.PrerequisTechniques&amp;calledFrom=entreprise" TargetMode="External"/><Relationship Id="rId5" Type="http://schemas.openxmlformats.org/officeDocument/2006/relationships/webSettings" Target="webSettings.xml"/><Relationship Id="rId15" Type="http://schemas.openxmlformats.org/officeDocument/2006/relationships/image" Target="media/image2.png"/><Relationship Id="rId10" Type="http://schemas.openxmlformats.org/officeDocument/2006/relationships/hyperlink" Target="https://www.marches-publics.gouv.f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file:///C:\Users\4213359\AppData\Local\Microsoft\Windows\INetCache\Content.Outlook\HAUSK2S0\www.marches-publics.gouv.fr" TargetMode="External"/><Relationship Id="rId14" Type="http://schemas.openxmlformats.org/officeDocument/2006/relationships/hyperlink" Target="http://www.economie.gouv.fr/daj/formulair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515380-BFEB-4CB4-AB1E-5A042B3C0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17</Pages>
  <Words>6923</Words>
  <Characters>40450</Characters>
  <Application>Microsoft Office Word</Application>
  <DocSecurity>0</DocSecurity>
  <Lines>337</Lines>
  <Paragraphs>94</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APHP</Company>
  <LinksUpToDate>false</LinksUpToDate>
  <CharactersWithSpaces>47279</CharactersWithSpaces>
  <SharedDoc>false</SharedDoc>
  <HLinks>
    <vt:vector size="228" baseType="variant">
      <vt:variant>
        <vt:i4>1572917</vt:i4>
      </vt:variant>
      <vt:variant>
        <vt:i4>207</vt:i4>
      </vt:variant>
      <vt:variant>
        <vt:i4>0</vt:i4>
      </vt:variant>
      <vt:variant>
        <vt:i4>5</vt:i4>
      </vt:variant>
      <vt:variant>
        <vt:lpwstr>mailto:greffe.ta-paris@juradm.fr</vt:lpwstr>
      </vt:variant>
      <vt:variant>
        <vt:lpwstr/>
      </vt:variant>
      <vt:variant>
        <vt:i4>393218</vt:i4>
      </vt:variant>
      <vt:variant>
        <vt:i4>204</vt:i4>
      </vt:variant>
      <vt:variant>
        <vt:i4>0</vt:i4>
      </vt:variant>
      <vt:variant>
        <vt:i4>5</vt:i4>
      </vt:variant>
      <vt:variant>
        <vt:lpwstr>https://www.marches-publics.gouv.fr/</vt:lpwstr>
      </vt:variant>
      <vt:variant>
        <vt:lpwstr/>
      </vt:variant>
      <vt:variant>
        <vt:i4>7667815</vt:i4>
      </vt:variant>
      <vt:variant>
        <vt:i4>201</vt:i4>
      </vt:variant>
      <vt:variant>
        <vt:i4>0</vt:i4>
      </vt:variant>
      <vt:variant>
        <vt:i4>5</vt:i4>
      </vt:variant>
      <vt:variant>
        <vt:lpwstr>http://www.economie.gouv.fr/daj/formulaires</vt:lpwstr>
      </vt:variant>
      <vt:variant>
        <vt:lpwstr/>
      </vt:variant>
      <vt:variant>
        <vt:i4>7667815</vt:i4>
      </vt:variant>
      <vt:variant>
        <vt:i4>198</vt:i4>
      </vt:variant>
      <vt:variant>
        <vt:i4>0</vt:i4>
      </vt:variant>
      <vt:variant>
        <vt:i4>5</vt:i4>
      </vt:variant>
      <vt:variant>
        <vt:lpwstr>http://www.economie.gouv.fr/daj/formulaires</vt:lpwstr>
      </vt:variant>
      <vt:variant>
        <vt:lpwstr/>
      </vt:variant>
      <vt:variant>
        <vt:i4>5177402</vt:i4>
      </vt:variant>
      <vt:variant>
        <vt:i4>195</vt:i4>
      </vt:variant>
      <vt:variant>
        <vt:i4>0</vt:i4>
      </vt:variant>
      <vt:variant>
        <vt:i4>5</vt:i4>
      </vt:variant>
      <vt:variant>
        <vt:lpwstr>mailto:alain.gachet@epec.paris</vt:lpwstr>
      </vt:variant>
      <vt:variant>
        <vt:lpwstr/>
      </vt:variant>
      <vt:variant>
        <vt:i4>2949148</vt:i4>
      </vt:variant>
      <vt:variant>
        <vt:i4>192</vt:i4>
      </vt:variant>
      <vt:variant>
        <vt:i4>0</vt:i4>
      </vt:variant>
      <vt:variant>
        <vt:i4>5</vt:i4>
      </vt:variant>
      <vt:variant>
        <vt:lpwstr>mailto:clauses-insertion1@epec.paris</vt:lpwstr>
      </vt:variant>
      <vt:variant>
        <vt:lpwstr/>
      </vt:variant>
      <vt:variant>
        <vt:i4>393218</vt:i4>
      </vt:variant>
      <vt:variant>
        <vt:i4>189</vt:i4>
      </vt:variant>
      <vt:variant>
        <vt:i4>0</vt:i4>
      </vt:variant>
      <vt:variant>
        <vt:i4>5</vt:i4>
      </vt:variant>
      <vt:variant>
        <vt:lpwstr>https://www.marches-publics.gouv.fr/</vt:lpwstr>
      </vt:variant>
      <vt:variant>
        <vt:lpwstr/>
      </vt:variant>
      <vt:variant>
        <vt:i4>1114165</vt:i4>
      </vt:variant>
      <vt:variant>
        <vt:i4>182</vt:i4>
      </vt:variant>
      <vt:variant>
        <vt:i4>0</vt:i4>
      </vt:variant>
      <vt:variant>
        <vt:i4>5</vt:i4>
      </vt:variant>
      <vt:variant>
        <vt:lpwstr/>
      </vt:variant>
      <vt:variant>
        <vt:lpwstr>_Toc525641132</vt:lpwstr>
      </vt:variant>
      <vt:variant>
        <vt:i4>1114165</vt:i4>
      </vt:variant>
      <vt:variant>
        <vt:i4>176</vt:i4>
      </vt:variant>
      <vt:variant>
        <vt:i4>0</vt:i4>
      </vt:variant>
      <vt:variant>
        <vt:i4>5</vt:i4>
      </vt:variant>
      <vt:variant>
        <vt:lpwstr/>
      </vt:variant>
      <vt:variant>
        <vt:lpwstr>_Toc525641131</vt:lpwstr>
      </vt:variant>
      <vt:variant>
        <vt:i4>1114165</vt:i4>
      </vt:variant>
      <vt:variant>
        <vt:i4>170</vt:i4>
      </vt:variant>
      <vt:variant>
        <vt:i4>0</vt:i4>
      </vt:variant>
      <vt:variant>
        <vt:i4>5</vt:i4>
      </vt:variant>
      <vt:variant>
        <vt:lpwstr/>
      </vt:variant>
      <vt:variant>
        <vt:lpwstr>_Toc525641130</vt:lpwstr>
      </vt:variant>
      <vt:variant>
        <vt:i4>1048629</vt:i4>
      </vt:variant>
      <vt:variant>
        <vt:i4>164</vt:i4>
      </vt:variant>
      <vt:variant>
        <vt:i4>0</vt:i4>
      </vt:variant>
      <vt:variant>
        <vt:i4>5</vt:i4>
      </vt:variant>
      <vt:variant>
        <vt:lpwstr/>
      </vt:variant>
      <vt:variant>
        <vt:lpwstr>_Toc525641129</vt:lpwstr>
      </vt:variant>
      <vt:variant>
        <vt:i4>1048629</vt:i4>
      </vt:variant>
      <vt:variant>
        <vt:i4>158</vt:i4>
      </vt:variant>
      <vt:variant>
        <vt:i4>0</vt:i4>
      </vt:variant>
      <vt:variant>
        <vt:i4>5</vt:i4>
      </vt:variant>
      <vt:variant>
        <vt:lpwstr/>
      </vt:variant>
      <vt:variant>
        <vt:lpwstr>_Toc525641128</vt:lpwstr>
      </vt:variant>
      <vt:variant>
        <vt:i4>1048629</vt:i4>
      </vt:variant>
      <vt:variant>
        <vt:i4>152</vt:i4>
      </vt:variant>
      <vt:variant>
        <vt:i4>0</vt:i4>
      </vt:variant>
      <vt:variant>
        <vt:i4>5</vt:i4>
      </vt:variant>
      <vt:variant>
        <vt:lpwstr/>
      </vt:variant>
      <vt:variant>
        <vt:lpwstr>_Toc525641127</vt:lpwstr>
      </vt:variant>
      <vt:variant>
        <vt:i4>1048629</vt:i4>
      </vt:variant>
      <vt:variant>
        <vt:i4>146</vt:i4>
      </vt:variant>
      <vt:variant>
        <vt:i4>0</vt:i4>
      </vt:variant>
      <vt:variant>
        <vt:i4>5</vt:i4>
      </vt:variant>
      <vt:variant>
        <vt:lpwstr/>
      </vt:variant>
      <vt:variant>
        <vt:lpwstr>_Toc525641126</vt:lpwstr>
      </vt:variant>
      <vt:variant>
        <vt:i4>1048629</vt:i4>
      </vt:variant>
      <vt:variant>
        <vt:i4>140</vt:i4>
      </vt:variant>
      <vt:variant>
        <vt:i4>0</vt:i4>
      </vt:variant>
      <vt:variant>
        <vt:i4>5</vt:i4>
      </vt:variant>
      <vt:variant>
        <vt:lpwstr/>
      </vt:variant>
      <vt:variant>
        <vt:lpwstr>_Toc525641125</vt:lpwstr>
      </vt:variant>
      <vt:variant>
        <vt:i4>1048629</vt:i4>
      </vt:variant>
      <vt:variant>
        <vt:i4>134</vt:i4>
      </vt:variant>
      <vt:variant>
        <vt:i4>0</vt:i4>
      </vt:variant>
      <vt:variant>
        <vt:i4>5</vt:i4>
      </vt:variant>
      <vt:variant>
        <vt:lpwstr/>
      </vt:variant>
      <vt:variant>
        <vt:lpwstr>_Toc525641124</vt:lpwstr>
      </vt:variant>
      <vt:variant>
        <vt:i4>1048629</vt:i4>
      </vt:variant>
      <vt:variant>
        <vt:i4>128</vt:i4>
      </vt:variant>
      <vt:variant>
        <vt:i4>0</vt:i4>
      </vt:variant>
      <vt:variant>
        <vt:i4>5</vt:i4>
      </vt:variant>
      <vt:variant>
        <vt:lpwstr/>
      </vt:variant>
      <vt:variant>
        <vt:lpwstr>_Toc525641123</vt:lpwstr>
      </vt:variant>
      <vt:variant>
        <vt:i4>1048629</vt:i4>
      </vt:variant>
      <vt:variant>
        <vt:i4>122</vt:i4>
      </vt:variant>
      <vt:variant>
        <vt:i4>0</vt:i4>
      </vt:variant>
      <vt:variant>
        <vt:i4>5</vt:i4>
      </vt:variant>
      <vt:variant>
        <vt:lpwstr/>
      </vt:variant>
      <vt:variant>
        <vt:lpwstr>_Toc525641122</vt:lpwstr>
      </vt:variant>
      <vt:variant>
        <vt:i4>1048629</vt:i4>
      </vt:variant>
      <vt:variant>
        <vt:i4>116</vt:i4>
      </vt:variant>
      <vt:variant>
        <vt:i4>0</vt:i4>
      </vt:variant>
      <vt:variant>
        <vt:i4>5</vt:i4>
      </vt:variant>
      <vt:variant>
        <vt:lpwstr/>
      </vt:variant>
      <vt:variant>
        <vt:lpwstr>_Toc525641121</vt:lpwstr>
      </vt:variant>
      <vt:variant>
        <vt:i4>1048629</vt:i4>
      </vt:variant>
      <vt:variant>
        <vt:i4>110</vt:i4>
      </vt:variant>
      <vt:variant>
        <vt:i4>0</vt:i4>
      </vt:variant>
      <vt:variant>
        <vt:i4>5</vt:i4>
      </vt:variant>
      <vt:variant>
        <vt:lpwstr/>
      </vt:variant>
      <vt:variant>
        <vt:lpwstr>_Toc525641120</vt:lpwstr>
      </vt:variant>
      <vt:variant>
        <vt:i4>1245237</vt:i4>
      </vt:variant>
      <vt:variant>
        <vt:i4>104</vt:i4>
      </vt:variant>
      <vt:variant>
        <vt:i4>0</vt:i4>
      </vt:variant>
      <vt:variant>
        <vt:i4>5</vt:i4>
      </vt:variant>
      <vt:variant>
        <vt:lpwstr/>
      </vt:variant>
      <vt:variant>
        <vt:lpwstr>_Toc525641119</vt:lpwstr>
      </vt:variant>
      <vt:variant>
        <vt:i4>1245237</vt:i4>
      </vt:variant>
      <vt:variant>
        <vt:i4>98</vt:i4>
      </vt:variant>
      <vt:variant>
        <vt:i4>0</vt:i4>
      </vt:variant>
      <vt:variant>
        <vt:i4>5</vt:i4>
      </vt:variant>
      <vt:variant>
        <vt:lpwstr/>
      </vt:variant>
      <vt:variant>
        <vt:lpwstr>_Toc525641118</vt:lpwstr>
      </vt:variant>
      <vt:variant>
        <vt:i4>1245237</vt:i4>
      </vt:variant>
      <vt:variant>
        <vt:i4>92</vt:i4>
      </vt:variant>
      <vt:variant>
        <vt:i4>0</vt:i4>
      </vt:variant>
      <vt:variant>
        <vt:i4>5</vt:i4>
      </vt:variant>
      <vt:variant>
        <vt:lpwstr/>
      </vt:variant>
      <vt:variant>
        <vt:lpwstr>_Toc525641117</vt:lpwstr>
      </vt:variant>
      <vt:variant>
        <vt:i4>1245237</vt:i4>
      </vt:variant>
      <vt:variant>
        <vt:i4>86</vt:i4>
      </vt:variant>
      <vt:variant>
        <vt:i4>0</vt:i4>
      </vt:variant>
      <vt:variant>
        <vt:i4>5</vt:i4>
      </vt:variant>
      <vt:variant>
        <vt:lpwstr/>
      </vt:variant>
      <vt:variant>
        <vt:lpwstr>_Toc525641116</vt:lpwstr>
      </vt:variant>
      <vt:variant>
        <vt:i4>1245237</vt:i4>
      </vt:variant>
      <vt:variant>
        <vt:i4>80</vt:i4>
      </vt:variant>
      <vt:variant>
        <vt:i4>0</vt:i4>
      </vt:variant>
      <vt:variant>
        <vt:i4>5</vt:i4>
      </vt:variant>
      <vt:variant>
        <vt:lpwstr/>
      </vt:variant>
      <vt:variant>
        <vt:lpwstr>_Toc525641115</vt:lpwstr>
      </vt:variant>
      <vt:variant>
        <vt:i4>1245237</vt:i4>
      </vt:variant>
      <vt:variant>
        <vt:i4>74</vt:i4>
      </vt:variant>
      <vt:variant>
        <vt:i4>0</vt:i4>
      </vt:variant>
      <vt:variant>
        <vt:i4>5</vt:i4>
      </vt:variant>
      <vt:variant>
        <vt:lpwstr/>
      </vt:variant>
      <vt:variant>
        <vt:lpwstr>_Toc525641114</vt:lpwstr>
      </vt:variant>
      <vt:variant>
        <vt:i4>1245237</vt:i4>
      </vt:variant>
      <vt:variant>
        <vt:i4>68</vt:i4>
      </vt:variant>
      <vt:variant>
        <vt:i4>0</vt:i4>
      </vt:variant>
      <vt:variant>
        <vt:i4>5</vt:i4>
      </vt:variant>
      <vt:variant>
        <vt:lpwstr/>
      </vt:variant>
      <vt:variant>
        <vt:lpwstr>_Toc525641113</vt:lpwstr>
      </vt:variant>
      <vt:variant>
        <vt:i4>1245237</vt:i4>
      </vt:variant>
      <vt:variant>
        <vt:i4>62</vt:i4>
      </vt:variant>
      <vt:variant>
        <vt:i4>0</vt:i4>
      </vt:variant>
      <vt:variant>
        <vt:i4>5</vt:i4>
      </vt:variant>
      <vt:variant>
        <vt:lpwstr/>
      </vt:variant>
      <vt:variant>
        <vt:lpwstr>_Toc525641112</vt:lpwstr>
      </vt:variant>
      <vt:variant>
        <vt:i4>1245237</vt:i4>
      </vt:variant>
      <vt:variant>
        <vt:i4>56</vt:i4>
      </vt:variant>
      <vt:variant>
        <vt:i4>0</vt:i4>
      </vt:variant>
      <vt:variant>
        <vt:i4>5</vt:i4>
      </vt:variant>
      <vt:variant>
        <vt:lpwstr/>
      </vt:variant>
      <vt:variant>
        <vt:lpwstr>_Toc525641111</vt:lpwstr>
      </vt:variant>
      <vt:variant>
        <vt:i4>1245237</vt:i4>
      </vt:variant>
      <vt:variant>
        <vt:i4>50</vt:i4>
      </vt:variant>
      <vt:variant>
        <vt:i4>0</vt:i4>
      </vt:variant>
      <vt:variant>
        <vt:i4>5</vt:i4>
      </vt:variant>
      <vt:variant>
        <vt:lpwstr/>
      </vt:variant>
      <vt:variant>
        <vt:lpwstr>_Toc525641110</vt:lpwstr>
      </vt:variant>
      <vt:variant>
        <vt:i4>1179701</vt:i4>
      </vt:variant>
      <vt:variant>
        <vt:i4>44</vt:i4>
      </vt:variant>
      <vt:variant>
        <vt:i4>0</vt:i4>
      </vt:variant>
      <vt:variant>
        <vt:i4>5</vt:i4>
      </vt:variant>
      <vt:variant>
        <vt:lpwstr/>
      </vt:variant>
      <vt:variant>
        <vt:lpwstr>_Toc525641109</vt:lpwstr>
      </vt:variant>
      <vt:variant>
        <vt:i4>1179701</vt:i4>
      </vt:variant>
      <vt:variant>
        <vt:i4>38</vt:i4>
      </vt:variant>
      <vt:variant>
        <vt:i4>0</vt:i4>
      </vt:variant>
      <vt:variant>
        <vt:i4>5</vt:i4>
      </vt:variant>
      <vt:variant>
        <vt:lpwstr/>
      </vt:variant>
      <vt:variant>
        <vt:lpwstr>_Toc525641108</vt:lpwstr>
      </vt:variant>
      <vt:variant>
        <vt:i4>1179701</vt:i4>
      </vt:variant>
      <vt:variant>
        <vt:i4>32</vt:i4>
      </vt:variant>
      <vt:variant>
        <vt:i4>0</vt:i4>
      </vt:variant>
      <vt:variant>
        <vt:i4>5</vt:i4>
      </vt:variant>
      <vt:variant>
        <vt:lpwstr/>
      </vt:variant>
      <vt:variant>
        <vt:lpwstr>_Toc525641107</vt:lpwstr>
      </vt:variant>
      <vt:variant>
        <vt:i4>1179701</vt:i4>
      </vt:variant>
      <vt:variant>
        <vt:i4>26</vt:i4>
      </vt:variant>
      <vt:variant>
        <vt:i4>0</vt:i4>
      </vt:variant>
      <vt:variant>
        <vt:i4>5</vt:i4>
      </vt:variant>
      <vt:variant>
        <vt:lpwstr/>
      </vt:variant>
      <vt:variant>
        <vt:lpwstr>_Toc525641106</vt:lpwstr>
      </vt:variant>
      <vt:variant>
        <vt:i4>1179701</vt:i4>
      </vt:variant>
      <vt:variant>
        <vt:i4>20</vt:i4>
      </vt:variant>
      <vt:variant>
        <vt:i4>0</vt:i4>
      </vt:variant>
      <vt:variant>
        <vt:i4>5</vt:i4>
      </vt:variant>
      <vt:variant>
        <vt:lpwstr/>
      </vt:variant>
      <vt:variant>
        <vt:lpwstr>_Toc525641105</vt:lpwstr>
      </vt:variant>
      <vt:variant>
        <vt:i4>1179701</vt:i4>
      </vt:variant>
      <vt:variant>
        <vt:i4>14</vt:i4>
      </vt:variant>
      <vt:variant>
        <vt:i4>0</vt:i4>
      </vt:variant>
      <vt:variant>
        <vt:i4>5</vt:i4>
      </vt:variant>
      <vt:variant>
        <vt:lpwstr/>
      </vt:variant>
      <vt:variant>
        <vt:lpwstr>_Toc525641104</vt:lpwstr>
      </vt:variant>
      <vt:variant>
        <vt:i4>1179701</vt:i4>
      </vt:variant>
      <vt:variant>
        <vt:i4>8</vt:i4>
      </vt:variant>
      <vt:variant>
        <vt:i4>0</vt:i4>
      </vt:variant>
      <vt:variant>
        <vt:i4>5</vt:i4>
      </vt:variant>
      <vt:variant>
        <vt:lpwstr/>
      </vt:variant>
      <vt:variant>
        <vt:lpwstr>_Toc525641103</vt:lpwstr>
      </vt:variant>
      <vt:variant>
        <vt:i4>1179701</vt:i4>
      </vt:variant>
      <vt:variant>
        <vt:i4>2</vt:i4>
      </vt:variant>
      <vt:variant>
        <vt:i4>0</vt:i4>
      </vt:variant>
      <vt:variant>
        <vt:i4>5</vt:i4>
      </vt:variant>
      <vt:variant>
        <vt:lpwstr/>
      </vt:variant>
      <vt:variant>
        <vt:lpwstr>_Toc525641102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subject/>
  <dc:creator>Marin</dc:creator>
  <cp:keywords/>
  <cp:lastModifiedBy>BLATZHEIM Flora</cp:lastModifiedBy>
  <cp:revision>8</cp:revision>
  <cp:lastPrinted>2020-07-29T18:57:00Z</cp:lastPrinted>
  <dcterms:created xsi:type="dcterms:W3CDTF">2024-10-25T08:00:00Z</dcterms:created>
  <dcterms:modified xsi:type="dcterms:W3CDTF">2025-02-11T09:57:00Z</dcterms:modified>
</cp:coreProperties>
</file>