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B24654" w:rsidRDefault="00B24654">
      <w:pPr>
        <w:rPr>
          <w:rFonts w:ascii="Arial" w:hAnsi="Arial" w:cs="Arial"/>
          <w:b/>
          <w:bCs/>
        </w:rPr>
      </w:pPr>
      <w:r>
        <w:rPr>
          <w:rFonts w:ascii="Arial" w:hAnsi="Arial" w:cs="Arial"/>
          <w:b/>
          <w:bCs/>
        </w:rPr>
        <w:t xml:space="preserve">AOO-25001 / </w:t>
      </w:r>
      <w:r w:rsidRPr="00B24654">
        <w:rPr>
          <w:rFonts w:ascii="Arial" w:hAnsi="Arial" w:cs="Arial"/>
          <w:b/>
          <w:bCs/>
        </w:rPr>
        <w:t>Prestations globalisées pour la réalisation de séances de dialyse au CHU de Nantes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24654">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B24654"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bookmarkStart w:id="0" w:name="_GoBack"/>
      <w:bookmarkEnd w:id="0"/>
    </w:p>
    <w:p w:rsidR="007411D9" w:rsidRDefault="00B24654"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24654">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24654">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24654">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24654">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B24654">
        <w:rPr>
          <w:highlight w:val="yellow"/>
        </w:rPr>
      </w:r>
      <w:r w:rsidR="00B24654">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24654">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24654">
          <w:pPr>
            <w:jc w:val="center"/>
            <w:rPr>
              <w:rFonts w:ascii="Arial" w:hAnsi="Arial" w:cs="Arial"/>
              <w:b/>
              <w:bCs/>
            </w:rPr>
          </w:pPr>
          <w:r>
            <w:rPr>
              <w:rFonts w:ascii="Arial" w:hAnsi="Arial" w:cs="Arial"/>
              <w:b/>
              <w:bCs/>
            </w:rPr>
            <w:t>AOO-25001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2465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24654">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24654"/>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9F3336"/>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1B5C5-D4AA-4A30-893E-811FDE70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1517</Words>
  <Characters>8349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9847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2025-02-10T15:52:00Z</dcterms:modified>
</cp:coreProperties>
</file>