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0">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1">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3">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0">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1">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2"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3">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w:t>
      </w:r>
      <w:r w:rsidR="00267225">
        <w:rPr>
          <w:rFonts w:ascii="Arial" w:hAnsi="Arial" w:cs="Arial"/>
          <w:b/>
          <w:sz w:val="20"/>
          <w:szCs w:val="20"/>
        </w:rPr>
        <w:t>64.87</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5"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w:t>
      </w:r>
      <w:bookmarkStart w:id="0" w:name="_GoBack"/>
      <w:bookmarkEnd w:id="0"/>
      <w:r w:rsidRPr="00B913DC">
        <w:rPr>
          <w:rFonts w:ascii="Arial" w:hAnsi="Arial" w:cs="Arial"/>
          <w:i/>
          <w:sz w:val="20"/>
          <w:szCs w:val="20"/>
        </w:rPr>
        <w:t>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DD3404" w:rsidRPr="00B913DC" w:rsidRDefault="00B913DC" w:rsidP="005B6057">
      <w:pPr>
        <w:ind w:left="332" w:right="761" w:hanging="1"/>
        <w:rPr>
          <w:rFonts w:ascii="Arial" w:hAnsi="Arial" w:cs="Arial"/>
        </w:rPr>
      </w:pPr>
      <w:r w:rsidRPr="00B913DC">
        <w:rPr>
          <w:rFonts w:ascii="Arial" w:hAnsi="Arial" w:cs="Arial"/>
          <w:b/>
          <w:sz w:val="20"/>
          <w:szCs w:val="20"/>
        </w:rPr>
        <w:t>Marché n°2</w:t>
      </w:r>
      <w:r w:rsidR="005B6057">
        <w:rPr>
          <w:rFonts w:ascii="Arial" w:hAnsi="Arial" w:cs="Arial"/>
          <w:b/>
          <w:sz w:val="20"/>
          <w:szCs w:val="20"/>
        </w:rPr>
        <w:t>51100</w:t>
      </w:r>
      <w:r w:rsidR="00E330F3">
        <w:rPr>
          <w:rFonts w:ascii="Arial" w:hAnsi="Arial" w:cs="Arial"/>
          <w:b/>
          <w:sz w:val="20"/>
          <w:szCs w:val="20"/>
        </w:rPr>
        <w:t xml:space="preserve"> : </w:t>
      </w:r>
      <w:r w:rsidR="005B6057" w:rsidRPr="005B6057">
        <w:rPr>
          <w:rFonts w:ascii="Arial" w:hAnsi="Arial" w:cs="Arial"/>
          <w:b/>
          <w:sz w:val="20"/>
          <w:szCs w:val="20"/>
        </w:rPr>
        <w:t>Prestation de collecte, de remise, d’affranchissement et de distribution de courriers et colis</w:t>
      </w: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6">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8"/>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9">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1">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2">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3">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4">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5">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6">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7"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8"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39">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0">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1">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2">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3">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4">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6">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7">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49">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2">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3">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4">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5">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6">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7">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8">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67225">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67225">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6722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6722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267225"/>
    <w:rsid w:val="004A6B8B"/>
    <w:rsid w:val="005B6057"/>
    <w:rsid w:val="006D3950"/>
    <w:rsid w:val="008D01E3"/>
    <w:rsid w:val="00B913DC"/>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wmf"/><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mailto:marches.dab@ofii.fr"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mailto:marches.dab@ofii.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3703</Words>
  <Characters>20372</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Badr-eddine EL IDRISSI</cp:lastModifiedBy>
  <cp:revision>9</cp:revision>
  <dcterms:created xsi:type="dcterms:W3CDTF">2024-11-26T10:44:00Z</dcterms:created>
  <dcterms:modified xsi:type="dcterms:W3CDTF">2025-02-19T09:54:00Z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