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69" w:rsidRDefault="00604A69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:rsidR="00604A69" w:rsidRDefault="00034ED5">
      <w:pPr>
        <w:shd w:val="clear" w:color="auto" w:fill="4F81BD"/>
        <w:spacing w:after="0"/>
        <w:jc w:val="center"/>
        <w:rPr>
          <w:rFonts w:eastAsia="Times New Roman" w:cs="Arial"/>
          <w:b/>
          <w:color w:val="FFFFFF"/>
        </w:rPr>
      </w:pPr>
      <w:r>
        <w:rPr>
          <w:rFonts w:eastAsia="Times New Roman" w:cs="Arial"/>
          <w:b/>
          <w:color w:val="FFFFFF"/>
        </w:rPr>
        <w:t>QUESTIONNAIRE</w:t>
      </w:r>
    </w:p>
    <w:p w:rsidR="00604A69" w:rsidRDefault="00604A69">
      <w:pPr>
        <w:shd w:val="clear" w:color="auto" w:fill="4F81BD"/>
        <w:spacing w:after="0"/>
        <w:jc w:val="center"/>
      </w:pPr>
    </w:p>
    <w:p w:rsidR="00604A69" w:rsidRDefault="00034ED5">
      <w:pPr>
        <w:shd w:val="clear" w:color="auto" w:fill="4F81BD"/>
        <w:spacing w:after="0"/>
        <w:jc w:val="center"/>
        <w:rPr>
          <w:rFonts w:eastAsia="Times New Roman" w:cs="Arial"/>
          <w:b/>
          <w:bCs/>
          <w:color w:val="FFFFFF"/>
        </w:rPr>
      </w:pPr>
      <w:bookmarkStart w:id="0" w:name="__DdeLink__36762_2736919266"/>
      <w:bookmarkEnd w:id="0"/>
      <w:r>
        <w:rPr>
          <w:rFonts w:eastAsia="Times New Roman" w:cs="Arial"/>
          <w:b/>
          <w:bCs/>
          <w:color w:val="FFFFFF"/>
        </w:rPr>
        <w:t xml:space="preserve">Projet d’achat relatif </w:t>
      </w:r>
      <w:r>
        <w:rPr>
          <w:rFonts w:eastAsia="Times New Roman" w:cs="Arial"/>
          <w:b/>
          <w:bCs/>
          <w:color w:val="FFFFFF"/>
        </w:rPr>
        <w:t>à la réalisation de formations dans le domaine des systèmes d’information et de communication (SIC) au profit des stagiaires lauréats de concours d’ingénieurs SIC et ingénieurs principaux SIC</w:t>
      </w:r>
    </w:p>
    <w:p w:rsidR="00604A69" w:rsidRDefault="00604A69">
      <w:pPr>
        <w:shd w:val="clear" w:color="auto" w:fill="4F81BD"/>
        <w:spacing w:after="0"/>
        <w:jc w:val="center"/>
        <w:rPr>
          <w:rFonts w:eastAsia="Times New Roman" w:cs="Arial"/>
          <w:b/>
          <w:bCs/>
          <w:color w:val="FFFFFF"/>
        </w:rPr>
      </w:pPr>
    </w:p>
    <w:p w:rsidR="00604A69" w:rsidRDefault="00034ED5">
      <w:pPr>
        <w:shd w:val="clear" w:color="auto" w:fill="4F81BD"/>
        <w:spacing w:after="0"/>
        <w:jc w:val="center"/>
        <w:rPr>
          <w:rFonts w:eastAsia="Times New Roman" w:cs="Arial"/>
          <w:b/>
          <w:bCs/>
          <w:color w:val="FFFFFF"/>
        </w:rPr>
      </w:pPr>
      <w:r>
        <w:rPr>
          <w:rFonts w:eastAsia="Times New Roman" w:cs="Arial"/>
          <w:b/>
          <w:bCs/>
          <w:color w:val="FFFFFF"/>
        </w:rPr>
        <w:t xml:space="preserve">(Support de </w:t>
      </w:r>
      <w:r>
        <w:rPr>
          <w:rFonts w:eastAsia="Times New Roman" w:cs="Arial"/>
          <w:b/>
          <w:bCs/>
          <w:color w:val="FFFFFF"/>
        </w:rPr>
        <w:t>réponses)</w:t>
      </w:r>
    </w:p>
    <w:p w:rsidR="00604A69" w:rsidRDefault="00604A69">
      <w:pPr>
        <w:shd w:val="clear" w:color="auto" w:fill="4F81BD"/>
        <w:spacing w:after="0"/>
        <w:jc w:val="center"/>
        <w:rPr>
          <w:rFonts w:eastAsia="Times New Roman" w:cs="Arial"/>
          <w:b/>
          <w:color w:val="FFFFFF"/>
          <w:sz w:val="20"/>
          <w:szCs w:val="20"/>
        </w:rPr>
      </w:pPr>
    </w:p>
    <w:p w:rsidR="00604A69" w:rsidRDefault="00604A69"/>
    <w:p w:rsidR="00604A69" w:rsidRDefault="00034ED5">
      <w:pPr>
        <w:spacing w:after="0"/>
        <w:jc w:val="center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 xml:space="preserve">Les opérateurs économiques sont invités à répondre au questionnaire sur le présent support et porter à l’attention de l’administration toute information qu’ils jugent utile. </w:t>
      </w:r>
    </w:p>
    <w:p w:rsidR="00604A69" w:rsidRDefault="00604A69">
      <w:pPr>
        <w:spacing w:after="0"/>
        <w:jc w:val="center"/>
      </w:pPr>
    </w:p>
    <w:p w:rsidR="00604A69" w:rsidRDefault="00034ED5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sz w:val="24"/>
          <w:szCs w:val="24"/>
        </w:rPr>
      </w:pPr>
      <w:r>
        <w:rPr>
          <w:rFonts w:cs="Arial"/>
          <w:b/>
          <w:color w:val="21409A"/>
          <w:sz w:val="24"/>
          <w:szCs w:val="24"/>
          <w:u w:val="dash"/>
        </w:rPr>
        <w:t>Identification et données générales</w:t>
      </w:r>
    </w:p>
    <w:tbl>
      <w:tblPr>
        <w:tblW w:w="9072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1"/>
        <w:gridCol w:w="6101"/>
      </w:tblGrid>
      <w:tr w:rsidR="00604A69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pStyle w:val="Contenudetableau"/>
              <w:widowControl w:val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Raison sociale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604A69">
            <w:pPr>
              <w:pStyle w:val="Contenudetableau"/>
              <w:widowControl w:val="0"/>
              <w:rPr>
                <w:sz w:val="20"/>
                <w:szCs w:val="20"/>
              </w:rPr>
            </w:pPr>
          </w:p>
        </w:tc>
      </w:tr>
      <w:tr w:rsidR="00604A69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pStyle w:val="Contenudetableau"/>
              <w:widowControl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Représentant </w:t>
            </w:r>
            <w:r>
              <w:rPr>
                <w:bCs/>
                <w:iCs/>
                <w:sz w:val="20"/>
                <w:szCs w:val="20"/>
              </w:rPr>
              <w:t>de la société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604A69">
            <w:pPr>
              <w:pStyle w:val="Contenudetableau"/>
              <w:widowControl w:val="0"/>
              <w:rPr>
                <w:sz w:val="20"/>
                <w:szCs w:val="20"/>
              </w:rPr>
            </w:pPr>
          </w:p>
        </w:tc>
      </w:tr>
      <w:tr w:rsidR="00604A69">
        <w:tc>
          <w:tcPr>
            <w:tcW w:w="29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pStyle w:val="Contenudetableau"/>
              <w:widowControl w:val="0"/>
            </w:pPr>
            <w:r>
              <w:rPr>
                <w:bCs/>
                <w:iCs/>
                <w:sz w:val="20"/>
                <w:szCs w:val="20"/>
              </w:rPr>
              <w:t>Coordonnées – Contact commercial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604A69">
            <w:pPr>
              <w:pStyle w:val="Contenudetableau"/>
              <w:widowControl w:val="0"/>
              <w:rPr>
                <w:sz w:val="20"/>
                <w:szCs w:val="20"/>
              </w:rPr>
            </w:pP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pStyle w:val="Contenudetableau"/>
              <w:widowControl w:val="0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Numéro de SIRET, forme de l’entreprise (PME, TPE, ESS)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widowControl w:val="0"/>
              <w:suppressLineNumbers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Appartenance à un groupe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widowControl w:val="0"/>
              <w:suppressLineNumbers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Activités principales et répartition en %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widowControl w:val="0"/>
              <w:suppressLineNumbers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Ancienneté sur les prestations du marché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Principales références </w:t>
            </w:r>
            <w:r>
              <w:rPr>
                <w:bCs/>
                <w:iCs/>
                <w:sz w:val="20"/>
                <w:szCs w:val="20"/>
              </w:rPr>
              <w:t>similaires et montant des contrats :</w:t>
            </w:r>
          </w:p>
          <w:p w:rsidR="00604A69" w:rsidRDefault="00604A69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Chiffre d’affaires moyen annuel des 3 derniers exercices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  <w:p w:rsidR="00604A69" w:rsidRDefault="00604A69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Part du secteur public dans le chiffre d’affaires :</w:t>
            </w:r>
          </w:p>
          <w:p w:rsidR="00604A69" w:rsidRDefault="00604A69">
            <w:pPr>
              <w:tabs>
                <w:tab w:val="left" w:pos="1418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widowControl w:val="0"/>
              <w:suppressLineNumbers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Part de l’activité sous-traitée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04A69" w:rsidRDefault="00034ED5">
            <w:pPr>
              <w:widowControl w:val="0"/>
              <w:suppressLineNumbers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Positionnement par rapport à la concurrence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: points forts et valeu</w:t>
            </w:r>
            <w:r>
              <w:rPr>
                <w:bCs/>
                <w:iCs/>
                <w:sz w:val="20"/>
                <w:szCs w:val="20"/>
              </w:rPr>
              <w:t xml:space="preserve">r ajoutée par rapport à </w:t>
            </w:r>
            <w:r>
              <w:rPr>
                <w:bCs/>
                <w:iCs/>
                <w:sz w:val="20"/>
                <w:szCs w:val="20"/>
              </w:rPr>
              <w:lastRenderedPageBreak/>
              <w:t>vos concurrents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bCs/>
                <w:iCs/>
                <w:sz w:val="20"/>
                <w:szCs w:val="20"/>
              </w:rPr>
              <w:t>?</w:t>
            </w:r>
          </w:p>
        </w:tc>
      </w:tr>
    </w:tbl>
    <w:p w:rsidR="00604A69" w:rsidRDefault="00604A69"/>
    <w:p w:rsidR="00604A69" w:rsidRDefault="00604A69"/>
    <w:p w:rsidR="00604A69" w:rsidRDefault="00034ED5">
      <w:pPr>
        <w:pStyle w:val="Paragraphedeliste"/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sz w:val="28"/>
          <w:szCs w:val="28"/>
        </w:rPr>
      </w:pPr>
      <w:r>
        <w:rPr>
          <w:rFonts w:cs="Arial"/>
          <w:b/>
          <w:color w:val="21409A"/>
          <w:sz w:val="28"/>
          <w:szCs w:val="28"/>
          <w:u w:val="dash"/>
        </w:rPr>
        <w:t xml:space="preserve">Description des services proposés </w:t>
      </w: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Quels types de certifications possédez-vous 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Quelles innovations pédagogiques mettez-vous en place 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 xml:space="preserve">Comment assurez-vous l’évolution du contenu de vos formations aux </w:t>
      </w:r>
      <w:r>
        <w:t>innovations numériques</w:t>
      </w:r>
      <w:r>
        <w:rPr>
          <w:rFonts w:ascii="Calibri" w:hAnsi="Calibri" w:cs="Calibri"/>
        </w:rPr>
        <w:t> </w:t>
      </w:r>
      <w:r>
        <w:t>?</w:t>
      </w:r>
      <w:bookmarkStart w:id="1" w:name="_GoBack"/>
      <w:bookmarkEnd w:id="1"/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Comment évaluez-vous l’efficacité de vos formations</w:t>
      </w:r>
      <w:r>
        <w:rPr>
          <w:rFonts w:ascii="Calibri" w:hAnsi="Calibri" w:cs="Calibri"/>
        </w:rPr>
        <w:t> </w:t>
      </w:r>
      <w:r>
        <w:t>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Comment assurez-vous votre adaptabilité à une évolution du nombre de stagiaires au sein des sessions</w:t>
      </w:r>
      <w:r>
        <w:rPr>
          <w:rFonts w:ascii="Calibri" w:hAnsi="Calibri" w:cs="Calibri"/>
        </w:rPr>
        <w:t> </w:t>
      </w:r>
      <w:r>
        <w:t xml:space="preserve">? 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Les formateurs mobilisés sont-ils préférentiellement salariés ou indép</w:t>
      </w:r>
      <w:r>
        <w:t>endants</w:t>
      </w:r>
      <w:r>
        <w:rPr>
          <w:rFonts w:ascii="Calibri" w:hAnsi="Calibri" w:cs="Calibri"/>
        </w:rPr>
        <w:t> </w:t>
      </w:r>
      <w:r>
        <w:t>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Comment assurez-vous l’accessibilité du contenu de vos formations aux personnes en situation de handicap</w:t>
      </w:r>
      <w:r>
        <w:rPr>
          <w:rFonts w:ascii="Calibri" w:hAnsi="Calibri" w:cs="Calibri"/>
        </w:rPr>
        <w:t> </w:t>
      </w:r>
      <w:r>
        <w:t xml:space="preserve">? 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 xml:space="preserve">Êtes-vous en capacité de dispenser les formations en </w:t>
      </w:r>
      <w:proofErr w:type="spellStart"/>
      <w:r>
        <w:t>distanciel</w:t>
      </w:r>
      <w:proofErr w:type="spellEnd"/>
      <w:r>
        <w:t xml:space="preserve"> 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604A69" w:rsidRPr="00A501B2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color w:val="auto"/>
        </w:rPr>
      </w:pPr>
      <w:r w:rsidRPr="00A501B2">
        <w:rPr>
          <w:color w:val="auto"/>
        </w:rPr>
        <w:t>En cas d’événement empêchant la tenue des sessions en présentiel</w:t>
      </w:r>
      <w:r w:rsidRPr="00A501B2">
        <w:rPr>
          <w:rFonts w:ascii="Calibri" w:hAnsi="Calibri" w:cs="Calibri"/>
          <w:color w:val="auto"/>
        </w:rPr>
        <w:t>,</w:t>
      </w:r>
      <w:r w:rsidRPr="00A501B2">
        <w:rPr>
          <w:color w:val="auto"/>
        </w:rPr>
        <w:t xml:space="preserve"> vos formations peuvent-elles être aisément</w:t>
      </w:r>
      <w:r w:rsidRPr="00A501B2">
        <w:rPr>
          <w:color w:val="auto"/>
        </w:rPr>
        <w:t xml:space="preserve"> basculées</w:t>
      </w:r>
      <w:r w:rsidRPr="00A501B2">
        <w:rPr>
          <w:color w:val="auto"/>
        </w:rPr>
        <w:t xml:space="preserve"> et dispensées en </w:t>
      </w:r>
      <w:proofErr w:type="spellStart"/>
      <w:r w:rsidRPr="00A501B2">
        <w:rPr>
          <w:color w:val="auto"/>
        </w:rPr>
        <w:t>distanciel</w:t>
      </w:r>
      <w:proofErr w:type="spellEnd"/>
      <w:r w:rsidRPr="00A501B2">
        <w:rPr>
          <w:color w:val="auto"/>
        </w:rPr>
        <w:t xml:space="preserve">, </w:t>
      </w:r>
      <w:r w:rsidRPr="00A501B2">
        <w:rPr>
          <w:color w:val="auto"/>
        </w:rPr>
        <w:t>même dans un délai restreint</w:t>
      </w:r>
      <w:r w:rsidRPr="00A501B2">
        <w:rPr>
          <w:color w:val="auto"/>
        </w:rPr>
        <w:t>?</w:t>
      </w:r>
    </w:p>
    <w:p w:rsidR="00604A69" w:rsidRPr="00A501B2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color w:val="auto"/>
        </w:rPr>
      </w:pP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  <w:r>
        <w:t>Dans l’hypothèse où la salle réservée par l’administration</w:t>
      </w:r>
      <w:r>
        <w:rPr>
          <w:rFonts w:ascii="Calibri" w:hAnsi="Calibri" w:cs="Calibri"/>
        </w:rPr>
        <w:t> </w:t>
      </w:r>
      <w:r>
        <w:t>pour la tenue de la formation est inaccessible pour une raison imprévisible et exté</w:t>
      </w:r>
      <w:r>
        <w:t>rieure à sa volonté, êtes-vous en capacité de proposer une solution alternative</w:t>
      </w:r>
      <w:r>
        <w:rPr>
          <w:rFonts w:ascii="Calibri" w:hAnsi="Calibri" w:cs="Calibri"/>
        </w:rPr>
        <w:t> </w:t>
      </w:r>
      <w:r>
        <w:t>?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</w:pPr>
    </w:p>
    <w:p w:rsidR="003B2D04" w:rsidRDefault="003B2D04">
      <w:pPr>
        <w:spacing w:after="0" w:line="240" w:lineRule="auto"/>
        <w:rPr>
          <w:rFonts w:cs="Arial"/>
          <w:b/>
          <w:color w:val="21409A"/>
          <w:sz w:val="28"/>
          <w:szCs w:val="28"/>
          <w:u w:val="dash"/>
        </w:rPr>
      </w:pPr>
      <w:r>
        <w:rPr>
          <w:rFonts w:cs="Arial"/>
          <w:b/>
          <w:color w:val="21409A"/>
          <w:sz w:val="28"/>
          <w:szCs w:val="28"/>
          <w:u w:val="dash"/>
        </w:rPr>
        <w:br w:type="page"/>
      </w:r>
    </w:p>
    <w:p w:rsidR="00604A69" w:rsidRDefault="00034ED5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cs="Arial"/>
          <w:b/>
          <w:color w:val="21409A"/>
          <w:sz w:val="28"/>
          <w:szCs w:val="28"/>
          <w:u w:val="dash"/>
        </w:rPr>
      </w:pPr>
      <w:r>
        <w:rPr>
          <w:rFonts w:cs="Arial"/>
          <w:b/>
          <w:color w:val="21409A"/>
          <w:sz w:val="28"/>
          <w:szCs w:val="28"/>
          <w:u w:val="dash"/>
        </w:rPr>
        <w:lastRenderedPageBreak/>
        <w:t xml:space="preserve">Capacités à réaliser les prestations </w:t>
      </w: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</w:pPr>
      <w:r>
        <w:t>Recours à la cotraitance ou sous-traitance ? Si oui, pour quelles prestations ?</w:t>
      </w:r>
    </w:p>
    <w:p w:rsidR="00604A69" w:rsidRDefault="00034ED5">
      <w:pPr>
        <w:pStyle w:val="Paragraphedeliste"/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418"/>
        </w:tabs>
        <w:jc w:val="both"/>
        <w:rPr>
          <w:sz w:val="28"/>
          <w:szCs w:val="28"/>
        </w:rPr>
      </w:pPr>
      <w:r>
        <w:rPr>
          <w:rFonts w:cs="Arial"/>
          <w:b/>
          <w:color w:val="21409A"/>
          <w:sz w:val="28"/>
          <w:szCs w:val="28"/>
          <w:u w:val="dash"/>
        </w:rPr>
        <w:t xml:space="preserve">Modèle économique et financier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604A69">
        <w:tc>
          <w:tcPr>
            <w:tcW w:w="9062" w:type="dxa"/>
          </w:tcPr>
          <w:p w:rsidR="00604A69" w:rsidRDefault="00034ED5">
            <w:pPr>
              <w:tabs>
                <w:tab w:val="left" w:pos="1418"/>
              </w:tabs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Identification des </w:t>
            </w:r>
            <w:r>
              <w:rPr>
                <w:color w:val="auto"/>
                <w:sz w:val="20"/>
                <w:szCs w:val="20"/>
              </w:rPr>
              <w:t>différents coûts composant le prix de la prestation (coûts fixes et coûts variables) :</w:t>
            </w:r>
          </w:p>
        </w:tc>
      </w:tr>
      <w:tr w:rsidR="00604A69">
        <w:tc>
          <w:tcPr>
            <w:tcW w:w="9062" w:type="dxa"/>
          </w:tcPr>
          <w:p w:rsidR="00604A69" w:rsidRDefault="00034ED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Variation des prix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:</w:t>
            </w:r>
          </w:p>
          <w:p w:rsidR="00604A69" w:rsidRDefault="00034ED5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Causes d’évolution des prix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:</w:t>
            </w:r>
          </w:p>
          <w:p w:rsidR="00604A69" w:rsidRDefault="00034ED5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1418"/>
              </w:tabs>
              <w:jc w:val="both"/>
              <w:rPr>
                <w:color w:val="auto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Indice(s) INSEE pertinent(s)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:</w:t>
            </w:r>
          </w:p>
        </w:tc>
      </w:tr>
      <w:tr w:rsidR="00604A69">
        <w:tc>
          <w:tcPr>
            <w:tcW w:w="9062" w:type="dxa"/>
          </w:tcPr>
          <w:p w:rsidR="00604A69" w:rsidRDefault="00034ED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sz w:val="20"/>
              </w:rPr>
            </w:pPr>
            <w:r>
              <w:rPr>
                <w:color w:val="auto"/>
                <w:sz w:val="20"/>
                <w:szCs w:val="20"/>
              </w:rPr>
              <w:t>Modalités de facturation (périodicité, etc.) :</w:t>
            </w:r>
          </w:p>
        </w:tc>
      </w:tr>
    </w:tbl>
    <w:p w:rsidR="00604A69" w:rsidRDefault="00604A69">
      <w:pPr>
        <w:shd w:val="clear" w:color="auto" w:fill="FFFFFF" w:themeFill="background1"/>
        <w:tabs>
          <w:tab w:val="left" w:pos="1418"/>
        </w:tabs>
        <w:jc w:val="both"/>
        <w:rPr>
          <w:sz w:val="28"/>
          <w:szCs w:val="28"/>
        </w:rPr>
      </w:pPr>
    </w:p>
    <w:p w:rsidR="00604A69" w:rsidRDefault="00034ED5">
      <w:pPr>
        <w:pStyle w:val="Paragraphedeliste"/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418"/>
        </w:tabs>
        <w:jc w:val="both"/>
        <w:rPr>
          <w:sz w:val="28"/>
          <w:szCs w:val="28"/>
        </w:rPr>
      </w:pPr>
      <w:r>
        <w:rPr>
          <w:rFonts w:cs="Arial"/>
          <w:b/>
          <w:color w:val="21409A"/>
          <w:sz w:val="28"/>
          <w:szCs w:val="28"/>
          <w:u w:val="dash"/>
        </w:rPr>
        <w:t xml:space="preserve">Développement durable 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604A69">
        <w:tc>
          <w:tcPr>
            <w:tcW w:w="9062" w:type="dxa"/>
          </w:tcPr>
          <w:p w:rsidR="00604A69" w:rsidRDefault="00034ED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Seriez-vous </w:t>
            </w:r>
            <w:r>
              <w:rPr>
                <w:sz w:val="20"/>
                <w:szCs w:val="20"/>
              </w:rPr>
              <w:t>en capacité de répondre à ce type de projet avec une clause environnementale</w:t>
            </w:r>
            <w:r>
              <w:rPr>
                <w:rFonts w:cs="Calibri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?</w:t>
            </w:r>
          </w:p>
        </w:tc>
      </w:tr>
      <w:tr w:rsidR="00604A69">
        <w:tc>
          <w:tcPr>
            <w:tcW w:w="9062" w:type="dxa"/>
          </w:tcPr>
          <w:p w:rsidR="00604A69" w:rsidRDefault="00034ED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604A69">
        <w:tc>
          <w:tcPr>
            <w:tcW w:w="9062" w:type="dxa"/>
          </w:tcPr>
          <w:p w:rsidR="00604A69" w:rsidRDefault="00034ED5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Expliquez brièvement quel dispositif ou action en </w:t>
            </w:r>
            <w:r>
              <w:rPr>
                <w:sz w:val="20"/>
                <w:szCs w:val="20"/>
              </w:rPr>
              <w:t>faveur de la sauvegarde de l’environnement est mis en œuvre par votre société ?</w:t>
            </w:r>
          </w:p>
          <w:p w:rsidR="00604A69" w:rsidRDefault="00604A69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szCs w:val="20"/>
              </w:rPr>
            </w:pPr>
          </w:p>
        </w:tc>
      </w:tr>
    </w:tbl>
    <w:p w:rsidR="00604A69" w:rsidRDefault="00604A69">
      <w:pPr>
        <w:shd w:val="clear" w:color="auto" w:fill="FFFFFF" w:themeFill="background1"/>
        <w:tabs>
          <w:tab w:val="left" w:pos="1418"/>
        </w:tabs>
        <w:jc w:val="both"/>
        <w:rPr>
          <w:sz w:val="28"/>
          <w:szCs w:val="28"/>
        </w:rPr>
      </w:pPr>
    </w:p>
    <w:p w:rsidR="00604A69" w:rsidRDefault="00034ED5">
      <w:pPr>
        <w:pStyle w:val="Paragraphedeliste"/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418"/>
        </w:tabs>
        <w:jc w:val="both"/>
        <w:rPr>
          <w:sz w:val="28"/>
          <w:szCs w:val="28"/>
        </w:rPr>
      </w:pPr>
      <w:r>
        <w:rPr>
          <w:rFonts w:cs="Arial"/>
          <w:b/>
          <w:color w:val="21409A"/>
          <w:sz w:val="28"/>
          <w:szCs w:val="28"/>
          <w:u w:val="dash"/>
        </w:rPr>
        <w:t>Insertion sociale</w:t>
      </w: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0"/>
          <w:szCs w:val="20"/>
        </w:rPr>
      </w:pPr>
      <w:r>
        <w:rPr>
          <w:sz w:val="20"/>
          <w:szCs w:val="20"/>
        </w:rPr>
        <w:t>Seriez-vous en capacité de répondre à ce type de projet avec une clause permettant la réalisation d’</w:t>
      </w:r>
      <w:r>
        <w:rPr>
          <w:b/>
          <w:sz w:val="20"/>
          <w:szCs w:val="20"/>
        </w:rPr>
        <w:t xml:space="preserve">une clause d’insertion sociale </w:t>
      </w:r>
      <w:r>
        <w:rPr>
          <w:sz w:val="20"/>
          <w:szCs w:val="20"/>
        </w:rPr>
        <w:t xml:space="preserve">(en fonction du montant et du volume d’heures de main d’œuvre) ? </w:t>
      </w:r>
    </w:p>
    <w:p w:rsidR="00604A69" w:rsidRDefault="00604A69">
      <w:pPr>
        <w:shd w:val="clear" w:color="auto" w:fill="FFFFFF" w:themeFill="background1"/>
        <w:tabs>
          <w:tab w:val="left" w:pos="1560"/>
        </w:tabs>
        <w:jc w:val="both"/>
        <w:rPr>
          <w:sz w:val="28"/>
          <w:szCs w:val="28"/>
        </w:rPr>
      </w:pPr>
    </w:p>
    <w:p w:rsidR="003B2D04" w:rsidRDefault="003B2D04">
      <w:pPr>
        <w:spacing w:after="0" w:line="240" w:lineRule="auto"/>
        <w:rPr>
          <w:rFonts w:cs="Arial"/>
          <w:b/>
          <w:color w:val="21409A"/>
          <w:sz w:val="28"/>
          <w:szCs w:val="28"/>
          <w:u w:val="dash"/>
        </w:rPr>
      </w:pPr>
      <w:r>
        <w:rPr>
          <w:rFonts w:cs="Arial"/>
          <w:b/>
          <w:color w:val="21409A"/>
          <w:sz w:val="28"/>
          <w:szCs w:val="28"/>
          <w:u w:val="dash"/>
        </w:rPr>
        <w:br w:type="page"/>
      </w:r>
    </w:p>
    <w:p w:rsidR="00604A69" w:rsidRDefault="00034ED5">
      <w:pPr>
        <w:pStyle w:val="Paragraphedeliste"/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418"/>
        </w:tabs>
        <w:jc w:val="both"/>
        <w:rPr>
          <w:b/>
          <w:i/>
          <w:sz w:val="28"/>
          <w:szCs w:val="28"/>
        </w:rPr>
      </w:pPr>
      <w:r>
        <w:rPr>
          <w:rFonts w:cs="Arial"/>
          <w:b/>
          <w:color w:val="21409A"/>
          <w:sz w:val="28"/>
          <w:szCs w:val="28"/>
          <w:u w:val="dash"/>
        </w:rPr>
        <w:lastRenderedPageBreak/>
        <w:t xml:space="preserve">Autres informations </w:t>
      </w:r>
    </w:p>
    <w:p w:rsidR="00604A69" w:rsidRDefault="00034E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Propositions de l’entreprise de nature à améliorer l’expression du besoin. Les opérateurs économiques sont invités à porter à la connaissance de l’administration toute </w:t>
      </w:r>
      <w:r>
        <w:rPr>
          <w:sz w:val="20"/>
          <w:szCs w:val="20"/>
        </w:rPr>
        <w:t>information qu’ils jugent utile (proposition de mode de fonctionnement, solution technique nouvelle, modalités de suivi, proposition d’optimisation des services etc.)</w:t>
      </w:r>
      <w:r>
        <w:rPr>
          <w:rFonts w:ascii="Calibri" w:hAnsi="Calibri" w:cs="Calibri"/>
          <w:sz w:val="20"/>
          <w:szCs w:val="20"/>
        </w:rPr>
        <w:t> </w:t>
      </w:r>
      <w:r>
        <w:rPr>
          <w:sz w:val="20"/>
          <w:szCs w:val="20"/>
        </w:rPr>
        <w:t>:</w:t>
      </w: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0"/>
          <w:szCs w:val="20"/>
        </w:rPr>
      </w:pP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0"/>
          <w:szCs w:val="20"/>
        </w:rPr>
      </w:pPr>
    </w:p>
    <w:p w:rsidR="00604A69" w:rsidRDefault="00604A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0"/>
          <w:szCs w:val="20"/>
        </w:rPr>
      </w:pPr>
    </w:p>
    <w:p w:rsidR="00604A69" w:rsidRDefault="00604A69">
      <w:pPr>
        <w:shd w:val="clear" w:color="auto" w:fill="FFFFFF" w:themeFill="background1"/>
        <w:tabs>
          <w:tab w:val="left" w:pos="1418"/>
        </w:tabs>
        <w:jc w:val="both"/>
        <w:rPr>
          <w:b/>
          <w:i/>
          <w:sz w:val="28"/>
          <w:szCs w:val="28"/>
        </w:rPr>
      </w:pPr>
    </w:p>
    <w:p w:rsidR="00604A69" w:rsidRDefault="00604A69"/>
    <w:sectPr w:rsidR="00604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34ED5">
      <w:pPr>
        <w:spacing w:after="0" w:line="240" w:lineRule="auto"/>
      </w:pPr>
      <w:r>
        <w:separator/>
      </w:r>
    </w:p>
  </w:endnote>
  <w:endnote w:type="continuationSeparator" w:id="0">
    <w:p w:rsidR="00000000" w:rsidRDefault="0003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A69" w:rsidRDefault="00604A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604A69" w:rsidRDefault="00034ED5">
        <w:pPr>
          <w:pStyle w:val="Pieddepag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604A69" w:rsidRDefault="00604A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778439"/>
      <w:docPartObj>
        <w:docPartGallery w:val="Page Numbers (Top of Page)"/>
        <w:docPartUnique/>
      </w:docPartObj>
    </w:sdtPr>
    <w:sdtEndPr/>
    <w:sdtContent>
      <w:p w:rsidR="00604A69" w:rsidRDefault="00034ED5">
        <w:pPr>
          <w:pStyle w:val="Pieddepag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604A69" w:rsidRDefault="00604A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34ED5">
      <w:pPr>
        <w:spacing w:after="0" w:line="240" w:lineRule="auto"/>
      </w:pPr>
      <w:r>
        <w:separator/>
      </w:r>
    </w:p>
  </w:footnote>
  <w:footnote w:type="continuationSeparator" w:id="0">
    <w:p w:rsidR="00000000" w:rsidRDefault="00034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A69" w:rsidRDefault="00604A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A69" w:rsidRDefault="00034ED5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-9525</wp:posOffset>
          </wp:positionH>
          <wp:positionV relativeFrom="margin">
            <wp:posOffset>-1174750</wp:posOffset>
          </wp:positionV>
          <wp:extent cx="1362710" cy="948690"/>
          <wp:effectExtent l="0" t="0" r="0" b="0"/>
          <wp:wrapSquare wrapText="bothSides"/>
          <wp:docPr id="1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710" cy="94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b/>
        <w:bCs/>
        <w:color w:val="auto"/>
        <w:sz w:val="28"/>
        <w:szCs w:val="28"/>
      </w:rPr>
      <w:t>Secrétariat général</w:t>
    </w:r>
    <w:r>
      <w:rPr>
        <w:lang w:eastAsia="fr-FR"/>
      </w:rPr>
      <w:t xml:space="preserve"> </w:t>
    </w:r>
  </w:p>
  <w:p w:rsidR="00604A69" w:rsidRDefault="00604A69">
    <w:pPr>
      <w:pStyle w:val="En-tte"/>
    </w:pPr>
  </w:p>
  <w:p w:rsidR="00604A69" w:rsidRDefault="00604A69">
    <w:pPr>
      <w:pStyle w:val="En-tte"/>
    </w:pPr>
  </w:p>
  <w:p w:rsidR="00604A69" w:rsidRDefault="00604A69">
    <w:pPr>
      <w:pStyle w:val="En-tte"/>
    </w:pPr>
  </w:p>
  <w:p w:rsidR="00604A69" w:rsidRDefault="00604A6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A69" w:rsidRDefault="00034ED5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-9525</wp:posOffset>
          </wp:positionH>
          <wp:positionV relativeFrom="margin">
            <wp:posOffset>-1174750</wp:posOffset>
          </wp:positionV>
          <wp:extent cx="1362710" cy="948690"/>
          <wp:effectExtent l="0" t="0" r="0" b="0"/>
          <wp:wrapSquare wrapText="bothSides"/>
          <wp:docPr id="2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710" cy="94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b/>
        <w:bCs/>
        <w:color w:val="auto"/>
        <w:sz w:val="28"/>
        <w:szCs w:val="28"/>
      </w:rPr>
      <w:t>Secrétariat général</w:t>
    </w:r>
    <w:r>
      <w:rPr>
        <w:lang w:eastAsia="fr-FR"/>
      </w:rPr>
      <w:t xml:space="preserve"> </w:t>
    </w:r>
  </w:p>
  <w:p w:rsidR="00604A69" w:rsidRDefault="00604A69">
    <w:pPr>
      <w:pStyle w:val="En-tte"/>
    </w:pPr>
  </w:p>
  <w:p w:rsidR="00604A69" w:rsidRDefault="00604A69">
    <w:pPr>
      <w:pStyle w:val="En-tte"/>
    </w:pPr>
  </w:p>
  <w:p w:rsidR="00604A69" w:rsidRDefault="00604A69">
    <w:pPr>
      <w:pStyle w:val="En-tte"/>
    </w:pPr>
  </w:p>
  <w:p w:rsidR="00604A69" w:rsidRDefault="00604A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0A90"/>
    <w:multiLevelType w:val="multilevel"/>
    <w:tmpl w:val="B0984B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theme="minorBid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BB0AA4"/>
    <w:multiLevelType w:val="multilevel"/>
    <w:tmpl w:val="BB3A50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8C17C1"/>
    <w:multiLevelType w:val="multilevel"/>
    <w:tmpl w:val="18C2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69"/>
    <w:rsid w:val="00034ED5"/>
    <w:rsid w:val="00146AD9"/>
    <w:rsid w:val="003B2D04"/>
    <w:rsid w:val="0050035D"/>
    <w:rsid w:val="00604A69"/>
    <w:rsid w:val="00A5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8E2F0-846A-479B-98C2-B8BA82D9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F3"/>
    <w:pPr>
      <w:spacing w:after="200" w:line="276" w:lineRule="auto"/>
    </w:pPr>
    <w:rPr>
      <w:rFonts w:ascii="Marianne" w:eastAsia="Calibri" w:hAnsi="Marianne"/>
      <w:color w:val="00000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67A00"/>
  </w:style>
  <w:style w:type="character" w:customStyle="1" w:styleId="PieddepageCar">
    <w:name w:val="Pied de page Car"/>
    <w:basedOn w:val="Policepardfaut"/>
    <w:link w:val="Pieddepage"/>
    <w:uiPriority w:val="99"/>
    <w:qFormat/>
    <w:rsid w:val="00667A00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67A00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667A0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rsid w:val="00667A00"/>
    <w:pPr>
      <w:suppressLineNumbers/>
    </w:pPr>
  </w:style>
  <w:style w:type="paragraph" w:styleId="Paragraphedeliste">
    <w:name w:val="List Paragraph"/>
    <w:basedOn w:val="Normal"/>
    <w:uiPriority w:val="34"/>
    <w:qFormat/>
    <w:rsid w:val="00667A00"/>
    <w:pPr>
      <w:ind w:left="720"/>
      <w:contextualSpacing/>
    </w:p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1"/>
    <w:rsid w:val="00AD72BD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D10DD-DB23-449C-9D85-0E5475FF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Yann</dc:creator>
  <dc:description/>
  <cp:lastModifiedBy>JOSEPH Yann</cp:lastModifiedBy>
  <cp:revision>5</cp:revision>
  <dcterms:created xsi:type="dcterms:W3CDTF">2025-02-10T08:33:00Z</dcterms:created>
  <dcterms:modified xsi:type="dcterms:W3CDTF">2025-02-10T12:10:00Z</dcterms:modified>
  <dc:language>fr-FR</dc:language>
</cp:coreProperties>
</file>