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9BF1533" w14:textId="21DFFE47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6D6E7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 8</w:t>
            </w:r>
          </w:p>
          <w:p w14:paraId="643C5F85" w14:textId="757BC4F8" w:rsidR="006D6E75" w:rsidRDefault="006D6E75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Site de Paris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6D6E75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6D6E75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6D6E75">
    <w:pPr>
      <w:pStyle w:val="Pieddepage"/>
      <w:jc w:val="center"/>
    </w:pPr>
  </w:p>
  <w:p w14:paraId="56B1D9F4" w14:textId="77777777" w:rsidR="00D03B4F" w:rsidRDefault="006D6E75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6D6E75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4041</Words>
  <Characters>22230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2025-01-28T15:17:00Z</dcterms:modified>
</cp:coreProperties>
</file>