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6D6CED2" w14:textId="53FB9855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2450D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7</w:t>
            </w:r>
          </w:p>
          <w:p w14:paraId="643C5F85" w14:textId="57C39F27" w:rsidR="002450D3" w:rsidRDefault="002450D3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DE METZ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2450D3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2450D3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2450D3">
    <w:pPr>
      <w:pStyle w:val="Pieddepage"/>
      <w:jc w:val="center"/>
    </w:pPr>
  </w:p>
  <w:p w14:paraId="56B1D9F4" w14:textId="77777777" w:rsidR="00D03B4F" w:rsidRDefault="002450D3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450D3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4041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2025-01-28T15:18:00Z</dcterms:modified>
</cp:coreProperties>
</file>