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Marianne" w:hAnsi="Mariann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198222</wp:posOffset>
                </wp:positionV>
                <wp:extent cx="1600200" cy="51435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6002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right" w:pos="9026"/>
                              </w:tabs>
                              <w:ind w:left="-426"/>
                              <w:jc w:val="right"/>
                              <w:rPr>
                                <w:rFonts w:eastAsia="Calibr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/>
                                <w:sz w:val="24"/>
                                <w:szCs w:val="24"/>
                              </w:rPr>
                              <w:t>Secrétariat</w:t>
                            </w:r>
                          </w:p>
                          <w:p>
                            <w:pPr>
                              <w:tabs>
                                <w:tab w:val="right" w:pos="9026"/>
                              </w:tabs>
                              <w:jc w:val="right"/>
                              <w:rPr>
                                <w:rFonts w:eastAsia="Calibr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/>
                                <w:sz w:val="24"/>
                                <w:szCs w:val="24"/>
                              </w:rPr>
                              <w:t>général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74.8pt;margin-top:15.6pt;width:126pt;height:40.5pt;flip:x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" stroked="f">
                <v:textbox>
                  <w:txbxContent>
                    <w:p>
                      <w:pPr>
                        <w:tabs>
                          <w:tab w:val="right" w:pos="9026"/>
                        </w:tabs>
                        <w:ind w:left="-426"/>
                        <w:jc w:val="right"/>
                        <w:rPr>
                          <w:rFonts w:eastAsia="Calibr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Calibri"/>
                          <w:b/>
                          <w:bCs/>
                          <w:sz w:val="24"/>
                          <w:szCs w:val="24"/>
                        </w:rPr>
                        <w:t>Secrétariat</w:t>
                      </w:r>
                    </w:p>
                    <w:p>
                      <w:pPr>
                        <w:tabs>
                          <w:tab w:val="right" w:pos="9026"/>
                        </w:tabs>
                        <w:jc w:val="right"/>
                        <w:rPr>
                          <w:rFonts w:eastAsia="Calibri"/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eastAsia="Calibri"/>
                          <w:b/>
                          <w:bCs/>
                          <w:sz w:val="24"/>
                          <w:szCs w:val="24"/>
                        </w:rPr>
                        <w:t>général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1119225" cy="965606"/>
            <wp:effectExtent l="0" t="0" r="5080" b="6350"/>
            <wp:docPr id="1" name="Image 6">
              <a:extLst xmlns:a="http://schemas.openxmlformats.org/drawingml/2006/main">
                <a:ext uri="{FF2B5EF4-FFF2-40B4-BE49-F238E27FC236}">
                  <a16:creationId xmlns:a16="http://schemas.microsoft.com/office/drawing/2014/main" id="{DE588069-AB51-4A23-BEB4-32BDEB842E0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">
                      <a:extLst>
                        <a:ext uri="{FF2B5EF4-FFF2-40B4-BE49-F238E27FC236}">
                          <a16:creationId xmlns:a16="http://schemas.microsoft.com/office/drawing/2014/main" id="{DE588069-AB51-4A23-BEB4-32BDEB842E04}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404" cy="970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sdetexte"/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Cadre de réponse</w:t>
      </w:r>
    </w:p>
    <w:p>
      <w:pPr>
        <w:pStyle w:val="Corpsdetexte"/>
        <w:spacing w:before="120"/>
        <w:rPr>
          <w:b/>
          <w:sz w:val="22"/>
          <w:szCs w:val="22"/>
        </w:rPr>
      </w:pPr>
    </w:p>
    <w:p>
      <w:pPr>
        <w:pStyle w:val="Corpsdetexte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Ministères économiques et financiers</w:t>
      </w:r>
    </w:p>
    <w:p>
      <w:pPr>
        <w:pStyle w:val="Corpsdetexte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Secrétariat général (SG)</w:t>
      </w:r>
    </w:p>
    <w:p>
      <w:pPr>
        <w:pStyle w:val="Corpsdetexte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Service des ressources humaines (SRH)</w:t>
      </w:r>
    </w:p>
    <w:p>
      <w:pPr>
        <w:pStyle w:val="Corpsdetexte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Sous-direction et politiques sociales et des conditions de travail (SRH3)</w:t>
      </w:r>
    </w:p>
    <w:p>
      <w:pPr>
        <w:pStyle w:val="Corpsdetexte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Bureau des ressources internes (SRH3C)</w:t>
      </w:r>
    </w:p>
    <w:p>
      <w:pPr>
        <w:pStyle w:val="Corpsdetexte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Structure régionale d’appui de la région Ile-de-France (SRA IDF)</w:t>
      </w:r>
    </w:p>
    <w:p>
      <w:pPr>
        <w:pStyle w:val="Corpsdetexte"/>
        <w:spacing w:before="120"/>
        <w:jc w:val="both"/>
        <w:rPr>
          <w:sz w:val="20"/>
          <w:szCs w:val="20"/>
        </w:rPr>
      </w:pP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Organisation de sorties culturelles, touristiques, récréatives et/ou sportives pour les agents des Ministères économiques et financiers de la région Ile-de-France.</w:t>
      </w: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sz w:val="28"/>
          <w:szCs w:val="28"/>
        </w:rPr>
      </w:pP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Lot 2 – Organisation sorties culturelles, touristiques, récréatives et/ou sportives, </w:t>
      </w:r>
      <w:r>
        <w:rPr>
          <w:b/>
          <w:bCs/>
          <w:sz w:val="28"/>
          <w:szCs w:val="28"/>
          <w:u w:val="single"/>
        </w:rPr>
        <w:t>avec prestation de transport</w:t>
      </w:r>
    </w:p>
    <w:p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b/>
          <w:bCs/>
          <w:sz w:val="28"/>
          <w:szCs w:val="28"/>
        </w:rPr>
      </w:pPr>
    </w:p>
    <w:p>
      <w:pPr>
        <w:pStyle w:val="Corpsdetexte"/>
        <w:spacing w:before="120"/>
        <w:jc w:val="both"/>
        <w:rPr>
          <w:sz w:val="20"/>
          <w:szCs w:val="20"/>
        </w:rPr>
      </w:pPr>
    </w:p>
    <w:p>
      <w:pPr>
        <w:pStyle w:val="Corpsdetexte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 document constitue la proposition technique du candidat. </w:t>
      </w:r>
    </w:p>
    <w:p>
      <w:pPr>
        <w:pStyle w:val="Corpsdetexte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L’analyse des critères « valeur technique » et « politique de valorisation des déchets » détaillées à l’article 6.3 du règlement de consultation, sont effectuées uniquement sur la base des éléments indiqués ci-après.</w:t>
      </w:r>
    </w:p>
    <w:p>
      <w:pPr>
        <w:pStyle w:val="Corpsdetexte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Toutes les pièces annexées à l’offre technique du candidat doivent être inscrites dans les rubriques correspondantes des tableaux du présent cadre de réponse. </w:t>
      </w:r>
    </w:p>
    <w:p>
      <w:pPr>
        <w:pStyle w:val="Corpsdetexte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L’architecture du présent document ne doit pas être modifiée, mais les encadrements des réponses peuvent être agrandis autant que de besoin.</w:t>
      </w:r>
    </w:p>
    <w:p>
      <w:pPr>
        <w:pStyle w:val="Corpsdetexte"/>
      </w:pPr>
      <w:r>
        <w:br w:type="page"/>
      </w:r>
    </w:p>
    <w:p>
      <w:pPr>
        <w:pStyle w:val="Corpsdetexte"/>
        <w:spacing w:before="120"/>
        <w:jc w:val="both"/>
        <w:rPr>
          <w:sz w:val="20"/>
          <w:szCs w:val="20"/>
        </w:rPr>
      </w:pPr>
    </w:p>
    <w:bookmarkStart w:id="0" w:name="_Toc189742768" w:displacedByCustomXml="next"/>
    <w:sdt>
      <w:sdtPr>
        <w:rPr>
          <w:rFonts w:ascii="Arial" w:hAnsi="Arial"/>
          <w:b/>
          <w:bCs/>
          <w:color w:val="auto"/>
          <w:sz w:val="22"/>
          <w:lang w:val="en-US"/>
        </w:rPr>
        <w:id w:val="897402704"/>
        <w:docPartObj>
          <w:docPartGallery w:val="Table of Contents"/>
          <w:docPartUnique/>
        </w:docPartObj>
      </w:sdtPr>
      <w:sdtEndPr>
        <w:rPr>
          <w:rFonts w:ascii="Marianne" w:hAnsi="Marianne"/>
          <w:b w:val="0"/>
          <w:bCs w:val="0"/>
          <w:lang w:val="fr-FR"/>
        </w:rPr>
      </w:sdtEndPr>
      <w:sdtContent>
        <w:p>
          <w:pPr>
            <w:pStyle w:val="Titre1"/>
            <w:numPr>
              <w:ilvl w:val="0"/>
              <w:numId w:val="0"/>
            </w:numPr>
            <w:ind w:left="1080"/>
          </w:pPr>
          <w:r>
            <w:t>Table des matières</w:t>
          </w:r>
          <w:bookmarkEnd w:id="0"/>
        </w:p>
        <w:p>
          <w:pPr>
            <w:pStyle w:val="TM1"/>
            <w:rPr>
              <w:rFonts w:asciiTheme="minorHAnsi" w:hAnsiTheme="minorHAnsi" w:cstheme="minorBidi"/>
              <w:b w:val="0"/>
              <w:bCs w:val="0"/>
              <w:i w:val="0"/>
              <w:iCs w:val="0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9742768" w:history="1">
            <w:r>
              <w:rPr>
                <w:rStyle w:val="Lienhypertexte"/>
              </w:rPr>
              <w:t>Table des matières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_Toc189742768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asciiTheme="minorHAnsi" w:hAnsiTheme="minorHAnsi" w:cstheme="minorBidi"/>
              <w:b w:val="0"/>
              <w:bCs w:val="0"/>
              <w:i w:val="0"/>
              <w:iCs w:val="0"/>
            </w:rPr>
          </w:pPr>
          <w:hyperlink w:anchor="_Toc189742769" w:history="1">
            <w:r>
              <w:rPr>
                <w:rStyle w:val="Lienhypertexte"/>
              </w:rPr>
              <w:t>RENSEIGNEMENTS SUR LE CANDIDAT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_Toc189742769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asciiTheme="minorHAnsi" w:hAnsiTheme="minorHAnsi" w:cstheme="minorBidi"/>
              <w:b w:val="0"/>
              <w:bCs w:val="0"/>
              <w:i w:val="0"/>
              <w:iCs w:val="0"/>
            </w:rPr>
          </w:pPr>
          <w:hyperlink w:anchor="_Toc189742770" w:history="1">
            <w:r>
              <w:rPr>
                <w:rStyle w:val="Lienhypertexte"/>
              </w:rPr>
              <w:t>ELEMENTS POUR L’EVALUATION DU CRITERE 1 – VALEUR TECHNIQUE – 55 points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_Toc189742770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asciiTheme="minorHAnsi" w:hAnsiTheme="minorHAnsi" w:cstheme="minorBidi"/>
              <w:b w:val="0"/>
              <w:bCs w:val="0"/>
              <w:i w:val="0"/>
              <w:iCs w:val="0"/>
            </w:rPr>
          </w:pPr>
          <w:hyperlink w:anchor="_Toc189742771" w:history="1">
            <w:r>
              <w:rPr>
                <w:rStyle w:val="Lienhypertexte"/>
              </w:rPr>
              <w:t>1.</w:t>
            </w:r>
            <w:r>
              <w:rPr>
                <w:rFonts w:asciiTheme="minorHAnsi" w:hAnsiTheme="minorHAnsi" w:cstheme="minorBidi"/>
                <w:b w:val="0"/>
                <w:bCs w:val="0"/>
                <w:i w:val="0"/>
                <w:iCs w:val="0"/>
              </w:rPr>
              <w:tab/>
            </w:r>
            <w:r>
              <w:rPr>
                <w:rStyle w:val="Lienhypertexte"/>
              </w:rPr>
              <w:t>Diversité et richesse du catalogue (11 points)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_Toc189742771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asciiTheme="minorHAnsi" w:hAnsiTheme="minorHAnsi" w:cstheme="minorBidi"/>
              <w:b w:val="0"/>
              <w:bCs w:val="0"/>
              <w:i w:val="0"/>
              <w:iCs w:val="0"/>
            </w:rPr>
          </w:pPr>
          <w:hyperlink w:anchor="_Toc189742772" w:history="1">
            <w:r>
              <w:rPr>
                <w:rStyle w:val="Lienhypertexte"/>
              </w:rPr>
              <w:t>2.</w:t>
            </w:r>
            <w:r>
              <w:rPr>
                <w:rFonts w:asciiTheme="minorHAnsi" w:hAnsiTheme="minorHAnsi" w:cstheme="minorBidi"/>
                <w:b w:val="0"/>
                <w:bCs w:val="0"/>
                <w:i w:val="0"/>
                <w:iCs w:val="0"/>
              </w:rPr>
              <w:tab/>
            </w:r>
            <w:r>
              <w:rPr>
                <w:rStyle w:val="Lienhypertexte"/>
              </w:rPr>
              <w:t>Qualité et niveau d’encadrement des sorties (27.5 points)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_Toc189742772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asciiTheme="minorHAnsi" w:hAnsiTheme="minorHAnsi" w:cstheme="minorBidi"/>
              <w:b w:val="0"/>
              <w:bCs w:val="0"/>
              <w:i w:val="0"/>
              <w:iCs w:val="0"/>
            </w:rPr>
          </w:pPr>
          <w:hyperlink w:anchor="_Toc189742773" w:history="1">
            <w:r>
              <w:rPr>
                <w:rStyle w:val="Lienhypertexte"/>
              </w:rPr>
              <w:t>3.</w:t>
            </w:r>
            <w:r>
              <w:rPr>
                <w:rFonts w:asciiTheme="minorHAnsi" w:hAnsiTheme="minorHAnsi" w:cstheme="minorBidi"/>
                <w:b w:val="0"/>
                <w:bCs w:val="0"/>
                <w:i w:val="0"/>
                <w:iCs w:val="0"/>
              </w:rPr>
              <w:tab/>
            </w:r>
            <w:r>
              <w:rPr>
                <w:rStyle w:val="Lienhypertexte"/>
              </w:rPr>
              <w:t>Moyens et modalités dédiés au suivi des sorties (16.5 points)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_Toc189742773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asciiTheme="minorHAnsi" w:hAnsiTheme="minorHAnsi" w:cstheme="minorBidi"/>
              <w:b w:val="0"/>
              <w:bCs w:val="0"/>
              <w:i w:val="0"/>
              <w:iCs w:val="0"/>
            </w:rPr>
          </w:pPr>
          <w:hyperlink w:anchor="_Toc189742774" w:history="1">
            <w:r>
              <w:rPr>
                <w:rStyle w:val="Lienhypertexte"/>
              </w:rPr>
              <w:t>ELEMENTS POUR L’EVALUATION DU CRITERE 3 – POLITIQUE DE VALORISATION DES DECHETS – 5 points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_Toc189742774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>
          <w:pPr>
            <w:rPr>
              <w:rFonts w:ascii="Marianne" w:hAnsi="Marianne"/>
              <w:b/>
              <w:bCs/>
            </w:rPr>
          </w:pPr>
          <w:r>
            <w:rPr>
              <w:rFonts w:ascii="Marianne" w:hAnsi="Marianne"/>
              <w:b/>
              <w:bCs/>
            </w:rPr>
            <w:fldChar w:fldCharType="end"/>
          </w:r>
        </w:p>
      </w:sdtContent>
    </w:sdt>
    <w:p>
      <w:pPr>
        <w:pStyle w:val="Titre1"/>
        <w:numPr>
          <w:ilvl w:val="0"/>
          <w:numId w:val="0"/>
        </w:numPr>
        <w:ind w:left="1080"/>
      </w:pPr>
      <w:bookmarkStart w:id="1" w:name="_Toc189742769"/>
      <w:r>
        <w:t>RENSEIGNEMENTS SUR LE CANDIDAT</w:t>
      </w:r>
      <w:bookmarkEnd w:id="1"/>
    </w:p>
    <w:tbl>
      <w:tblPr>
        <w:tblStyle w:val="Grilledutableau"/>
        <w:tblW w:w="15168" w:type="dxa"/>
        <w:tblInd w:w="-147" w:type="dxa"/>
        <w:tblLook w:val="04A0" w:firstRow="1" w:lastRow="0" w:firstColumn="1" w:lastColumn="0" w:noHBand="0" w:noVBand="1"/>
      </w:tblPr>
      <w:tblGrid>
        <w:gridCol w:w="3970"/>
        <w:gridCol w:w="11198"/>
      </w:tblGrid>
      <w:tr>
        <w:tc>
          <w:tcPr>
            <w:tcW w:w="3970" w:type="dxa"/>
            <w:vAlign w:val="center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 de la société</w:t>
            </w:r>
          </w:p>
        </w:tc>
        <w:tc>
          <w:tcPr>
            <w:tcW w:w="11198" w:type="dxa"/>
          </w:tcPr>
          <w:p>
            <w:pPr>
              <w:rPr>
                <w:rFonts w:ascii="Marianne" w:hAnsi="Marianne"/>
              </w:rPr>
            </w:pPr>
          </w:p>
        </w:tc>
      </w:tr>
      <w:tr>
        <w:tc>
          <w:tcPr>
            <w:tcW w:w="3970" w:type="dxa"/>
            <w:vAlign w:val="center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Adresse du siège social</w:t>
            </w:r>
          </w:p>
        </w:tc>
        <w:tc>
          <w:tcPr>
            <w:tcW w:w="11198" w:type="dxa"/>
          </w:tcPr>
          <w:p>
            <w:pPr>
              <w:rPr>
                <w:rFonts w:ascii="Marianne" w:hAnsi="Marianne"/>
              </w:rPr>
            </w:pPr>
          </w:p>
          <w:p>
            <w:pPr>
              <w:rPr>
                <w:rFonts w:ascii="Marianne" w:hAnsi="Marianne"/>
              </w:rPr>
            </w:pPr>
          </w:p>
        </w:tc>
      </w:tr>
      <w:tr>
        <w:tc>
          <w:tcPr>
            <w:tcW w:w="3970" w:type="dxa"/>
            <w:vAlign w:val="center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Prénom et NOM du/des représentant(s) </w:t>
            </w:r>
          </w:p>
        </w:tc>
        <w:tc>
          <w:tcPr>
            <w:tcW w:w="11198" w:type="dxa"/>
          </w:tcPr>
          <w:p>
            <w:pPr>
              <w:rPr>
                <w:rFonts w:ascii="Marianne" w:hAnsi="Marianne"/>
              </w:rPr>
            </w:pPr>
          </w:p>
        </w:tc>
      </w:tr>
      <w:tr>
        <w:tc>
          <w:tcPr>
            <w:tcW w:w="3970" w:type="dxa"/>
            <w:vAlign w:val="center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Coordonnées téléphoniques</w:t>
            </w:r>
          </w:p>
        </w:tc>
        <w:tc>
          <w:tcPr>
            <w:tcW w:w="11198" w:type="dxa"/>
          </w:tcPr>
          <w:p>
            <w:pPr>
              <w:rPr>
                <w:rFonts w:ascii="Marianne" w:hAnsi="Marianne"/>
              </w:rPr>
            </w:pPr>
          </w:p>
        </w:tc>
      </w:tr>
      <w:tr>
        <w:tc>
          <w:tcPr>
            <w:tcW w:w="3970" w:type="dxa"/>
            <w:vAlign w:val="center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Courriel</w:t>
            </w:r>
          </w:p>
        </w:tc>
        <w:tc>
          <w:tcPr>
            <w:tcW w:w="11198" w:type="dxa"/>
          </w:tcPr>
          <w:p>
            <w:pPr>
              <w:rPr>
                <w:rFonts w:ascii="Marianne" w:hAnsi="Marianne"/>
              </w:rPr>
            </w:pPr>
          </w:p>
        </w:tc>
      </w:tr>
      <w:tr>
        <w:tc>
          <w:tcPr>
            <w:tcW w:w="3970" w:type="dxa"/>
            <w:vAlign w:val="center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RGPD (</w:t>
            </w:r>
            <w:proofErr w:type="spellStart"/>
            <w:r>
              <w:rPr>
                <w:rFonts w:ascii="Marianne" w:hAnsi="Marianne"/>
                <w:sz w:val="20"/>
                <w:szCs w:val="20"/>
              </w:rPr>
              <w:t>cf</w:t>
            </w:r>
            <w:proofErr w:type="spellEnd"/>
            <w:r>
              <w:rPr>
                <w:rFonts w:ascii="Marianne" w:hAnsi="Marianne"/>
                <w:sz w:val="20"/>
                <w:szCs w:val="20"/>
              </w:rPr>
              <w:t xml:space="preserve"> CCP 4.3.2) : nom et coordonnées du délégué à la protection des données ou du contact dédié à ces questions</w:t>
            </w:r>
          </w:p>
        </w:tc>
        <w:tc>
          <w:tcPr>
            <w:tcW w:w="11198" w:type="dxa"/>
          </w:tcPr>
          <w:p>
            <w:pPr>
              <w:rPr>
                <w:rFonts w:ascii="Marianne" w:hAnsi="Marianne"/>
              </w:rPr>
            </w:pPr>
          </w:p>
        </w:tc>
      </w:tr>
    </w:tbl>
    <w:p>
      <w:pPr>
        <w:pStyle w:val="Corpsdetexte"/>
        <w:jc w:val="both"/>
        <w:rPr>
          <w:sz w:val="20"/>
          <w:szCs w:val="20"/>
        </w:rPr>
      </w:pPr>
    </w:p>
    <w:p>
      <w:pPr>
        <w:pStyle w:val="Corpsdetexte"/>
        <w:jc w:val="both"/>
        <w:rPr>
          <w:sz w:val="20"/>
          <w:szCs w:val="20"/>
        </w:rPr>
      </w:pPr>
    </w:p>
    <w:p>
      <w:pPr>
        <w:pStyle w:val="Titre1"/>
        <w:numPr>
          <w:ilvl w:val="0"/>
          <w:numId w:val="0"/>
        </w:numPr>
        <w:ind w:left="1080"/>
      </w:pPr>
      <w:bookmarkStart w:id="2" w:name="_Toc189742770"/>
      <w:r>
        <w:lastRenderedPageBreak/>
        <w:t>ELEMENTS POUR L’EVALUATION DU CRITERE 1 – VALEUR TECHNIQUE – 55 points</w:t>
      </w:r>
      <w:bookmarkEnd w:id="2"/>
    </w:p>
    <w:p>
      <w:pPr>
        <w:pStyle w:val="Titre1"/>
        <w:numPr>
          <w:ilvl w:val="0"/>
          <w:numId w:val="2"/>
        </w:numPr>
      </w:pPr>
      <w:bookmarkStart w:id="3" w:name="_Toc189742771"/>
      <w:r>
        <w:t>Diversité et richesse du catalogue (11 points)</w:t>
      </w:r>
      <w:bookmarkEnd w:id="3"/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4537"/>
        <w:gridCol w:w="10518"/>
      </w:tblGrid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Joindre le catalogue de groupes accompagné d’une note de présentation synthétique (nombre de sorties selon les gammes de prix et le type de sorties)</w:t>
            </w:r>
          </w:p>
        </w:tc>
      </w:tr>
      <w:tr>
        <w:tc>
          <w:tcPr>
            <w:tcW w:w="4537" w:type="dxa"/>
            <w:tcBorders>
              <w:top w:val="nil"/>
            </w:tcBorders>
          </w:tcPr>
          <w:p>
            <w:pPr>
              <w:pStyle w:val="Corpsdetext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Libellé du catalogue annexé au cadre de réponse </w:t>
            </w:r>
          </w:p>
        </w:tc>
        <w:tc>
          <w:tcPr>
            <w:tcW w:w="10518" w:type="dxa"/>
            <w:tcBorders>
              <w:top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4537" w:type="dxa"/>
            <w:tcBorders>
              <w:top w:val="nil"/>
            </w:tcBorders>
          </w:tcPr>
          <w:p>
            <w:pPr>
              <w:pStyle w:val="Corpsdetext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Libellé de la note annexée au cadre de réponse</w:t>
            </w:r>
          </w:p>
        </w:tc>
        <w:tc>
          <w:tcPr>
            <w:tcW w:w="10518" w:type="dxa"/>
            <w:tcBorders>
              <w:top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Titre1"/>
        <w:numPr>
          <w:ilvl w:val="0"/>
          <w:numId w:val="2"/>
        </w:numPr>
      </w:pPr>
      <w:bookmarkStart w:id="4" w:name="_Toc189742772"/>
      <w:r>
        <w:t>Qualité et niveau d’encadrement des sorties (27.5 points)</w:t>
      </w:r>
      <w:bookmarkEnd w:id="4"/>
    </w:p>
    <w:p>
      <w:pPr>
        <w:pStyle w:val="Corpsdetexte"/>
        <w:jc w:val="both"/>
      </w:pPr>
      <w:r>
        <w:rPr>
          <w:sz w:val="20"/>
          <w:szCs w:val="20"/>
        </w:rPr>
        <w:t>Les éléments communiqués pour chacune des prestations ci-dessous servent à apprécier la capacité de l’opérateur à proposer des activités et à anticiper les demandes.</w:t>
      </w:r>
      <w:r>
        <w:t xml:space="preserve"> </w:t>
      </w:r>
    </w:p>
    <w:p>
      <w:pPr>
        <w:pStyle w:val="Corpsdetexte"/>
        <w:jc w:val="both"/>
      </w:pPr>
    </w:p>
    <w:p>
      <w:pPr>
        <w:pStyle w:val="Corpsdetexte"/>
        <w:jc w:val="both"/>
        <w:rPr>
          <w:sz w:val="20"/>
          <w:szCs w:val="20"/>
        </w:rPr>
      </w:pPr>
      <w:r>
        <w:rPr>
          <w:sz w:val="20"/>
          <w:szCs w:val="20"/>
        </w:rPr>
        <w:t>Afin de garantir la fiabilité des éléments fournis au stade de la consultation, le candidat s’engage à établir le devis correspondant pour un besoin identique au cours de l’exécution du marché.</w:t>
      </w:r>
    </w:p>
    <w:p>
      <w:pPr>
        <w:pStyle w:val="Corpsdetexte"/>
        <w:jc w:val="both"/>
        <w:rPr>
          <w:sz w:val="20"/>
          <w:szCs w:val="20"/>
        </w:rPr>
      </w:pPr>
    </w:p>
    <w:p>
      <w:pPr>
        <w:pStyle w:val="Corpsdetexte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Programme pour chaque prestation : </w:t>
      </w:r>
    </w:p>
    <w:p>
      <w:pPr>
        <w:pStyle w:val="Corpsdetexte"/>
        <w:jc w:val="both"/>
        <w:rPr>
          <w:sz w:val="20"/>
          <w:szCs w:val="20"/>
        </w:rPr>
      </w:pPr>
      <w:r>
        <w:rPr>
          <w:sz w:val="20"/>
          <w:szCs w:val="20"/>
        </w:rPr>
        <w:t>Départ en matinée (horaire à préciser), activités en matinée, déjeuner pour les convives, activités de l’après-midi, repas du soir, retour en soirée (horaires à préciser).</w:t>
      </w:r>
    </w:p>
    <w:p>
      <w:pPr>
        <w:pStyle w:val="Corpsdetexte"/>
        <w:jc w:val="both"/>
        <w:rPr>
          <w:sz w:val="20"/>
          <w:szCs w:val="20"/>
        </w:rPr>
      </w:pPr>
    </w:p>
    <w:p>
      <w:pPr>
        <w:pStyle w:val="Corpsdetexte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 prix sera détaillé unitairement par catégorie de personnes composant le groupe. Il comprend : </w:t>
      </w:r>
    </w:p>
    <w:p>
      <w:pPr>
        <w:pStyle w:val="Corpsdetexte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  <w:t>Le transport aller / retour et tous les frais afférents.</w:t>
      </w:r>
    </w:p>
    <w:p>
      <w:pPr>
        <w:pStyle w:val="Corpsdetexte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  <w:t>Le repas ou les repas</w:t>
      </w:r>
    </w:p>
    <w:p>
      <w:pPr>
        <w:pStyle w:val="Corpsdetexte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  <w:t>Les entrées éventuelles aux animations proposées.</w:t>
      </w:r>
    </w:p>
    <w:p>
      <w:pPr>
        <w:pStyle w:val="Corpsdetexte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  <w:t>Les frais tels qu’indiqués dans le bordereau de prix unique.</w:t>
      </w:r>
    </w:p>
    <w:p>
      <w:pPr>
        <w:pStyle w:val="Corpsdetexte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  <w:t>L’hébergement le cas échéant</w:t>
      </w:r>
    </w:p>
    <w:p>
      <w:pPr>
        <w:pStyle w:val="Corpsdetexte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1505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>
            <w:pPr>
              <w:pStyle w:val="Corpsdetexte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Prestation n°1 :  sortie à Veules les Roses</w:t>
            </w:r>
          </w:p>
        </w:tc>
      </w:tr>
      <w:tr>
        <w:tc>
          <w:tcPr>
            <w:tcW w:w="15055" w:type="dxa"/>
            <w:gridSpan w:val="2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1 jour –un dimanche en juillet – pour 150 personnes (groupe intergénérationnel composé d’actifs, de retraités et d’enfants)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Précision sur les activités : </w:t>
            </w:r>
          </w:p>
          <w:p>
            <w:pPr>
              <w:pStyle w:val="Corpsdetexte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Transport aller-retour de Pantin, </w:t>
            </w:r>
          </w:p>
          <w:p>
            <w:pPr>
              <w:pStyle w:val="Corpsdetexte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Journée libre à Veules les Roses.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Déroulé de la sortie (CCP 3.3)</w:t>
            </w:r>
          </w:p>
        </w:tc>
        <w:tc>
          <w:tcPr>
            <w:tcW w:w="11085" w:type="dxa"/>
            <w:tcBorders>
              <w:top w:val="single" w:sz="4" w:space="0" w:color="auto"/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>Descriptif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participants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Heures de rendez-vous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Temps de visite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Transport (CCP 3.4.1)</w:t>
            </w:r>
          </w:p>
        </w:tc>
        <w:tc>
          <w:tcPr>
            <w:tcW w:w="1108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Nombre et capacités des véhicules 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chauffeurs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Tarif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total de la sortie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Prix détaillé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Prestation n°2 : sortie à Sully sur Loire</w:t>
            </w:r>
          </w:p>
        </w:tc>
      </w:tr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1 jour – un samedi en juin – pour 100 personnes (groupe intergénérationnel composé d’actifs, de retraités et d’enfants).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Précision sur les activités : </w:t>
            </w:r>
          </w:p>
          <w:p>
            <w:pPr>
              <w:pStyle w:val="Corpsdetexte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Transport aller-retour de Paris, </w:t>
            </w:r>
          </w:p>
          <w:p>
            <w:pPr>
              <w:pStyle w:val="Corpsdetexte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Visite guidée du Château de Sully sur Loire, </w:t>
            </w:r>
          </w:p>
          <w:p>
            <w:pPr>
              <w:pStyle w:val="Corpsdetexte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Croisière commentée sur une Toue,</w:t>
            </w:r>
          </w:p>
          <w:p>
            <w:pPr>
              <w:pStyle w:val="Corpsdetexte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Déjeuner formule confort + 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bookmarkStart w:id="5" w:name="_Hlk178602712"/>
            <w:r>
              <w:rPr>
                <w:rFonts w:ascii="Marianne" w:hAnsi="Marianne"/>
                <w:sz w:val="20"/>
                <w:szCs w:val="20"/>
              </w:rPr>
              <w:t>Déroulé de la sortie (CCP 3.3)</w:t>
            </w:r>
          </w:p>
        </w:tc>
        <w:tc>
          <w:tcPr>
            <w:tcW w:w="11085" w:type="dxa"/>
            <w:tcBorders>
              <w:top w:val="single" w:sz="4" w:space="0" w:color="auto"/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Descriptif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participants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Heures et lieu de rendez-vous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Temps de visite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Activité (CCP 3.4.2)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Guide (nombre, qualification,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Équipements (audioguides,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Restauration (CCP 3.4.3)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Localisation du restaurant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Composition du menu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Régimes alimentaires alternatifs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Transport (CCP 3.4.1)</w:t>
            </w:r>
          </w:p>
        </w:tc>
        <w:tc>
          <w:tcPr>
            <w:tcW w:w="1108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>Nombre et capacités des véhicules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chauffeurs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Tarif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total de la sortie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Prix détaillé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bookmarkEnd w:id="5"/>
    </w:tbl>
    <w:p>
      <w:pPr>
        <w:pStyle w:val="Corpsdetexte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Prestation n°3 : sortie en Vallée de la Loire</w:t>
            </w:r>
          </w:p>
        </w:tc>
      </w:tr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2 jours – samedi et dimanche en septembre – pour 50 personnes (groupe intergénérationnel composé d’actifs, de retraités et d’enfants).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Précision sur les activités :</w:t>
            </w:r>
          </w:p>
          <w:p>
            <w:pPr>
              <w:pStyle w:val="Corpsdetexte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 aller-retour au départ de Versailles</w:t>
            </w:r>
          </w:p>
          <w:p>
            <w:pPr>
              <w:pStyle w:val="Corpsdetexte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Jour 1 : visite guidée du festival des jardins de Chaumont sur Loire, et nuitée à l’hôtel</w:t>
            </w:r>
          </w:p>
          <w:p>
            <w:pPr>
              <w:pStyle w:val="Corpsdetexte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Jour 2 : petit-déjeuner à l’hôtel, visite guidée du Clos Lucé, visite libre d’Amboise, retour avant 20H30</w:t>
            </w:r>
          </w:p>
          <w:p>
            <w:pPr>
              <w:pStyle w:val="Corpsdetexte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Jour 1 : déjeuner libre, dîner standard</w:t>
            </w:r>
          </w:p>
          <w:p>
            <w:pPr>
              <w:pStyle w:val="Corpsdetexte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Jour 2 : déjeuner prestige</w:t>
            </w:r>
          </w:p>
          <w:p>
            <w:pPr>
              <w:pStyle w:val="Corpsdetexte"/>
              <w:ind w:left="720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Déroulé de la sortie (CCP 3.3)</w:t>
            </w:r>
          </w:p>
        </w:tc>
        <w:tc>
          <w:tcPr>
            <w:tcW w:w="11085" w:type="dxa"/>
            <w:tcBorders>
              <w:top w:val="single" w:sz="4" w:space="0" w:color="auto"/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Descriptif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participants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Heures et lieu de rendez-vous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Temps de visite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Activité (CCP 3.4.2)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Guide (nombre, qualification,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Équipements (audioguides,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Restauration (CCP 3.4.3)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Localisation du restaurant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Composition du menu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Régimes alimentaires alternatifs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Transport (CCP 3.4.1)</w:t>
            </w:r>
          </w:p>
        </w:tc>
        <w:tc>
          <w:tcPr>
            <w:tcW w:w="1108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et capacités des véhicules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chauffeurs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Hébergement (CCP 3.4.4)</w:t>
            </w:r>
          </w:p>
        </w:tc>
        <w:tc>
          <w:tcPr>
            <w:tcW w:w="1108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Lieu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>Nb de chambres simple et coût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Nb de chambres double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Nb de chambres familiales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Composition du petit déjeuner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Tarif petit-déjeuner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Tarif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total de la sortie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Prix détaillé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Prestation n°4 : sortie au Puy du Fou</w:t>
            </w:r>
          </w:p>
        </w:tc>
      </w:tr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2 jours – samedi et dimanche en juin – pour 50 personnes (groupe intergénérationnel composé d’actifs, de retraités et d’enfants).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Précision sur les activités :</w:t>
            </w:r>
          </w:p>
          <w:p>
            <w:pPr>
              <w:pStyle w:val="Corpsdetexte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 aller-retour de Melun</w:t>
            </w:r>
          </w:p>
          <w:p>
            <w:pPr>
              <w:pStyle w:val="Corpsdetexte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Pass</w:t>
            </w:r>
            <w:proofErr w:type="spellEnd"/>
            <w:r>
              <w:rPr>
                <w:sz w:val="20"/>
                <w:szCs w:val="20"/>
              </w:rPr>
              <w:t xml:space="preserve"> 2 jours pour le parc</w:t>
            </w:r>
          </w:p>
          <w:p>
            <w:pPr>
              <w:pStyle w:val="Corpsdetexte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Billets pour la </w:t>
            </w:r>
            <w:proofErr w:type="spellStart"/>
            <w:r>
              <w:rPr>
                <w:sz w:val="20"/>
                <w:szCs w:val="20"/>
              </w:rPr>
              <w:t>cinéscénie</w:t>
            </w:r>
            <w:proofErr w:type="spellEnd"/>
          </w:p>
          <w:p>
            <w:pPr>
              <w:pStyle w:val="Corpsdetexte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Déjeuners libres, dîner confort + le 1er jour</w:t>
            </w:r>
          </w:p>
          <w:p>
            <w:pPr>
              <w:pStyle w:val="Corpsdetexte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Hébergement du samedi au dimanche</w:t>
            </w:r>
          </w:p>
          <w:p>
            <w:pPr>
              <w:pStyle w:val="Corpsdetexte"/>
              <w:ind w:left="720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Déroulé de la sortie (CCP 3.3)</w:t>
            </w:r>
          </w:p>
        </w:tc>
        <w:tc>
          <w:tcPr>
            <w:tcW w:w="11085" w:type="dxa"/>
            <w:tcBorders>
              <w:top w:val="single" w:sz="4" w:space="0" w:color="auto"/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Descriptif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participants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Heures et lieu de rendez-vous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Temps de visite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Activité (CCP 3.4.2)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Équipements (audioguides,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Restauration (CCP 3.4.3)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Localisation du restaurant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Composition du menu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Régimes alimentaires alternatifs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Transport (CCP 3.4.1)</w:t>
            </w:r>
          </w:p>
        </w:tc>
        <w:tc>
          <w:tcPr>
            <w:tcW w:w="1108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et capacités des véhicules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chauffeurs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>Hébergement (CCP 3.4.4)</w:t>
            </w:r>
          </w:p>
        </w:tc>
        <w:tc>
          <w:tcPr>
            <w:tcW w:w="1108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Lieu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Nb de chambres simple et coût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Nb de chambres double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Nb de chambres familiales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Composition du petit déjeuner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Tarif petit-déjeuner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Tarif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total de la sortie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Prix détaillé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Prestation n°5 : sortie à </w:t>
            </w:r>
            <w:proofErr w:type="spellStart"/>
            <w:r>
              <w:rPr>
                <w:b/>
                <w:bCs/>
                <w:sz w:val="20"/>
                <w:szCs w:val="20"/>
                <w:u w:val="single"/>
              </w:rPr>
              <w:t>Guédelon</w:t>
            </w:r>
            <w:proofErr w:type="spellEnd"/>
          </w:p>
        </w:tc>
      </w:tr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1 jour – un dimanche en avril – pour 100 personnes (groupe intergénérationnel composé d’actifs, de retraités et d’enfants).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Précision sur les activités : </w:t>
            </w:r>
          </w:p>
          <w:p>
            <w:pPr>
              <w:pStyle w:val="Corpsdetexte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Transport aller-retour de Cergy </w:t>
            </w:r>
          </w:p>
          <w:p>
            <w:pPr>
              <w:pStyle w:val="Corpsdetexte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Billets et visite libre de </w:t>
            </w:r>
            <w:proofErr w:type="spellStart"/>
            <w:r>
              <w:rPr>
                <w:sz w:val="20"/>
                <w:szCs w:val="20"/>
              </w:rPr>
              <w:t>Guédelon</w:t>
            </w:r>
            <w:proofErr w:type="spellEnd"/>
          </w:p>
          <w:p>
            <w:pPr>
              <w:pStyle w:val="Corpsdetexte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Déjeuner confort + sur le site 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Déroulé de la sortie (CCP 3.3)</w:t>
            </w:r>
          </w:p>
        </w:tc>
        <w:tc>
          <w:tcPr>
            <w:tcW w:w="11085" w:type="dxa"/>
            <w:tcBorders>
              <w:top w:val="single" w:sz="4" w:space="0" w:color="auto"/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Descriptif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participants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Heures et lieu de rendez-vous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Temps de visite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Activité (CCP 3.4.2)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Équipements (audioguides,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Restauration (CCP 3.4.3)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Localisation du restaurant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Composition du menu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Régimes alimentaires alternatifs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Transport (CCP 3.4.1)</w:t>
            </w:r>
          </w:p>
        </w:tc>
        <w:tc>
          <w:tcPr>
            <w:tcW w:w="1108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et capacités des véhicules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chauffeurs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>Tarif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total de la sortie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Prix détaillé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Prestation n°6 : proposition de sortie familiale</w:t>
            </w:r>
          </w:p>
        </w:tc>
      </w:tr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1 jour – un samedi en avril – pour 150 personnes (groupe intergénérationnel composé d’actifs, de retraités et d’enfants).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Précision sur les activités : thématique originale à destination d’un public familial</w:t>
            </w:r>
          </w:p>
          <w:p>
            <w:pPr>
              <w:pStyle w:val="Corpsdetexte"/>
              <w:ind w:left="720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Déroulé de la sortie (CCP 3.3)</w:t>
            </w:r>
          </w:p>
        </w:tc>
        <w:tc>
          <w:tcPr>
            <w:tcW w:w="11085" w:type="dxa"/>
            <w:tcBorders>
              <w:top w:val="single" w:sz="4" w:space="0" w:color="auto"/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Descriptif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participants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Heures et lieu de rendez-vous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Temps de visite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Activité (CCP 3.4.2)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Guide (nombre, qualification,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Équipements (audioguides,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Restauration (CCP 3.4.3)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Localisation du restaurant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Composition du menu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Régimes alimentaires alternatifs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Transport (CCP 3.4.1)</w:t>
            </w:r>
          </w:p>
        </w:tc>
        <w:tc>
          <w:tcPr>
            <w:tcW w:w="1108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et capacités des véhicules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chauffeurs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Tarif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total de la sortie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Prix détaillé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Prestation n°7 : proposition de sortie pour retraités</w:t>
            </w:r>
          </w:p>
        </w:tc>
      </w:tr>
      <w:tr>
        <w:tc>
          <w:tcPr>
            <w:tcW w:w="15055" w:type="dxa"/>
            <w:gridSpan w:val="2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Durée 1 jour – un samedi en avril – pour 300 retraités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Précision sur les activités : thématique originale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Déroulé de la sortie (CCP 3.3)</w:t>
            </w:r>
          </w:p>
        </w:tc>
        <w:tc>
          <w:tcPr>
            <w:tcW w:w="11085" w:type="dxa"/>
            <w:tcBorders>
              <w:top w:val="single" w:sz="4" w:space="0" w:color="auto"/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>Descriptif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participants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Heures et lieu de rendez-vous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Temps de visite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Activité (CCP 3.4.2)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Guide (nombre, qualification,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Équipements (audioguides, etc.)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Restauration (CCP 3.4.3)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Localisation du restaurant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Composition du menu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Régimes alimentaires alternatifs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Transport (CCP 3.4.1)</w:t>
            </w:r>
          </w:p>
        </w:tc>
        <w:tc>
          <w:tcPr>
            <w:tcW w:w="1108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et capacités des véhicules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de chauffeurs proposés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right w:val="nil"/>
            </w:tcBorders>
            <w:shd w:val="clear" w:color="auto" w:fill="D9D9D9" w:themeFill="background1" w:themeFillShade="D9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Tarif</w:t>
            </w:r>
          </w:p>
        </w:tc>
        <w:tc>
          <w:tcPr>
            <w:tcW w:w="11085" w:type="dxa"/>
            <w:tcBorders>
              <w:left w:val="nil"/>
            </w:tcBorders>
            <w:shd w:val="clear" w:color="auto" w:fill="D9D9D9" w:themeFill="background1" w:themeFillShade="D9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total de la sortie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Prix détaillé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  <w:spacing w:before="120"/>
        <w:jc w:val="both"/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3970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Question n°1</w:t>
            </w:r>
            <w:r>
              <w:rPr>
                <w:sz w:val="20"/>
                <w:szCs w:val="20"/>
                <w:u w:val="single"/>
              </w:rPr>
              <w:t xml:space="preserve"> : 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encadrement des sorties </w:t>
            </w:r>
            <w:r>
              <w:rPr>
                <w:sz w:val="20"/>
                <w:szCs w:val="20"/>
              </w:rPr>
              <w:t>(CCP 3.4.2)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Présenter </w:t>
            </w:r>
            <w:r>
              <w:rPr>
                <w:b/>
                <w:bCs/>
                <w:sz w:val="20"/>
                <w:szCs w:val="20"/>
              </w:rPr>
              <w:t>les guides</w:t>
            </w:r>
            <w:r>
              <w:rPr>
                <w:sz w:val="20"/>
                <w:szCs w:val="20"/>
              </w:rPr>
              <w:t xml:space="preserve"> référents, si possible selon les grandes thématiques.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top w:val="nil"/>
            </w:tcBorders>
          </w:tcPr>
          <w:p>
            <w:pPr>
              <w:pStyle w:val="Corpsdetext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Éventuel document annexé au cadre de réponse (préciser le libellé)</w:t>
            </w:r>
          </w:p>
        </w:tc>
        <w:tc>
          <w:tcPr>
            <w:tcW w:w="11085" w:type="dxa"/>
            <w:tcBorders>
              <w:top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Question n°2 : parc de véhicules</w:t>
            </w:r>
            <w:r>
              <w:rPr>
                <w:sz w:val="20"/>
                <w:szCs w:val="20"/>
              </w:rPr>
              <w:t xml:space="preserve"> (CCP 3.4.1)</w:t>
            </w:r>
          </w:p>
          <w:p>
            <w:pPr>
              <w:pStyle w:val="Corpsdetex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Décrire </w:t>
            </w:r>
            <w:r>
              <w:rPr>
                <w:b/>
                <w:bCs/>
                <w:sz w:val="20"/>
                <w:szCs w:val="20"/>
              </w:rPr>
              <w:t>le parc d’autocars</w:t>
            </w:r>
            <w:r>
              <w:rPr>
                <w:sz w:val="20"/>
                <w:szCs w:val="20"/>
              </w:rPr>
              <w:t xml:space="preserve"> à disposition (ancienneté, kilométrage, équipement).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  <w:tcBorders>
              <w:top w:val="nil"/>
            </w:tcBorders>
          </w:tcPr>
          <w:p>
            <w:pPr>
              <w:pStyle w:val="Corpsdetext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Éventuel document annexé au cadre de réponse (préciser le libellé)</w:t>
            </w:r>
          </w:p>
        </w:tc>
        <w:tc>
          <w:tcPr>
            <w:tcW w:w="11085" w:type="dxa"/>
            <w:tcBorders>
              <w:top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970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lastRenderedPageBreak/>
              <w:t>Question n°3 : prise en compte des situations de handicap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(CCP 3.2)</w:t>
            </w:r>
          </w:p>
          <w:p>
            <w:pPr>
              <w:pStyle w:val="Corpsdetex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Décrire les modalités de prise en charge des </w:t>
            </w:r>
            <w:r>
              <w:rPr>
                <w:b/>
                <w:bCs/>
                <w:sz w:val="20"/>
                <w:szCs w:val="20"/>
              </w:rPr>
              <w:t>personnes en situation de handicap</w:t>
            </w:r>
            <w:r>
              <w:rPr>
                <w:sz w:val="20"/>
                <w:szCs w:val="20"/>
              </w:rPr>
              <w:t xml:space="preserve"> (personnes à mobilité réduite, non-voyantes, sourdes, malentendantes et autres handicaps empêchant ou réduisant son autonomie) au cours d’une sortie.</w:t>
            </w:r>
          </w:p>
        </w:tc>
        <w:tc>
          <w:tcPr>
            <w:tcW w:w="11085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  <w:spacing w:before="120"/>
        <w:jc w:val="both"/>
      </w:pPr>
    </w:p>
    <w:p>
      <w:pPr>
        <w:pStyle w:val="Titre1"/>
        <w:numPr>
          <w:ilvl w:val="0"/>
          <w:numId w:val="2"/>
        </w:numPr>
      </w:pPr>
      <w:bookmarkStart w:id="6" w:name="_Toc189742773"/>
      <w:r>
        <w:t>Moyens et modalités dédiés au suivi des sorties (16.5 points)</w:t>
      </w:r>
      <w:bookmarkEnd w:id="6"/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5104"/>
        <w:gridCol w:w="9951"/>
      </w:tblGrid>
      <w:tr>
        <w:tc>
          <w:tcPr>
            <w:tcW w:w="5104" w:type="dxa"/>
            <w:tcBorders>
              <w:bottom w:val="nil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Question n°1</w:t>
            </w:r>
            <w:r>
              <w:rPr>
                <w:sz w:val="20"/>
                <w:szCs w:val="20"/>
              </w:rPr>
              <w:t xml:space="preserve"> ( CCP 3.3.3)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Décrire les modalités dédiées à</w:t>
            </w:r>
            <w:r>
              <w:rPr>
                <w:b/>
                <w:bCs/>
                <w:sz w:val="20"/>
                <w:szCs w:val="20"/>
              </w:rPr>
              <w:t xml:space="preserve"> la pré-réservation et réservation </w:t>
            </w:r>
            <w:r>
              <w:rPr>
                <w:sz w:val="20"/>
                <w:szCs w:val="20"/>
              </w:rPr>
              <w:t>(organisation et moyens alloués)</w:t>
            </w:r>
          </w:p>
        </w:tc>
        <w:tc>
          <w:tcPr>
            <w:tcW w:w="9951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5104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Question n°2</w:t>
            </w:r>
            <w:r>
              <w:rPr>
                <w:sz w:val="20"/>
                <w:szCs w:val="20"/>
              </w:rPr>
              <w:t xml:space="preserve"> (CCP 4.2.3, 4.2.4 et 4.4)</w:t>
            </w:r>
          </w:p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Décrire les modalités en cas</w:t>
            </w:r>
            <w:r>
              <w:rPr>
                <w:b/>
                <w:bCs/>
                <w:sz w:val="20"/>
                <w:szCs w:val="20"/>
              </w:rPr>
              <w:t xml:space="preserve"> d’annulation de sorties </w:t>
            </w:r>
            <w:r>
              <w:rPr>
                <w:sz w:val="20"/>
                <w:szCs w:val="20"/>
              </w:rPr>
              <w:t>(organisation, propositions de sorties de remplacement, délai de réponse, moyens alloués, etc.)</w:t>
            </w:r>
          </w:p>
        </w:tc>
        <w:tc>
          <w:tcPr>
            <w:tcW w:w="9951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5104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Question n°3</w:t>
            </w:r>
            <w:r>
              <w:rPr>
                <w:sz w:val="20"/>
                <w:szCs w:val="20"/>
              </w:rPr>
              <w:t xml:space="preserve"> (CCP 3.3.2 et 4.3.1)</w:t>
            </w:r>
          </w:p>
          <w:p>
            <w:pPr>
              <w:pStyle w:val="Corpsdetexte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Décrire les modalités</w:t>
            </w:r>
            <w:r>
              <w:rPr>
                <w:b/>
                <w:bCs/>
                <w:sz w:val="20"/>
                <w:szCs w:val="20"/>
              </w:rPr>
              <w:t xml:space="preserve"> d’information et de conseil</w:t>
            </w:r>
            <w:r>
              <w:rPr>
                <w:sz w:val="20"/>
                <w:szCs w:val="20"/>
              </w:rPr>
              <w:t xml:space="preserve"> (information de l’acheteur des nouveautés, retour d’expérience sur les sorties réalisées, moyens dédiés à la recherche de partenariat, etc.)</w:t>
            </w:r>
          </w:p>
        </w:tc>
        <w:tc>
          <w:tcPr>
            <w:tcW w:w="9951" w:type="dxa"/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5104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Question n°4</w:t>
            </w:r>
            <w:r>
              <w:rPr>
                <w:sz w:val="20"/>
                <w:szCs w:val="20"/>
              </w:rPr>
              <w:t xml:space="preserve"> (CCP 3.3.3)</w:t>
            </w:r>
          </w:p>
          <w:p>
            <w:pPr>
              <w:pStyle w:val="Corpsdetexte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Décrire les modalités de </w:t>
            </w:r>
            <w:r>
              <w:rPr>
                <w:b/>
                <w:bCs/>
                <w:sz w:val="20"/>
                <w:szCs w:val="20"/>
              </w:rPr>
              <w:t>gestion des différents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paiements</w:t>
            </w:r>
            <w:r>
              <w:rPr>
                <w:sz w:val="20"/>
                <w:szCs w:val="20"/>
              </w:rPr>
              <w:t> (demande d’acompte, gestion des participations des agents, moyens dédiés, etc.)</w:t>
            </w:r>
          </w:p>
        </w:tc>
        <w:tc>
          <w:tcPr>
            <w:tcW w:w="9951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5104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Question n°5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cf</w:t>
            </w:r>
            <w:proofErr w:type="spellEnd"/>
            <w:r>
              <w:rPr>
                <w:sz w:val="20"/>
                <w:szCs w:val="20"/>
              </w:rPr>
              <w:t xml:space="preserve"> CCP 4.3.5 et 4.4)</w:t>
            </w:r>
          </w:p>
          <w:p>
            <w:pPr>
              <w:pStyle w:val="Corpsdetexte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Décrire les modalités et moyens permettant de gérer</w:t>
            </w:r>
            <w:r>
              <w:rPr>
                <w:b/>
                <w:bCs/>
                <w:sz w:val="20"/>
                <w:szCs w:val="20"/>
              </w:rPr>
              <w:t xml:space="preserve"> un aléa susceptible de survenir au cours </w:t>
            </w:r>
            <w:r>
              <w:rPr>
                <w:b/>
                <w:bCs/>
                <w:sz w:val="20"/>
                <w:szCs w:val="20"/>
              </w:rPr>
              <w:lastRenderedPageBreak/>
              <w:t xml:space="preserve">d’une sortie </w:t>
            </w:r>
            <w:r>
              <w:rPr>
                <w:sz w:val="20"/>
                <w:szCs w:val="20"/>
              </w:rPr>
              <w:t>(panne d’un véhicule, fermeture d’un site, etc.)</w:t>
            </w:r>
          </w:p>
        </w:tc>
        <w:tc>
          <w:tcPr>
            <w:tcW w:w="9951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  <w:spacing w:before="120"/>
        <w:jc w:val="both"/>
        <w:rPr>
          <w:sz w:val="20"/>
          <w:szCs w:val="20"/>
        </w:rPr>
      </w:pPr>
    </w:p>
    <w:p>
      <w:pPr>
        <w:pStyle w:val="Titre1"/>
        <w:numPr>
          <w:ilvl w:val="0"/>
          <w:numId w:val="0"/>
        </w:numPr>
        <w:ind w:left="1077"/>
      </w:pPr>
      <w:bookmarkStart w:id="7" w:name="_Toc189742774"/>
      <w:r>
        <w:t>ELEMENTS POUR L’EVALUATION DU CRITERE 3 – POLITIQUE DE VALORISATION DES DECHETS – 5 points</w:t>
      </w:r>
      <w:bookmarkEnd w:id="7"/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11085"/>
      </w:tblGrid>
      <w:tr>
        <w:tc>
          <w:tcPr>
            <w:tcW w:w="3970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Présenter la politique de valorisation des déchets mise en œuvre au sein de l’entreprise</w:t>
            </w:r>
          </w:p>
        </w:tc>
        <w:tc>
          <w:tcPr>
            <w:tcW w:w="11085" w:type="dxa"/>
            <w:tcBorders>
              <w:bottom w:val="single" w:sz="4" w:space="0" w:color="auto"/>
            </w:tcBorders>
          </w:tcPr>
          <w:p>
            <w:pPr>
              <w:pStyle w:val="Corpsdetexte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Corpsdetexte"/>
        <w:spacing w:before="120"/>
        <w:jc w:val="both"/>
        <w:rPr>
          <w:sz w:val="20"/>
          <w:szCs w:val="20"/>
        </w:rPr>
      </w:pPr>
    </w:p>
    <w:sectPr>
      <w:headerReference w:type="default" r:id="rId9"/>
      <w:footerReference w:type="default" r:id="rId10"/>
      <w:pgSz w:w="16840" w:h="11910" w:orient="landscape"/>
      <w:pgMar w:top="964" w:right="958" w:bottom="964" w:left="96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</w:rPr>
      <w:id w:val="-1173024773"/>
      <w:docPartObj>
        <w:docPartGallery w:val="Page Numbers (Top of Page)"/>
        <w:docPartUnique/>
      </w:docPartObj>
    </w:sdtPr>
    <w:sdtContent>
      <w:p>
        <w:pPr>
          <w:pStyle w:val="Pieddepage"/>
          <w:tabs>
            <w:tab w:val="right" w:pos="9072"/>
          </w:tabs>
          <w:spacing w:before="120"/>
          <w:jc w:val="center"/>
          <w:rPr>
            <w:rFonts w:ascii="Marianne" w:hAnsi="Marianne"/>
          </w:rPr>
        </w:pPr>
        <w:r>
          <w:rPr>
            <w:rFonts w:ascii="Marianne" w:hAnsi="Marianne"/>
          </w:rPr>
          <w:t xml:space="preserve">Page </w:t>
        </w:r>
        <w:r>
          <w:rPr>
            <w:rFonts w:ascii="Marianne" w:hAnsi="Marianne"/>
            <w:b/>
            <w:bCs/>
            <w:sz w:val="24"/>
            <w:szCs w:val="24"/>
          </w:rPr>
          <w:fldChar w:fldCharType="begin"/>
        </w:r>
        <w:r>
          <w:rPr>
            <w:rFonts w:ascii="Marianne" w:hAnsi="Marianne"/>
            <w:b/>
            <w:bCs/>
          </w:rPr>
          <w:instrText>PAGE</w:instrText>
        </w:r>
        <w:r>
          <w:rPr>
            <w:rFonts w:ascii="Marianne" w:hAnsi="Marianne"/>
            <w:b/>
            <w:bCs/>
            <w:sz w:val="24"/>
            <w:szCs w:val="24"/>
          </w:rPr>
          <w:fldChar w:fldCharType="separate"/>
        </w:r>
        <w:r>
          <w:rPr>
            <w:rFonts w:ascii="Marianne" w:hAnsi="Marianne"/>
            <w:b/>
            <w:bCs/>
            <w:noProof/>
          </w:rPr>
          <w:t>3</w:t>
        </w:r>
        <w:r>
          <w:rPr>
            <w:rFonts w:ascii="Marianne" w:hAnsi="Marianne"/>
            <w:b/>
            <w:bCs/>
            <w:sz w:val="24"/>
            <w:szCs w:val="24"/>
          </w:rPr>
          <w:fldChar w:fldCharType="end"/>
        </w:r>
        <w:r>
          <w:rPr>
            <w:rFonts w:ascii="Marianne" w:hAnsi="Marianne"/>
          </w:rPr>
          <w:t xml:space="preserve"> sur </w:t>
        </w:r>
        <w:r>
          <w:rPr>
            <w:rFonts w:ascii="Marianne" w:hAnsi="Marianne"/>
            <w:b/>
            <w:bCs/>
            <w:sz w:val="24"/>
            <w:szCs w:val="24"/>
          </w:rPr>
          <w:fldChar w:fldCharType="begin"/>
        </w:r>
        <w:r>
          <w:rPr>
            <w:rFonts w:ascii="Marianne" w:hAnsi="Marianne"/>
            <w:b/>
            <w:bCs/>
          </w:rPr>
          <w:instrText>NUMPAGES</w:instrText>
        </w:r>
        <w:r>
          <w:rPr>
            <w:rFonts w:ascii="Marianne" w:hAnsi="Marianne"/>
            <w:b/>
            <w:bCs/>
            <w:sz w:val="24"/>
            <w:szCs w:val="24"/>
          </w:rPr>
          <w:fldChar w:fldCharType="separate"/>
        </w:r>
        <w:r>
          <w:rPr>
            <w:rFonts w:ascii="Marianne" w:hAnsi="Marianne"/>
            <w:b/>
            <w:bCs/>
            <w:noProof/>
          </w:rPr>
          <w:t>3</w:t>
        </w:r>
        <w:r>
          <w:rPr>
            <w:rFonts w:ascii="Marianne" w:hAnsi="Marianne"/>
            <w:b/>
            <w:bCs/>
            <w:sz w:val="24"/>
            <w:szCs w:val="24"/>
          </w:rPr>
          <w:fldChar w:fldCharType="end"/>
        </w:r>
      </w:p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F0979"/>
    <w:multiLevelType w:val="multilevel"/>
    <w:tmpl w:val="CEF0810A"/>
    <w:lvl w:ilvl="0">
      <w:start w:val="1"/>
      <w:numFmt w:val="decimal"/>
      <w:lvlText w:val="Article %1 –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381F25"/>
    <w:multiLevelType w:val="hybridMultilevel"/>
    <w:tmpl w:val="000C0C06"/>
    <w:lvl w:ilvl="0" w:tplc="8078E644">
      <w:start w:val="1"/>
      <w:numFmt w:val="decimal"/>
      <w:pStyle w:val="Titre1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8A5959"/>
    <w:multiLevelType w:val="hybridMultilevel"/>
    <w:tmpl w:val="CA26A7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62C1A"/>
    <w:multiLevelType w:val="hybridMultilevel"/>
    <w:tmpl w:val="4F1A2E2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283917"/>
    <w:multiLevelType w:val="hybridMultilevel"/>
    <w:tmpl w:val="B47C7F6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72CC5"/>
    <w:multiLevelType w:val="hybridMultilevel"/>
    <w:tmpl w:val="A4746742"/>
    <w:lvl w:ilvl="0" w:tplc="B41C19DA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9254FB"/>
    <w:multiLevelType w:val="hybridMultilevel"/>
    <w:tmpl w:val="B46ADA2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89B54BA"/>
    <w:multiLevelType w:val="hybridMultilevel"/>
    <w:tmpl w:val="52E0B260"/>
    <w:lvl w:ilvl="0" w:tplc="1D500592">
      <w:start w:val="6"/>
      <w:numFmt w:val="bullet"/>
      <w:lvlText w:val="-"/>
      <w:lvlJc w:val="left"/>
      <w:pPr>
        <w:ind w:left="1230" w:hanging="360"/>
      </w:pPr>
      <w:rPr>
        <w:rFonts w:ascii="Calibri" w:eastAsiaTheme="minorHAnsi" w:hAnsi="Calibri" w:cs="Calibri" w:hint="default"/>
      </w:rPr>
    </w:lvl>
    <w:lvl w:ilvl="1" w:tplc="1D500592">
      <w:start w:val="6"/>
      <w:numFmt w:val="bullet"/>
      <w:lvlText w:val="-"/>
      <w:lvlJc w:val="left"/>
      <w:pPr>
        <w:ind w:left="195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689C02AB"/>
    <w:multiLevelType w:val="hybridMultilevel"/>
    <w:tmpl w:val="29A89E7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B35AF7"/>
    <w:multiLevelType w:val="hybridMultilevel"/>
    <w:tmpl w:val="01FA12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EF1D47"/>
    <w:multiLevelType w:val="hybridMultilevel"/>
    <w:tmpl w:val="AE26850C"/>
    <w:lvl w:ilvl="0" w:tplc="87E875FC">
      <w:start w:val="1"/>
      <w:numFmt w:val="bullet"/>
      <w:lvlText w:val=""/>
      <w:lvlJc w:val="left"/>
      <w:pPr>
        <w:ind w:left="12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8"/>
  </w:num>
  <w:num w:numId="11">
    <w:abstractNumId w:val="9"/>
  </w:num>
  <w:num w:numId="12">
    <w:abstractNumId w:val="2"/>
  </w:num>
  <w:num w:numId="13">
    <w:abstractNumId w:val="4"/>
  </w:num>
  <w:num w:numId="14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8B253237-0AA9-F949-8557-BDC7FE66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lang w:val="fr-FR"/>
    </w:rPr>
  </w:style>
  <w:style w:type="paragraph" w:styleId="Titre1">
    <w:name w:val="heading 1"/>
    <w:basedOn w:val="Normal"/>
    <w:next w:val="Corpsdetexte"/>
    <w:link w:val="Titre1Car"/>
    <w:autoRedefine/>
    <w:uiPriority w:val="9"/>
    <w:qFormat/>
    <w:pPr>
      <w:numPr>
        <w:numId w:val="7"/>
      </w:numPr>
      <w:spacing w:before="240" w:after="120"/>
      <w:outlineLvl w:val="0"/>
    </w:pPr>
    <w:rPr>
      <w:rFonts w:ascii="Marianne" w:hAnsi="Marianne"/>
      <w:color w:val="0070C0"/>
      <w:sz w:val="28"/>
    </w:rPr>
  </w:style>
  <w:style w:type="paragraph" w:styleId="Titre2">
    <w:name w:val="heading 2"/>
    <w:basedOn w:val="Normal"/>
    <w:next w:val="Normal"/>
    <w:link w:val="Titre2Car"/>
    <w:uiPriority w:val="9"/>
    <w:unhideWhenUsed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44E4A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44E4A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23431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23431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rFonts w:ascii="Marianne" w:hAnsi="Marianne"/>
      <w:sz w:val="18"/>
      <w:szCs w:val="18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Pr>
      <w:color w:val="5770BE" w:themeColor="hyperlink"/>
      <w:u w:val="single"/>
    </w:rPr>
  </w:style>
  <w:style w:type="paragraph" w:customStyle="1" w:styleId="Date1">
    <w:name w:val="Date1"/>
    <w:basedOn w:val="Normal"/>
    <w:next w:val="Corpsdetexte"/>
    <w:link w:val="dateCar"/>
    <w:qFormat/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Pr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pPr>
      <w:jc w:val="right"/>
    </w:pPr>
    <w:rPr>
      <w:bCs/>
      <w:color w:val="231F20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Marianne" w:hAnsi="Marianne"/>
      <w:sz w:val="18"/>
      <w:szCs w:val="18"/>
      <w:lang w:val="fr-FR"/>
    </w:rPr>
  </w:style>
  <w:style w:type="character" w:customStyle="1" w:styleId="ObjetCar">
    <w:name w:val="Objet Car"/>
    <w:basedOn w:val="CorpsdetexteCar"/>
    <w:link w:val="Objet"/>
    <w:rPr>
      <w:rFonts w:ascii="Marianne" w:hAnsi="Marianne"/>
      <w:b/>
      <w:color w:val="231F20"/>
      <w:sz w:val="20"/>
      <w:szCs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Pr>
      <w:rFonts w:ascii="Marianne" w:hAnsi="Marianne"/>
      <w:color w:val="0070C0"/>
      <w:sz w:val="28"/>
      <w:lang w:val="fr-FR"/>
    </w:rPr>
  </w:style>
  <w:style w:type="character" w:customStyle="1" w:styleId="SignatCar">
    <w:name w:val="Signat Car"/>
    <w:basedOn w:val="Titre1Car"/>
    <w:link w:val="Signat"/>
    <w:rPr>
      <w:rFonts w:ascii="Marianne" w:hAnsi="Marianne"/>
      <w:b w:val="0"/>
      <w:bCs/>
      <w:color w:val="231F20"/>
      <w:sz w:val="16"/>
      <w:szCs w:val="16"/>
      <w:lang w:val="fr-FR"/>
    </w:rPr>
  </w:style>
  <w:style w:type="paragraph" w:customStyle="1" w:styleId="Titredelapage">
    <w:name w:val="Titre de la page"/>
    <w:basedOn w:val="Normal"/>
    <w:link w:val="TitredelapageCar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Pr>
      <w:sz w:val="16"/>
      <w:szCs w:val="16"/>
    </w:rPr>
  </w:style>
  <w:style w:type="character" w:customStyle="1" w:styleId="TitredelapageCar">
    <w:name w:val="Titre de la page Car"/>
    <w:link w:val="Titredelapage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pPr>
      <w:jc w:val="center"/>
    </w:pPr>
    <w:rPr>
      <w:b/>
      <w:bCs/>
      <w:sz w:val="16"/>
      <w:szCs w:val="16"/>
    </w:rPr>
  </w:style>
  <w:style w:type="paragraph" w:customStyle="1" w:styleId="Sous-titre2">
    <w:name w:val="Sous-titre 2"/>
    <w:basedOn w:val="Sous-titre1"/>
    <w:next w:val="Corpsdetexte"/>
    <w:link w:val="Sous-titre2Car"/>
    <w:qFormat/>
    <w:rPr>
      <w:rFonts w:ascii="Marianne" w:hAnsi="Marianne"/>
      <w:b w:val="0"/>
      <w:bCs w:val="0"/>
      <w:sz w:val="15"/>
      <w:szCs w:val="15"/>
    </w:rPr>
  </w:style>
  <w:style w:type="character" w:customStyle="1" w:styleId="Sous-titre1Car">
    <w:name w:val="Sous-titre1 Car"/>
    <w:basedOn w:val="Policepardfaut"/>
    <w:link w:val="Sous-titre1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autoRedefine/>
    <w:qFormat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Pr>
      <w:rFonts w:ascii="Marianne" w:hAnsi="Marianne"/>
      <w:b w:val="0"/>
      <w:bCs w:val="0"/>
      <w:sz w:val="15"/>
      <w:szCs w:val="15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autoRedefine/>
    <w:qFormat/>
    <w:pPr>
      <w:spacing w:line="276" w:lineRule="auto"/>
    </w:pPr>
  </w:style>
  <w:style w:type="character" w:customStyle="1" w:styleId="Titre1demapageCar">
    <w:name w:val="Titre 1 de ma page Car"/>
    <w:basedOn w:val="CorpsdetexteCar"/>
    <w:link w:val="Titre1demapage"/>
    <w:rPr>
      <w:rFonts w:ascii="Marianne" w:hAnsi="Marianne"/>
      <w:b/>
      <w:bCs/>
      <w:sz w:val="18"/>
      <w:szCs w:val="18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Pr>
      <w:rFonts w:ascii="Marianne" w:hAnsi="Marianne"/>
      <w:b/>
      <w:bCs/>
      <w:sz w:val="18"/>
      <w:szCs w:val="18"/>
      <w:lang w:val="fr-FR"/>
    </w:rPr>
  </w:style>
  <w:style w:type="character" w:customStyle="1" w:styleId="Titre3demapageCar">
    <w:name w:val="Titre 3 de ma page Car"/>
    <w:basedOn w:val="Titre2demapageCar"/>
    <w:link w:val="Titre3demapage"/>
    <w:rPr>
      <w:rFonts w:ascii="Marianne" w:hAnsi="Marianne"/>
      <w:b w:val="0"/>
      <w:bCs w:val="0"/>
      <w:sz w:val="16"/>
      <w:szCs w:val="16"/>
      <w:lang w:val="fr-FR"/>
    </w:rPr>
  </w:style>
  <w:style w:type="paragraph" w:customStyle="1" w:styleId="Date2">
    <w:name w:val="Date 2"/>
    <w:basedOn w:val="Date1"/>
    <w:next w:val="Corpsdetexte"/>
    <w:link w:val="Date2Car"/>
    <w:qFormat/>
    <w:pPr>
      <w:jc w:val="right"/>
    </w:pPr>
    <w:rPr>
      <w:sz w:val="16"/>
      <w:szCs w:val="16"/>
    </w:rPr>
  </w:style>
  <w:style w:type="paragraph" w:customStyle="1" w:styleId="PieddePage2">
    <w:name w:val="Pied de Page 2"/>
    <w:basedOn w:val="Normal"/>
    <w:next w:val="Corpsdetexte"/>
    <w:link w:val="PieddePage2Car"/>
    <w:qFormat/>
    <w:pPr>
      <w:spacing w:line="161" w:lineRule="exact"/>
    </w:pPr>
    <w:rPr>
      <w:color w:val="939598"/>
      <w:sz w:val="14"/>
    </w:rPr>
  </w:style>
  <w:style w:type="character" w:customStyle="1" w:styleId="Date2Car">
    <w:name w:val="Date 2 Car"/>
    <w:basedOn w:val="dateCar"/>
    <w:link w:val="Date2"/>
    <w:rPr>
      <w:i/>
      <w:color w:val="231F20"/>
      <w:sz w:val="16"/>
      <w:szCs w:val="16"/>
      <w:lang w:val="fr-FR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pPr>
      <w:tabs>
        <w:tab w:val="clear" w:pos="4513"/>
      </w:tabs>
      <w:jc w:val="right"/>
    </w:pPr>
    <w:rPr>
      <w:rFonts w:ascii="Marianne" w:hAnsi="Marianne"/>
      <w:b/>
      <w:bCs/>
    </w:rPr>
  </w:style>
  <w:style w:type="character" w:customStyle="1" w:styleId="PieddePage2Car">
    <w:name w:val="Pied de Page 2 Car"/>
    <w:basedOn w:val="Policepardfaut"/>
    <w:link w:val="PieddePage2"/>
    <w:rPr>
      <w:color w:val="939598"/>
      <w:sz w:val="14"/>
      <w:lang w:val="fr-FR"/>
    </w:rPr>
  </w:style>
  <w:style w:type="character" w:customStyle="1" w:styleId="IntituldirectionCar">
    <w:name w:val="Intitulé direction Car"/>
    <w:basedOn w:val="En-tteCar"/>
    <w:link w:val="Intituldirection"/>
    <w:rPr>
      <w:rFonts w:ascii="Marianne" w:eastAsia="Arial" w:hAnsi="Marianne" w:cs="Arial"/>
      <w:b/>
      <w:bCs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Pr>
      <w:sz w:val="24"/>
      <w:szCs w:val="24"/>
    </w:rPr>
  </w:style>
  <w:style w:type="character" w:customStyle="1" w:styleId="IntituleDirecteurCar">
    <w:name w:val="Intitule Directeur Car"/>
    <w:basedOn w:val="CorpsdetexteCar"/>
    <w:link w:val="IntituleDirecteur"/>
    <w:rPr>
      <w:rFonts w:ascii="Marianne" w:hAnsi="Marianne"/>
      <w:sz w:val="24"/>
      <w:szCs w:val="24"/>
      <w:lang w:val="fr-FR"/>
    </w:rPr>
  </w:style>
  <w:style w:type="paragraph" w:customStyle="1" w:styleId="Pieddepage20">
    <w:name w:val="Pied de page 2"/>
    <w:basedOn w:val="Normal"/>
    <w:next w:val="Corpsdetexte"/>
    <w:link w:val="Pieddepage2Car0"/>
    <w:qFormat/>
    <w:pPr>
      <w:spacing w:line="161" w:lineRule="exact"/>
    </w:pPr>
    <w:rPr>
      <w:color w:val="939598"/>
      <w:sz w:val="14"/>
    </w:rPr>
  </w:style>
  <w:style w:type="character" w:customStyle="1" w:styleId="Pieddepage2Car0">
    <w:name w:val="Pied de page 2 Car"/>
    <w:basedOn w:val="Policepardfaut"/>
    <w:link w:val="Pieddepage20"/>
    <w:rPr>
      <w:color w:val="939598"/>
      <w:sz w:val="14"/>
      <w:lang w:val="fr-FR"/>
    </w:rPr>
  </w:style>
  <w:style w:type="character" w:styleId="Numrodepage">
    <w:name w:val="page number"/>
    <w:basedOn w:val="Policepardfaut"/>
    <w:uiPriority w:val="99"/>
    <w:semiHidden/>
    <w:unhideWhenUsed/>
  </w:style>
  <w:style w:type="character" w:customStyle="1" w:styleId="Mentionnonrsolue1">
    <w:name w:val="Mention non résolue1"/>
    <w:basedOn w:val="Policepardfaut"/>
    <w:uiPriority w:val="99"/>
    <w:semiHidden/>
    <w:unhideWhenUsed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5770BE" w:themeColor="followedHyperlink"/>
      <w:u w:val="single"/>
    </w:rPr>
  </w:style>
  <w:style w:type="table" w:styleId="Grilledutableau">
    <w:name w:val="Table Grid"/>
    <w:basedOn w:val="Tableau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Pr>
      <w:color w:val="605E5C"/>
      <w:shd w:val="clear" w:color="auto" w:fill="E1DFDD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keepNext/>
      <w:keepLines/>
      <w:widowControl/>
      <w:autoSpaceDE/>
      <w:autoSpaceDN/>
      <w:spacing w:line="259" w:lineRule="auto"/>
      <w:outlineLvl w:val="9"/>
    </w:pPr>
    <w:rPr>
      <w:rFonts w:asciiTheme="majorHAnsi" w:eastAsiaTheme="majorEastAsia" w:hAnsiTheme="majorHAnsi" w:cstheme="majorBidi"/>
      <w:b/>
      <w:bCs/>
      <w:color w:val="344E4A" w:themeColor="accent1" w:themeShade="BF"/>
      <w:sz w:val="32"/>
      <w:szCs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pPr>
      <w:widowControl/>
      <w:tabs>
        <w:tab w:val="left" w:pos="1134"/>
        <w:tab w:val="right" w:leader="dot" w:pos="9972"/>
      </w:tabs>
      <w:autoSpaceDE/>
      <w:autoSpaceDN/>
      <w:spacing w:after="100" w:line="259" w:lineRule="auto"/>
      <w:ind w:left="1134" w:hanging="1134"/>
      <w:jc w:val="both"/>
    </w:pPr>
    <w:rPr>
      <w:rFonts w:ascii="Marianne" w:eastAsiaTheme="minorEastAsia" w:hAnsi="Marianne" w:cs="Times New Roman"/>
      <w:b/>
      <w:bCs/>
      <w:i/>
      <w:iCs/>
      <w:noProof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fr-FR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olor w:val="344E4A" w:themeColor="accent1" w:themeShade="BF"/>
      <w:sz w:val="26"/>
      <w:szCs w:val="26"/>
      <w:lang w:val="fr-FR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color w:val="223431" w:themeColor="accent1" w:themeShade="7F"/>
      <w:sz w:val="24"/>
      <w:szCs w:val="24"/>
      <w:lang w:val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i/>
      <w:iCs/>
      <w:color w:val="344E4A" w:themeColor="accent1" w:themeShade="BF"/>
      <w:lang w:val="fr-FR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344E4A" w:themeColor="accent1" w:themeShade="BF"/>
      <w:lang w:val="fr-FR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color w:val="223431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223431" w:themeColor="accent1" w:themeShade="7F"/>
      <w:lang w:val="fr-FR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customStyle="1" w:styleId="MARCHETEXTE">
    <w:name w:val="MARCHE TEXTE"/>
    <w:basedOn w:val="Normal"/>
    <w:link w:val="MARCHETEXTECar"/>
    <w:qFormat/>
    <w:pPr>
      <w:keepLines/>
      <w:widowControl/>
      <w:tabs>
        <w:tab w:val="left" w:pos="567"/>
        <w:tab w:val="left" w:pos="851"/>
        <w:tab w:val="left" w:pos="1134"/>
      </w:tabs>
      <w:autoSpaceDE/>
      <w:autoSpaceDN/>
      <w:spacing w:before="80"/>
      <w:ind w:left="510"/>
      <w:jc w:val="both"/>
    </w:pPr>
    <w:rPr>
      <w:rFonts w:ascii="Marianne" w:eastAsia="Times New Roman" w:hAnsi="Marianne" w:cs="Times New Roman"/>
      <w:sz w:val="16"/>
      <w:szCs w:val="20"/>
      <w:lang w:eastAsia="fr-FR"/>
    </w:rPr>
  </w:style>
  <w:style w:type="character" w:customStyle="1" w:styleId="MARCHETEXTECar">
    <w:name w:val="MARCHE TEXTE Car"/>
    <w:link w:val="MARCHETEXTE"/>
    <w:rPr>
      <w:rFonts w:ascii="Marianne" w:eastAsia="Times New Roman" w:hAnsi="Marianne" w:cs="Times New Roman"/>
      <w:sz w:val="16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F51EC-3CB7-4503-A1B8-7E66A93D6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1718</Words>
  <Characters>9452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Microsoft Office User</dc:creator>
  <cp:lastModifiedBy>GRASSET Severine</cp:lastModifiedBy>
  <cp:revision>8</cp:revision>
  <cp:lastPrinted>2024-10-02T12:46:00Z</cp:lastPrinted>
  <dcterms:created xsi:type="dcterms:W3CDTF">2024-10-29T11:14:00Z</dcterms:created>
  <dcterms:modified xsi:type="dcterms:W3CDTF">2025-02-06T12:59:00Z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