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59" w:lineRule="auto"/>
        <w:ind w:left="180"/>
      </w:pPr>
    </w:p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4044"/>
        <w:gridCol w:w="5498"/>
      </w:tblGrid>
      <w:tr>
        <w:trPr>
          <w:trHeight w:val="6070"/>
        </w:trPr>
        <w:tc>
          <w:tcPr>
            <w:tcW w:w="40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6510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MISSIONS DE CONTROLE TECHNIQUE ET COORDINATION SECURITE PROTECTION DE LA SANTE DU PROJET EXTENSION-RESTRUCTURATION DU SERVICE DE MEDECINE INTENSIVE REANIMATION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gridAfter w:val="10"/>
          <w:wAfter w:w="4200" w:type="dxa"/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18983480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_Toc189834806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0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_Toc189834807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0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_Toc189834808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0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_Toc189834809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–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1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TABLEAUX DES TEMPS D'INTERVENTION ET RÉPARTITION DES HONORAIRES PAR PHASES DE MISSION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_Toc189834819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8983482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2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_Toc189834820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12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189834806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spacing w:line="60" w:lineRule="exact"/>
        <w:rPr>
          <w:rFonts w:asciiTheme="minorHAnsi" w:hAnsiTheme="minorHAnsi" w:cstheme="minorHAnsi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Contrôle Technique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Coordination sécurité et protection de la santé</w:t>
            </w:r>
          </w:p>
        </w:tc>
      </w:tr>
    </w:tbl>
    <w:p>
      <w:pPr>
        <w:rPr>
          <w:rFonts w:asciiTheme="minorHAnsi" w:hAnsiTheme="minorHAnsi" w:cstheme="minorHAnsi"/>
        </w:rPr>
      </w:pPr>
    </w:p>
    <w:p>
      <w:pPr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189834807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de l'acheteur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maître d'œuvre ainsi que ses missions seront précisés ultérieurement.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189834808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189834809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</w:pPr>
      <w:bookmarkStart w:id="8" w:name="ArtL2_AE-3-A4.1"/>
      <w:bookmarkStart w:id="9" w:name="_Toc189834810"/>
      <w:bookmarkEnd w:id="8"/>
      <w:r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  <w:t>4.1 – Objet</w:t>
      </w:r>
      <w:bookmarkEnd w:id="9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réalisation de missions de contrôle technique et coordination sécurité protection de la sante du projet extension-restructuration du service de médecine intensive réanimation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2 lots.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</w:pPr>
      <w:bookmarkStart w:id="10" w:name="ArtL2_AE-3-A4.2"/>
      <w:bookmarkStart w:id="11" w:name="_Toc189834811"/>
      <w:bookmarkEnd w:id="10"/>
      <w:r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  <w:t>4.2 - Mode de passation</w:t>
      </w:r>
      <w:bookmarkEnd w:id="11"/>
    </w:p>
    <w:p>
      <w:pPr>
        <w:rPr>
          <w:rFonts w:eastAsia="Trebuchet MS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</w:pPr>
      <w:bookmarkStart w:id="12" w:name="ArtL2_AE-3-A4.3"/>
      <w:bookmarkStart w:id="13" w:name="_Toc189834812"/>
      <w:bookmarkEnd w:id="12"/>
      <w:r>
        <w:rPr>
          <w:rFonts w:asciiTheme="minorHAnsi" w:eastAsia="Trebuchet MS" w:hAnsiTheme="minorHAnsi" w:cstheme="minorHAnsi"/>
          <w:i w:val="0"/>
          <w:color w:val="000000"/>
          <w:u w:val="single"/>
          <w:lang w:val="fr-FR"/>
        </w:rPr>
        <w:t>4.3 - Forme de contrat</w:t>
      </w:r>
      <w:bookmarkEnd w:id="13"/>
    </w:p>
    <w:p>
      <w:pPr>
        <w:rPr>
          <w:rFonts w:eastAsia="Trebuchet MS"/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189834813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solution de base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Délais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Contrôle Technique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Coordination sécurité et protection de la santé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189834814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prévisionnelle d'exécution des prestations, propre à chaque lot, est de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300"/>
        <w:gridCol w:w="1440"/>
        <w:gridCol w:w="1440"/>
        <w:gridCol w:w="3820"/>
      </w:tblGrid>
      <w:tr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Délai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Date de début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Date de fin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Précisions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14/05/2025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14/05/2032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14/05/2025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14/05/2032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prévisionnelle débutera à compter de la date fixée dans le CCAP.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189834815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189834816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189834817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71631300-3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Services de contrôle technique de bâtiments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71317200-5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Services de santé et de sécurité</w:t>
            </w:r>
          </w:p>
        </w:tc>
      </w:tr>
    </w:tbl>
    <w:p>
      <w:pPr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189834818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18745" cy="11874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Contrôle Technique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18745" cy="11874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Coordination sécurité et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rPr>
          <w:rFonts w:asciiTheme="minorHAnsi" w:hAnsiTheme="minorHAnsi" w:cstheme="minorHAnsi"/>
          <w:lang w:val="fr-FR"/>
        </w:rPr>
      </w:pPr>
    </w:p>
    <w:p>
      <w:pPr>
        <w:rPr>
          <w:rFonts w:asciiTheme="minorHAnsi" w:hAnsiTheme="minorHAnsi" w:cstheme="minorHAnsi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9841" w:type="dxa"/>
        <w:tblLayout w:type="fixed"/>
        <w:tblLook w:val="04A0" w:firstRow="1" w:lastRow="0" w:firstColumn="1" w:lastColumn="0" w:noHBand="0" w:noVBand="1"/>
      </w:tblPr>
      <w:tblGrid>
        <w:gridCol w:w="244"/>
        <w:gridCol w:w="204"/>
        <w:gridCol w:w="9393"/>
      </w:tblGrid>
      <w:tr>
        <w:trPr>
          <w:trHeight w:val="16"/>
        </w:trPr>
        <w:tc>
          <w:tcPr>
            <w:tcW w:w="2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4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trHeight w:val="16"/>
        </w:trPr>
        <w:tc>
          <w:tcPr>
            <w:tcW w:w="2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. . . . . . . . . . . . . . . . . . . . . . . . . . . . . . . . . . . . . . . . . . . . . . . . . . . . . . . . . . . . . . . . . . . . . . . .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Et devant être exécutée par : . . . . . . . . . . . . . . . . . . . . . . en qualité de :</w:t>
      </w:r>
    </w:p>
    <w:p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8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_IRO"/>
      <w:bookmarkStart w:id="27" w:name="ArtL1_A-IRH"/>
      <w:bookmarkStart w:id="28" w:name="_Toc189834819"/>
      <w:bookmarkEnd w:id="26"/>
      <w:bookmarkEnd w:id="27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TABLEAUX DES TEMPS D'INTERVENTION ET RÉPARTITION DES HONORAIRES PAR PHASES DE MISSION</w:t>
      </w:r>
      <w:bookmarkEnd w:id="28"/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Objet du marché : 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réalisation de missions de contrôle technique et coordination sécurité protection de la sante du projet extension-restructuration du service de médecine intensive réanimation</w:t>
      </w:r>
    </w:p>
    <w:p>
      <w:pPr>
        <w:rPr>
          <w:lang w:val="fr-FR"/>
        </w:rPr>
      </w:pPr>
    </w:p>
    <w:p>
      <w:pPr>
        <w:spacing w:after="180"/>
        <w:jc w:val="both"/>
        <w:rPr>
          <w:rFonts w:asciiTheme="minorHAnsi" w:eastAsia="Trebuchet MS" w:hAnsiTheme="minorHAnsi" w:cstheme="minorHAnsi"/>
          <w:b/>
          <w:color w:val="000000"/>
          <w:lang w:val="fr-FR"/>
        </w:rPr>
      </w:pPr>
      <w:bookmarkStart w:id="29" w:name="ArtL1_A_IRH-10771-A2"/>
      <w:bookmarkEnd w:id="29"/>
      <w:r>
        <w:rPr>
          <w:rFonts w:asciiTheme="minorHAnsi" w:eastAsia="Trebuchet MS" w:hAnsiTheme="minorHAnsi" w:cstheme="minorHAnsi"/>
          <w:b/>
          <w:color w:val="000000"/>
          <w:lang w:val="fr-FR"/>
        </w:rPr>
        <w:t>Tableau 1 : Décomposition du temps prévisionnel d'intervention (jours)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Pour le lot n°01 - Contrôle Technique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</w:tr>
      <w:tr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P1 - Examen des documents de conception se concrétisant par l'établissement du rapport initial de contrôle technique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P2 - Examen des documents d'exécution et formulation des avis correspondants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814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P3 - Examen sur chantier des ouvrages et éléments d'équipement soumis au contrôle et formulation des avis correspondants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P4 - Etablissement du rapport final de contrôle technique avant réception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P5 - Examen des travaux effectués pendant la période de garantie de parfait achèvement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Pour le lot n°02 - Coordination sécurité et protection de la santé 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P1 - Phase conception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P2 - Phase réalisation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P3 - Phase après travaux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after="180"/>
        <w:jc w:val="both"/>
        <w:rPr>
          <w:rFonts w:asciiTheme="minorHAnsi" w:eastAsia="Trebuchet MS" w:hAnsiTheme="minorHAnsi" w:cstheme="minorHAnsi"/>
          <w:b/>
          <w:color w:val="000000"/>
          <w:lang w:val="fr-FR"/>
        </w:rPr>
      </w:pPr>
      <w:bookmarkStart w:id="30" w:name="ArtL1_A_IRH-10771-A3"/>
      <w:bookmarkEnd w:id="30"/>
      <w:r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Tableau 2 : Décomposition du prix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Pour le lot n°01 - Contrôle Technique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</w:tr>
      <w:tr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P1 - Examen des documents de conception se concrétisant par l'établissement du rapport initial de contrôle technique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P2 - Examen des documents d'exécution et formulation des avis correspondants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814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P3 - Examen sur chantier des ouvrages et éléments d'équipement soumis au contrôle et formulation des avis correspondants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P4 - Etablissement du rapport final de contrôle technique avant réception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P5 - Examen des travaux effectués pendant la période de garantie de parfait achèvement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tabs>
          <w:tab w:val="left" w:pos="1541"/>
        </w:tabs>
        <w:rPr>
          <w:rFonts w:asciiTheme="minorHAnsi" w:hAnsiTheme="minorHAnsi" w:cstheme="minorHAnsi"/>
        </w:rPr>
      </w:pP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 xml:space="preserve">Pour le lot n°02 - Coordination sécurité et protection de la santé </w:t>
      </w:r>
    </w:p>
    <w:p>
      <w:pPr>
        <w:spacing w:before="80" w:after="20"/>
        <w:ind w:right="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P1 - Phase conception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P2 - Phase réalisation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P3 - Phase après travaux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31" w:name="ArtL1_A-CT"/>
      <w:bookmarkStart w:id="32" w:name="_Toc189834820"/>
      <w:bookmarkEnd w:id="31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2 : DÉSIGNATION DES CO-TRAITANTS ET RÉPARTITION DES PRESTATIONS</w:t>
      </w:r>
      <w:bookmarkEnd w:id="32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0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CT CSPS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CT CSPS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CT CSPS MIR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5D7A30-1217-4D0E-BE6C-7BF6E579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</w:r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1983</Words>
  <Characters>10643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6</cp:revision>
  <dcterms:created xsi:type="dcterms:W3CDTF">2025-02-07T14:27:00Z</dcterms:created>
  <dcterms:modified xsi:type="dcterms:W3CDTF">2025-02-07T14:50:00Z</dcterms:modified>
</cp:coreProperties>
</file>