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F33B9" w:rsidRPr="005C119D" w:rsidRDefault="007F33B9" w:rsidP="007F33B9">
      <w:pPr>
        <w:tabs>
          <w:tab w:val="left" w:pos="851"/>
        </w:tabs>
        <w:spacing w:before="60" w:after="60"/>
        <w:jc w:val="center"/>
        <w:rPr>
          <w:rFonts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7F33B9" w:rsidRPr="005C119D">
        <w:trPr>
          <w:trHeight w:val="1132"/>
        </w:trPr>
        <w:tc>
          <w:tcPr>
            <w:tcW w:w="10434" w:type="dxa"/>
            <w:shd w:val="clear" w:color="auto" w:fill="auto"/>
          </w:tcPr>
          <w:p w:rsidR="007F33B9" w:rsidRPr="005C119D" w:rsidRDefault="00AD0C34" w:rsidP="007F33B9">
            <w:pPr>
              <w:pStyle w:val="Pieddepage"/>
              <w:tabs>
                <w:tab w:val="clear" w:pos="4536"/>
                <w:tab w:val="clear" w:pos="9072"/>
                <w:tab w:val="left" w:pos="851"/>
              </w:tabs>
              <w:jc w:val="center"/>
              <w:rPr>
                <w:rFonts w:cs="Arial"/>
                <w:b/>
                <w:sz w:val="18"/>
                <w:szCs w:val="18"/>
              </w:rPr>
            </w:pPr>
            <w:r w:rsidRPr="005C119D">
              <w:rPr>
                <w:noProof/>
              </w:rPr>
              <w:drawing>
                <wp:inline distT="0" distB="0" distL="0" distR="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rsidR="007F33B9" w:rsidRPr="005C119D" w:rsidRDefault="007F33B9" w:rsidP="007F33B9">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rsidR="007F33B9" w:rsidRPr="005C119D" w:rsidRDefault="007F33B9" w:rsidP="007F33B9">
      <w:pPr>
        <w:tabs>
          <w:tab w:val="left" w:pos="851"/>
        </w:tabs>
        <w:sectPr w:rsidR="007F33B9"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F33B9" w:rsidRPr="005C119D">
        <w:tc>
          <w:tcPr>
            <w:tcW w:w="9002" w:type="dxa"/>
            <w:shd w:val="clear" w:color="auto" w:fill="66CCFF"/>
          </w:tcPr>
          <w:p w:rsidR="007F33B9" w:rsidRPr="005C119D" w:rsidRDefault="007F33B9" w:rsidP="007F33B9">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rsidR="007F33B9" w:rsidRPr="005C119D" w:rsidRDefault="007F33B9" w:rsidP="007F33B9">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rsidR="007F33B9" w:rsidRPr="005C119D" w:rsidRDefault="007F33B9" w:rsidP="007F33B9">
            <w:pPr>
              <w:pStyle w:val="Titre8"/>
              <w:tabs>
                <w:tab w:val="left" w:pos="851"/>
                <w:tab w:val="right" w:pos="9639"/>
              </w:tabs>
              <w:spacing w:before="120" w:after="120"/>
            </w:pPr>
            <w:r w:rsidRPr="005C119D">
              <w:rPr>
                <w:caps/>
                <w:sz w:val="28"/>
                <w:szCs w:val="28"/>
              </w:rPr>
              <w:t>ATTRI1</w:t>
            </w:r>
          </w:p>
        </w:tc>
      </w:tr>
    </w:tbl>
    <w:p w:rsidR="007F33B9" w:rsidRPr="005C119D" w:rsidRDefault="007F33B9" w:rsidP="007F33B9">
      <w:pPr>
        <w:tabs>
          <w:tab w:val="left" w:pos="851"/>
        </w:tabs>
      </w:pPr>
    </w:p>
    <w:p w:rsidR="007F33B9" w:rsidRPr="005C119D" w:rsidRDefault="007F33B9" w:rsidP="007F33B9">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F33B9" w:rsidRPr="005C119D">
        <w:tc>
          <w:tcPr>
            <w:tcW w:w="10277" w:type="dxa"/>
            <w:shd w:val="clear" w:color="auto" w:fill="66CCFF"/>
          </w:tcPr>
          <w:p w:rsidR="007F33B9" w:rsidRPr="005C119D" w:rsidRDefault="007F33B9" w:rsidP="007F33B9">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rsidR="007F33B9" w:rsidRPr="005C119D" w:rsidRDefault="007F33B9" w:rsidP="007F33B9">
      <w:pPr>
        <w:tabs>
          <w:tab w:val="left" w:pos="426"/>
          <w:tab w:val="left" w:pos="851"/>
        </w:tabs>
        <w:jc w:val="both"/>
      </w:pPr>
    </w:p>
    <w:p w:rsidR="007F33B9" w:rsidRPr="005C119D" w:rsidRDefault="007F33B9" w:rsidP="007F33B9">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 xml:space="preserve">Objet </w:t>
      </w:r>
      <w:r w:rsidRPr="005C119D">
        <w:rPr>
          <w:rFonts w:cs="Arial"/>
          <w:bCs/>
        </w:rPr>
        <w:t>du marché ou de l’accord-cadre</w:t>
      </w:r>
      <w:r w:rsidRPr="005C119D">
        <w:rPr>
          <w:rFonts w:cs="Arial"/>
        </w:rPr>
        <w:t>:</w:t>
      </w:r>
    </w:p>
    <w:p w:rsidR="007F33B9" w:rsidRPr="005C119D" w:rsidRDefault="007F33B9" w:rsidP="007F33B9">
      <w:pPr>
        <w:tabs>
          <w:tab w:val="left" w:pos="426"/>
          <w:tab w:val="left" w:pos="851"/>
        </w:tabs>
        <w:jc w:val="both"/>
        <w:rPr>
          <w:rFonts w:cs="Arial"/>
        </w:rPr>
      </w:pPr>
    </w:p>
    <w:p w:rsidR="007F33B9" w:rsidRPr="005409D0" w:rsidRDefault="007F33B9" w:rsidP="007F33B9">
      <w:pPr>
        <w:tabs>
          <w:tab w:val="left" w:pos="426"/>
          <w:tab w:val="left" w:pos="851"/>
        </w:tabs>
        <w:rPr>
          <w:bCs/>
          <w:lang w:val="en-US"/>
        </w:rPr>
      </w:pPr>
      <w:r w:rsidRPr="005409D0">
        <w:rPr>
          <w:bCs/>
          <w:color w:val="000000"/>
          <w:lang w:val="en-US"/>
        </w:rPr>
        <w:t>Travaux de Réaménagement des salles L010/L012 et J04/J06/J08 pour l'université Bordeaux Montaigne</w:t>
      </w:r>
    </w:p>
    <w:p w:rsidR="007F33B9" w:rsidRPr="005409D0" w:rsidRDefault="007F33B9" w:rsidP="007F33B9">
      <w:pPr>
        <w:tabs>
          <w:tab w:val="left" w:pos="426"/>
          <w:tab w:val="left" w:pos="851"/>
        </w:tabs>
        <w:rPr>
          <w:bCs/>
          <w:lang w:val="en-US"/>
        </w:rPr>
      </w:pPr>
    </w:p>
    <w:p w:rsidR="007F33B9" w:rsidRPr="005C119D" w:rsidRDefault="007F33B9" w:rsidP="007F33B9">
      <w:pPr>
        <w:tabs>
          <w:tab w:val="left" w:pos="426"/>
          <w:tab w:val="left" w:pos="851"/>
        </w:tabs>
        <w:rPr>
          <w:bCs/>
        </w:rPr>
      </w:pPr>
      <w:r w:rsidRPr="005C119D">
        <w:rPr>
          <w:bCs/>
        </w:rPr>
        <w:t>Le marché est alloti comme suit:</w:t>
      </w:r>
    </w:p>
    <w:p w:rsidR="007F33B9" w:rsidRPr="005409D0" w:rsidRDefault="007F33B9" w:rsidP="007F33B9">
      <w:pPr>
        <w:tabs>
          <w:tab w:val="left" w:pos="426"/>
          <w:tab w:val="left" w:pos="851"/>
        </w:tabs>
        <w:rPr>
          <w:bCs/>
          <w:lang w:val="en-US"/>
        </w:rPr>
      </w:pPr>
      <w:r w:rsidRPr="005409D0">
        <w:rPr>
          <w:bCs/>
          <w:lang w:val="en-US"/>
        </w:rPr>
        <w:t xml:space="preserve">Lot n° </w:t>
      </w:r>
      <w:r w:rsidRPr="005409D0">
        <w:rPr>
          <w:bCs/>
          <w:color w:val="000000"/>
          <w:lang w:val="en-US"/>
        </w:rPr>
        <w:t>1</w:t>
      </w:r>
      <w:r w:rsidRPr="005409D0">
        <w:rPr>
          <w:bCs/>
          <w:lang w:val="en-US"/>
        </w:rPr>
        <w:t xml:space="preserve">: </w:t>
      </w:r>
      <w:r w:rsidRPr="005409D0">
        <w:rPr>
          <w:bCs/>
          <w:color w:val="000000"/>
          <w:lang w:val="en-US"/>
        </w:rPr>
        <w:t xml:space="preserve">Lot 01 – GROS ŒUVRE, SECOND ŒUVRE  </w:t>
      </w:r>
    </w:p>
    <w:p w:rsidR="007F33B9" w:rsidRPr="005409D0" w:rsidRDefault="007F33B9" w:rsidP="007F33B9">
      <w:pPr>
        <w:tabs>
          <w:tab w:val="left" w:pos="426"/>
          <w:tab w:val="left" w:pos="851"/>
        </w:tabs>
        <w:rPr>
          <w:bCs/>
          <w:lang w:val="en-US"/>
        </w:rPr>
      </w:pPr>
      <w:r w:rsidRPr="005409D0">
        <w:rPr>
          <w:bCs/>
          <w:lang w:val="en-US"/>
        </w:rPr>
        <w:t xml:space="preserve">Lot n° </w:t>
      </w:r>
      <w:r w:rsidRPr="005409D0">
        <w:rPr>
          <w:bCs/>
          <w:color w:val="000000"/>
          <w:lang w:val="en-US"/>
        </w:rPr>
        <w:t>2</w:t>
      </w:r>
      <w:r w:rsidRPr="005409D0">
        <w:rPr>
          <w:bCs/>
          <w:lang w:val="en-US"/>
        </w:rPr>
        <w:t xml:space="preserve">: </w:t>
      </w:r>
      <w:r w:rsidRPr="005409D0">
        <w:rPr>
          <w:bCs/>
          <w:color w:val="000000"/>
          <w:lang w:val="en-US"/>
        </w:rPr>
        <w:t>Lot 02 – CVC, ELECTRICITE</w:t>
      </w:r>
    </w:p>
    <w:p w:rsidR="007F33B9" w:rsidRPr="005409D0" w:rsidRDefault="007F33B9" w:rsidP="007F33B9">
      <w:pPr>
        <w:tabs>
          <w:tab w:val="left" w:pos="426"/>
          <w:tab w:val="left" w:pos="851"/>
        </w:tabs>
        <w:jc w:val="both"/>
        <w:rPr>
          <w:rFonts w:cs="Arial"/>
          <w:lang w:val="en-US"/>
        </w:rPr>
      </w:pPr>
    </w:p>
    <w:p w:rsidR="007F33B9" w:rsidRPr="005C119D" w:rsidRDefault="007F33B9" w:rsidP="007F33B9">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 acte d'engagement correspond :</w:t>
      </w:r>
    </w:p>
    <w:p w:rsidR="007F33B9" w:rsidRPr="005C119D" w:rsidRDefault="007F33B9" w:rsidP="007F33B9">
      <w:pPr>
        <w:tabs>
          <w:tab w:val="left" w:pos="851"/>
        </w:tabs>
        <w:rPr>
          <w:rFonts w:cs="Arial"/>
        </w:rPr>
      </w:pPr>
      <w:r w:rsidRPr="005C119D">
        <w:rPr>
          <w:rFonts w:cs="Arial"/>
          <w:i/>
          <w:sz w:val="18"/>
          <w:szCs w:val="18"/>
        </w:rPr>
        <w:t>(Cocher les cases correspondantes.)</w:t>
      </w:r>
    </w:p>
    <w:bookmarkStart w:id="1" w:name="_Hlk496879777"/>
    <w:p w:rsidR="007F33B9" w:rsidRPr="005C119D" w:rsidRDefault="007F33B9" w:rsidP="007F33B9">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ab/>
      </w:r>
      <w:r w:rsidRPr="005C119D">
        <w:t>à l’ensemble du marché ou de l’accord-cadre</w:t>
      </w:r>
    </w:p>
    <w:p w:rsidR="007F33B9" w:rsidRPr="005C119D" w:rsidRDefault="007F33B9" w:rsidP="007F33B9">
      <w:pPr>
        <w:pStyle w:val="fcasegauche"/>
        <w:tabs>
          <w:tab w:val="left" w:pos="851"/>
        </w:tabs>
        <w:spacing w:after="0"/>
        <w:ind w:left="1134" w:firstLine="0"/>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ab/>
        <w:t>au lot n°</w:t>
      </w:r>
      <w:r w:rsidRPr="005C119D">
        <w:rPr>
          <w:rFonts w:cs="Arial"/>
          <w:bCs/>
          <w:iCs/>
          <w:color w:val="000000"/>
        </w:rPr>
        <w:t>1</w:t>
      </w:r>
      <w:r w:rsidRPr="005C119D">
        <w:rPr>
          <w:rFonts w:cs="Arial"/>
          <w:bCs/>
          <w:iCs/>
        </w:rPr>
        <w:t xml:space="preserve">: </w:t>
      </w:r>
      <w:r w:rsidRPr="005C119D">
        <w:rPr>
          <w:rFonts w:cs="Arial"/>
          <w:bCs/>
          <w:iCs/>
          <w:color w:val="000000"/>
        </w:rPr>
        <w:t xml:space="preserve">Lot 01 – GROS ŒUVRE, SECOND ŒUVRE  </w:t>
      </w:r>
    </w:p>
    <w:p w:rsidR="007F33B9" w:rsidRPr="005C119D" w:rsidRDefault="007F33B9" w:rsidP="007F33B9">
      <w:pPr>
        <w:pStyle w:val="fcasegauche"/>
        <w:tabs>
          <w:tab w:val="left" w:pos="851"/>
        </w:tabs>
        <w:spacing w:after="0"/>
        <w:ind w:left="1134" w:firstLine="0"/>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ab/>
        <w:t>au lot n°</w:t>
      </w:r>
      <w:r w:rsidRPr="005C119D">
        <w:rPr>
          <w:rFonts w:cs="Arial"/>
          <w:bCs/>
          <w:iCs/>
          <w:color w:val="000000"/>
        </w:rPr>
        <w:t>2</w:t>
      </w:r>
      <w:r w:rsidRPr="005C119D">
        <w:rPr>
          <w:rFonts w:cs="Arial"/>
          <w:bCs/>
          <w:iCs/>
        </w:rPr>
        <w:t xml:space="preserve">: </w:t>
      </w:r>
      <w:r w:rsidRPr="005C119D">
        <w:rPr>
          <w:rFonts w:cs="Arial"/>
          <w:bCs/>
          <w:iCs/>
          <w:color w:val="000000"/>
        </w:rPr>
        <w:t>Lot 02 – CVC, ELECTRICITE</w:t>
      </w:r>
    </w:p>
    <w:p w:rsidR="007F33B9" w:rsidRPr="005C119D" w:rsidRDefault="007F33B9" w:rsidP="007F33B9">
      <w:pPr>
        <w:pStyle w:val="fcasegauche"/>
        <w:tabs>
          <w:tab w:val="left" w:pos="851"/>
        </w:tabs>
        <w:spacing w:after="0"/>
        <w:ind w:left="0" w:firstLine="0"/>
        <w:rPr>
          <w:rFonts w:cs="Arial"/>
        </w:rPr>
      </w:pPr>
    </w:p>
    <w:p w:rsidR="007F33B9" w:rsidRPr="005C119D" w:rsidRDefault="007F33B9" w:rsidP="007F33B9">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ab/>
        <w:t>à l’offre de base.</w:t>
      </w:r>
    </w:p>
    <w:bookmarkEnd w:id="1"/>
    <w:p w:rsidR="007F33B9" w:rsidRPr="005C119D" w:rsidRDefault="007F33B9" w:rsidP="007F33B9">
      <w:pPr>
        <w:tabs>
          <w:tab w:val="left" w:pos="851"/>
        </w:tabs>
      </w:pPr>
    </w:p>
    <w:p w:rsidR="007F33B9" w:rsidRPr="005C119D" w:rsidRDefault="007F33B9" w:rsidP="007F33B9">
      <w:pPr>
        <w:tabs>
          <w:tab w:val="left" w:pos="851"/>
        </w:tabs>
      </w:pPr>
    </w:p>
    <w:p w:rsidR="007F33B9" w:rsidRPr="005C119D" w:rsidRDefault="007F33B9" w:rsidP="007F33B9">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F33B9" w:rsidRPr="005C119D">
        <w:tc>
          <w:tcPr>
            <w:tcW w:w="10277" w:type="dxa"/>
            <w:shd w:val="clear" w:color="auto" w:fill="66CCFF"/>
          </w:tcPr>
          <w:p w:rsidR="007F33B9" w:rsidRPr="005C119D" w:rsidRDefault="007F33B9" w:rsidP="007F33B9">
            <w:pPr>
              <w:tabs>
                <w:tab w:val="left" w:pos="-142"/>
                <w:tab w:val="left" w:pos="851"/>
                <w:tab w:val="left" w:pos="4111"/>
              </w:tabs>
              <w:jc w:val="both"/>
            </w:pPr>
            <w:r w:rsidRPr="005C119D">
              <w:rPr>
                <w:rFonts w:cs="Arial"/>
                <w:b/>
                <w:sz w:val="22"/>
                <w:szCs w:val="22"/>
              </w:rPr>
              <w:t>B - Engagement du titulaire ou du groupement titulaire.</w:t>
            </w:r>
          </w:p>
        </w:tc>
      </w:tr>
    </w:tbl>
    <w:p w:rsidR="007F33B9" w:rsidRPr="005C119D" w:rsidRDefault="007F33B9" w:rsidP="007F33B9">
      <w:pPr>
        <w:tabs>
          <w:tab w:val="left" w:pos="851"/>
        </w:tabs>
      </w:pPr>
    </w:p>
    <w:p w:rsidR="007F33B9" w:rsidRPr="005C119D" w:rsidRDefault="007F33B9" w:rsidP="007F33B9">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rsidR="007F33B9" w:rsidRPr="005C119D" w:rsidRDefault="007F33B9" w:rsidP="007F33B9">
      <w:pPr>
        <w:pStyle w:val="fcase1ertab"/>
        <w:tabs>
          <w:tab w:val="left" w:pos="851"/>
        </w:tabs>
        <w:rPr>
          <w:rFonts w:cs="Arial"/>
        </w:rPr>
      </w:pPr>
      <w:r w:rsidRPr="005C119D">
        <w:rPr>
          <w:rFonts w:cs="Arial"/>
          <w:i/>
          <w:iCs/>
          <w:sz w:val="18"/>
          <w:szCs w:val="18"/>
        </w:rPr>
        <w:t>(Cocher les cases correspondantes.)</w:t>
      </w:r>
    </w:p>
    <w:p w:rsidR="007F33B9" w:rsidRPr="005C119D" w:rsidRDefault="007F33B9" w:rsidP="007F33B9">
      <w:pPr>
        <w:tabs>
          <w:tab w:val="left" w:pos="851"/>
        </w:tabs>
        <w:rPr>
          <w:rFonts w:cs="Arial"/>
        </w:rPr>
      </w:pPr>
    </w:p>
    <w:p w:rsidR="007F33B9" w:rsidRPr="005C119D" w:rsidRDefault="007F33B9" w:rsidP="007F33B9">
      <w:pPr>
        <w:tabs>
          <w:tab w:val="left" w:pos="851"/>
        </w:tabs>
        <w:jc w:val="both"/>
      </w:pPr>
      <w:r w:rsidRPr="005C119D">
        <w:rPr>
          <w:rFonts w:cs="Arial"/>
        </w:rPr>
        <w:t>Après avoir pris connaissance des pièces constitutives du marché ou de l’accord-cadre suivantes :</w:t>
      </w:r>
    </w:p>
    <w:p w:rsidR="007F33B9" w:rsidRPr="005C119D" w:rsidRDefault="007F33B9" w:rsidP="007F33B9">
      <w:pPr>
        <w:tabs>
          <w:tab w:val="left" w:pos="851"/>
        </w:tabs>
        <w:jc w:val="both"/>
        <w:rPr>
          <w:rFonts w:cs="Arial"/>
        </w:rPr>
      </w:pPr>
      <w:r w:rsidRPr="005C119D">
        <w:rPr>
          <w:rFonts w:cs="Arial"/>
          <w:color w:val="000000"/>
        </w:rPr>
        <w:t>-  L'acte d'engagement (formulaire ATTRI1) du présent marché</w:t>
      </w:r>
    </w:p>
    <w:p w:rsidR="007F33B9" w:rsidRPr="005C119D" w:rsidRDefault="007F33B9" w:rsidP="007F33B9">
      <w:pPr>
        <w:tabs>
          <w:tab w:val="left" w:pos="851"/>
        </w:tabs>
        <w:jc w:val="both"/>
        <w:rPr>
          <w:rFonts w:cs="Arial"/>
        </w:rPr>
      </w:pPr>
      <w:r w:rsidRPr="005C119D">
        <w:rPr>
          <w:rFonts w:cs="Arial"/>
          <w:color w:val="000000"/>
        </w:rPr>
        <w:t>- Le présent Cahier des Clauses Administratives Particulières (CCAP). Seul l'exemplaire conservé par l'administration  fait foi;</w:t>
      </w:r>
    </w:p>
    <w:p w:rsidR="007F33B9" w:rsidRPr="005C119D" w:rsidRDefault="007F33B9" w:rsidP="007F33B9">
      <w:pPr>
        <w:tabs>
          <w:tab w:val="left" w:pos="851"/>
        </w:tabs>
        <w:jc w:val="both"/>
        <w:rPr>
          <w:rFonts w:cs="Arial"/>
        </w:rPr>
      </w:pPr>
      <w:r w:rsidRPr="005C119D">
        <w:rPr>
          <w:rFonts w:cs="Arial"/>
          <w:color w:val="000000"/>
        </w:rPr>
        <w:t>- Le Cahier des Clauses Techniques Particulières (CCTP). Seul l'exemplaire conservé par l'administration fait foi;</w:t>
      </w:r>
    </w:p>
    <w:p w:rsidR="007F33B9" w:rsidRPr="005C119D" w:rsidRDefault="007F33B9" w:rsidP="007F33B9">
      <w:pPr>
        <w:tabs>
          <w:tab w:val="left" w:pos="851"/>
        </w:tabs>
        <w:jc w:val="both"/>
        <w:rPr>
          <w:rFonts w:cs="Arial"/>
        </w:rPr>
      </w:pPr>
      <w:r w:rsidRPr="005C119D">
        <w:rPr>
          <w:rFonts w:cs="Arial"/>
          <w:color w:val="000000"/>
        </w:rPr>
        <w:t>- Le Cahier des Clauses Administratives Générales applicable aux marchés de travaux (CCAG Travaux) (*)</w:t>
      </w:r>
    </w:p>
    <w:p w:rsidR="007F33B9" w:rsidRPr="005C119D" w:rsidRDefault="007F33B9" w:rsidP="007F33B9">
      <w:pPr>
        <w:tabs>
          <w:tab w:val="left" w:pos="851"/>
        </w:tabs>
        <w:jc w:val="both"/>
        <w:rPr>
          <w:rFonts w:cs="Arial"/>
        </w:rPr>
      </w:pPr>
      <w:r w:rsidRPr="005C119D">
        <w:rPr>
          <w:rFonts w:cs="Arial"/>
          <w:color w:val="000000"/>
        </w:rPr>
        <w:t>- Le Cahier des Clauses Techniques Générales (CCTG) applicable aux prestations, objet du marché (*)</w:t>
      </w:r>
    </w:p>
    <w:p w:rsidR="007F33B9" w:rsidRPr="005C119D" w:rsidRDefault="007F33B9" w:rsidP="007F33B9">
      <w:pPr>
        <w:tabs>
          <w:tab w:val="left" w:pos="851"/>
        </w:tabs>
        <w:jc w:val="both"/>
        <w:rPr>
          <w:rFonts w:cs="Arial"/>
        </w:rPr>
      </w:pPr>
      <w:r w:rsidRPr="005C119D">
        <w:rPr>
          <w:rFonts w:cs="Arial"/>
          <w:color w:val="000000"/>
        </w:rPr>
        <w:t>- La Décomposition du Prix Global et Forfaitaire (DPGF)</w:t>
      </w:r>
    </w:p>
    <w:p w:rsidR="007F33B9" w:rsidRPr="005C119D" w:rsidRDefault="007F33B9" w:rsidP="007F33B9">
      <w:pPr>
        <w:tabs>
          <w:tab w:val="left" w:pos="851"/>
        </w:tabs>
        <w:jc w:val="both"/>
        <w:rPr>
          <w:rFonts w:cs="Arial"/>
        </w:rPr>
      </w:pPr>
      <w:r w:rsidRPr="005C119D">
        <w:rPr>
          <w:rFonts w:cs="Arial"/>
          <w:color w:val="000000"/>
        </w:rPr>
        <w:t>- Le cadre de réponse technique de chacun des lots</w:t>
      </w:r>
      <w:r w:rsidR="00AD4F74">
        <w:rPr>
          <w:rFonts w:cs="Arial"/>
          <w:color w:val="000000"/>
        </w:rPr>
        <w:t xml:space="preserve"> et leurs annexes </w:t>
      </w:r>
      <w:r w:rsidRPr="005C119D">
        <w:rPr>
          <w:rFonts w:cs="Arial"/>
          <w:color w:val="000000"/>
        </w:rPr>
        <w:t>;</w:t>
      </w:r>
    </w:p>
    <w:p w:rsidR="00AD4F74" w:rsidRPr="00AD4F74" w:rsidRDefault="00AD4F74" w:rsidP="00AD4F74">
      <w:pPr>
        <w:tabs>
          <w:tab w:val="left" w:pos="851"/>
        </w:tabs>
        <w:jc w:val="both"/>
        <w:rPr>
          <w:rFonts w:cs="Arial"/>
          <w:color w:val="000000"/>
        </w:rPr>
      </w:pPr>
      <w:r>
        <w:rPr>
          <w:rFonts w:cs="Arial"/>
          <w:color w:val="000000"/>
        </w:rPr>
        <w:t xml:space="preserve">- </w:t>
      </w:r>
      <w:r w:rsidRPr="00AD4F74">
        <w:rPr>
          <w:rFonts w:cs="Arial"/>
          <w:color w:val="000000"/>
        </w:rPr>
        <w:t>Annexe 1 - Étude éclairement Salle L010 &amp; L012</w:t>
      </w:r>
    </w:p>
    <w:p w:rsidR="00AD4F74" w:rsidRPr="00AD4F74" w:rsidRDefault="00AD4F74" w:rsidP="00AD4F74">
      <w:pPr>
        <w:tabs>
          <w:tab w:val="left" w:pos="851"/>
        </w:tabs>
        <w:jc w:val="both"/>
        <w:rPr>
          <w:rFonts w:cs="Arial"/>
          <w:color w:val="000000"/>
        </w:rPr>
      </w:pPr>
      <w:r w:rsidRPr="00AD4F74">
        <w:rPr>
          <w:rFonts w:cs="Arial"/>
          <w:color w:val="000000"/>
        </w:rPr>
        <w:t>- Annexe 2 - Rapport Amiante Arcalia 30-12-2016 - n°6422574-1-1-6 Bâtiment L</w:t>
      </w:r>
    </w:p>
    <w:p w:rsidR="00AD4F74" w:rsidRPr="00AD4F74" w:rsidRDefault="00AD4F74" w:rsidP="00AD4F74">
      <w:pPr>
        <w:tabs>
          <w:tab w:val="left" w:pos="851"/>
        </w:tabs>
        <w:jc w:val="both"/>
        <w:rPr>
          <w:rFonts w:cs="Arial"/>
          <w:color w:val="000000"/>
        </w:rPr>
      </w:pPr>
      <w:r w:rsidRPr="00AD4F74">
        <w:rPr>
          <w:rFonts w:cs="Arial"/>
          <w:color w:val="000000"/>
        </w:rPr>
        <w:t>- Annexe 3 - Diagnostic BA - monte charge</w:t>
      </w:r>
    </w:p>
    <w:p w:rsidR="00AD4F74" w:rsidRPr="00AD4F74" w:rsidRDefault="00AD4F74" w:rsidP="00AD4F74">
      <w:pPr>
        <w:tabs>
          <w:tab w:val="left" w:pos="851"/>
        </w:tabs>
        <w:jc w:val="both"/>
        <w:rPr>
          <w:rFonts w:cs="Arial"/>
          <w:color w:val="000000"/>
        </w:rPr>
      </w:pPr>
      <w:r w:rsidRPr="00AD4F74">
        <w:rPr>
          <w:rFonts w:cs="Arial"/>
          <w:color w:val="000000"/>
        </w:rPr>
        <w:t>- Annexe 4 - Plan Général de Coordination (PGC)</w:t>
      </w:r>
    </w:p>
    <w:p w:rsidR="00AD4F74" w:rsidRPr="00AD4F74" w:rsidRDefault="00AD4F74" w:rsidP="00AD4F74">
      <w:pPr>
        <w:tabs>
          <w:tab w:val="left" w:pos="851"/>
        </w:tabs>
        <w:jc w:val="both"/>
        <w:rPr>
          <w:rFonts w:cs="Arial"/>
          <w:color w:val="000000"/>
        </w:rPr>
      </w:pPr>
      <w:r w:rsidRPr="00AD4F74">
        <w:rPr>
          <w:rFonts w:cs="Arial"/>
          <w:color w:val="000000"/>
        </w:rPr>
        <w:t>- Annexe 5 - Rapport Initial de Contrôle Technique (RICT)</w:t>
      </w:r>
    </w:p>
    <w:p w:rsidR="00AD4F74" w:rsidRPr="00AD4F74" w:rsidRDefault="00AD4F74" w:rsidP="00AD4F74">
      <w:pPr>
        <w:tabs>
          <w:tab w:val="left" w:pos="851"/>
        </w:tabs>
        <w:jc w:val="both"/>
        <w:rPr>
          <w:rFonts w:cs="Arial"/>
          <w:color w:val="000000"/>
        </w:rPr>
      </w:pPr>
      <w:r w:rsidRPr="00AD4F74">
        <w:rPr>
          <w:rFonts w:cs="Arial"/>
          <w:color w:val="000000"/>
        </w:rPr>
        <w:t>- Le carnet de plans ;</w:t>
      </w:r>
    </w:p>
    <w:p w:rsidR="00AD4F74" w:rsidRPr="00AD4F74" w:rsidRDefault="00AD4F74" w:rsidP="00AD4F74">
      <w:pPr>
        <w:tabs>
          <w:tab w:val="left" w:pos="851"/>
        </w:tabs>
        <w:jc w:val="both"/>
        <w:rPr>
          <w:rFonts w:cs="Arial"/>
          <w:color w:val="000000"/>
        </w:rPr>
      </w:pPr>
      <w:r w:rsidRPr="00AD4F74">
        <w:rPr>
          <w:rFonts w:cs="Arial"/>
          <w:color w:val="000000"/>
        </w:rPr>
        <w:t>- Le planning prévisionnel d’exécution ;</w:t>
      </w:r>
    </w:p>
    <w:p w:rsidR="007F33B9" w:rsidRPr="005C119D" w:rsidRDefault="007F33B9" w:rsidP="007F33B9">
      <w:pPr>
        <w:tabs>
          <w:tab w:val="left" w:pos="851"/>
        </w:tabs>
        <w:jc w:val="both"/>
        <w:rPr>
          <w:rFonts w:cs="Arial"/>
        </w:rPr>
      </w:pPr>
      <w:r w:rsidRPr="005C119D">
        <w:rPr>
          <w:rFonts w:cs="Arial"/>
          <w:color w:val="000000"/>
        </w:rPr>
        <w:t>- Les actes spéciaux de sous-traitance et leurs éventuels actes modificatifs, postérieurs à la notification du marché</w:t>
      </w: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r w:rsidRPr="005C119D">
        <w:rPr>
          <w:rFonts w:cs="Arial"/>
          <w:color w:val="000000"/>
        </w:rPr>
        <w:lastRenderedPageBreak/>
        <w:t>(*) Ces documents sont des documents généraux que le titulaire peut se procurer sur le site internet de la Direction des Affaires Juridiques du Ministère chargé de l’économie.</w:t>
      </w:r>
    </w:p>
    <w:p w:rsidR="007F33B9" w:rsidRPr="005C119D" w:rsidRDefault="007F33B9" w:rsidP="007F33B9">
      <w:pPr>
        <w:tabs>
          <w:tab w:val="left" w:pos="851"/>
        </w:tabs>
        <w:jc w:val="both"/>
      </w:pP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r w:rsidRPr="005C119D">
        <w:rPr>
          <w:rFonts w:cs="Arial"/>
        </w:rPr>
        <w:t>et conformément à leurs clauses,</w:t>
      </w:r>
    </w:p>
    <w:p w:rsidR="007F33B9" w:rsidRPr="005C119D" w:rsidRDefault="007F33B9" w:rsidP="007F33B9">
      <w:pPr>
        <w:tabs>
          <w:tab w:val="left" w:pos="851"/>
        </w:tabs>
        <w:jc w:val="both"/>
        <w:rPr>
          <w:rFonts w:cs="Arial"/>
        </w:rPr>
      </w:pPr>
    </w:p>
    <w:p w:rsidR="007F33B9" w:rsidRPr="005C119D" w:rsidRDefault="007F33B9" w:rsidP="007F33B9">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Le signataire</w:t>
      </w:r>
    </w:p>
    <w:p w:rsidR="007F33B9" w:rsidRPr="005C119D" w:rsidRDefault="007F33B9" w:rsidP="007F33B9">
      <w:pPr>
        <w:tabs>
          <w:tab w:val="left" w:pos="851"/>
        </w:tabs>
        <w:jc w:val="both"/>
        <w:rPr>
          <w:rFonts w:cs="Arial"/>
        </w:rPr>
      </w:pPr>
    </w:p>
    <w:p w:rsidR="007F33B9" w:rsidRPr="005C119D" w:rsidRDefault="007F33B9" w:rsidP="007F33B9">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s’engage, sur la base de son offre et pour son propre compte ;</w:t>
      </w:r>
    </w:p>
    <w:p w:rsidR="007F33B9" w:rsidRPr="005C119D" w:rsidRDefault="007F33B9" w:rsidP="007F33B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p>
    <w:p w:rsidR="007F33B9" w:rsidRPr="005C119D" w:rsidRDefault="007F33B9" w:rsidP="007F33B9">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engage la société ……………………… sur la base de son offre ;</w:t>
      </w:r>
    </w:p>
    <w:p w:rsidR="007F33B9" w:rsidRPr="005C119D" w:rsidRDefault="007F33B9" w:rsidP="007F33B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p>
    <w:p w:rsidR="007F33B9" w:rsidRPr="005C119D" w:rsidRDefault="007F33B9" w:rsidP="007F33B9">
      <w:pPr>
        <w:tabs>
          <w:tab w:val="left" w:pos="851"/>
        </w:tabs>
        <w:jc w:val="both"/>
        <w:rPr>
          <w:rFonts w:cs="Arial"/>
        </w:rPr>
      </w:pPr>
    </w:p>
    <w:p w:rsidR="007F33B9" w:rsidRPr="005C119D" w:rsidRDefault="007F33B9" w:rsidP="007F33B9">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L’ensemble des membres du groupement s’engagent, sur la base de l’offre du groupement ;</w:t>
      </w:r>
    </w:p>
    <w:p w:rsidR="007F33B9" w:rsidRPr="005C119D" w:rsidRDefault="007F33B9" w:rsidP="007F33B9">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rsidR="007F33B9" w:rsidRPr="005C119D" w:rsidRDefault="007F33B9" w:rsidP="007F33B9">
      <w:pPr>
        <w:pStyle w:val="Titre1"/>
        <w:keepNext w:val="0"/>
        <w:numPr>
          <w:ilvl w:val="0"/>
          <w:numId w:val="0"/>
        </w:numPr>
        <w:rPr>
          <w:rFonts w:ascii="Arial" w:hAnsi="Arial" w:cs="Arial"/>
          <w:bCs/>
          <w:highlight w:val="green"/>
        </w:rPr>
      </w:pPr>
    </w:p>
    <w:p w:rsidR="007F33B9" w:rsidRPr="005409D0" w:rsidRDefault="007F33B9" w:rsidP="007F33B9">
      <w:pPr>
        <w:pStyle w:val="fcasegauche"/>
        <w:tabs>
          <w:tab w:val="left" w:pos="851"/>
        </w:tabs>
        <w:spacing w:after="0"/>
        <w:rPr>
          <w:b/>
          <w:lang w:val="en-US"/>
        </w:rPr>
      </w:pPr>
    </w:p>
    <w:p w:rsidR="007F33B9" w:rsidRPr="005409D0" w:rsidRDefault="007F33B9" w:rsidP="007F33B9">
      <w:pPr>
        <w:pStyle w:val="fcasegauche"/>
        <w:tabs>
          <w:tab w:val="left" w:pos="851"/>
        </w:tabs>
        <w:spacing w:after="0"/>
        <w:rPr>
          <w:rFonts w:cs="Arial"/>
          <w:b/>
          <w:lang w:val="en-US"/>
        </w:rPr>
      </w:pPr>
      <w:r w:rsidRPr="005409D0">
        <w:rPr>
          <w:b/>
          <w:lang w:val="en-US"/>
        </w:rPr>
        <w:t>L</w:t>
      </w:r>
      <w:r w:rsidRPr="005409D0">
        <w:rPr>
          <w:rFonts w:cs="Arial"/>
          <w:b/>
          <w:lang w:val="en-US"/>
        </w:rPr>
        <w:t>ot n°</w:t>
      </w:r>
      <w:r w:rsidRPr="005409D0">
        <w:rPr>
          <w:rFonts w:cs="Arial"/>
          <w:b/>
          <w:bCs/>
          <w:iCs/>
          <w:color w:val="000000"/>
          <w:lang w:val="en-US"/>
        </w:rPr>
        <w:t>1</w:t>
      </w:r>
      <w:r w:rsidRPr="005409D0">
        <w:rPr>
          <w:rFonts w:cs="Arial"/>
          <w:b/>
          <w:bCs/>
          <w:iCs/>
          <w:lang w:val="en-US"/>
        </w:rPr>
        <w:t xml:space="preserve">: </w:t>
      </w:r>
      <w:r w:rsidRPr="005409D0">
        <w:rPr>
          <w:rFonts w:cs="Arial"/>
          <w:b/>
          <w:bCs/>
          <w:iCs/>
          <w:color w:val="000000"/>
          <w:lang w:val="en-US"/>
        </w:rPr>
        <w:t xml:space="preserve">Lot 01 – GROS ŒUVRE, SECOND ŒUVRE  </w:t>
      </w:r>
    </w:p>
    <w:p w:rsidR="007F33B9" w:rsidRPr="005409D0" w:rsidRDefault="007F33B9" w:rsidP="007F33B9">
      <w:pPr>
        <w:pStyle w:val="fcase1ertab"/>
        <w:tabs>
          <w:tab w:val="left" w:pos="851"/>
        </w:tabs>
        <w:ind w:left="0" w:firstLine="0"/>
        <w:rPr>
          <w:rFonts w:cs="Arial"/>
          <w:lang w:val="en-US"/>
        </w:rPr>
      </w:pPr>
    </w:p>
    <w:p w:rsidR="007F33B9" w:rsidRPr="005C119D" w:rsidRDefault="007F33B9" w:rsidP="007F33B9">
      <w:pPr>
        <w:pStyle w:val="fcase1ertab"/>
        <w:tabs>
          <w:tab w:val="left" w:pos="851"/>
        </w:tabs>
        <w:ind w:left="0" w:firstLine="0"/>
        <w:rPr>
          <w:rFonts w:cs="Arial"/>
        </w:rPr>
      </w:pPr>
      <w:r w:rsidRPr="005C119D">
        <w:rPr>
          <w:rFonts w:cs="Arial"/>
        </w:rPr>
        <w:t>à exécuter les prestations demandées :</w:t>
      </w:r>
    </w:p>
    <w:p w:rsidR="007F33B9" w:rsidRPr="005C119D" w:rsidRDefault="007F33B9" w:rsidP="007F33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aux prix indiqués ci-dessous ;</w:t>
      </w:r>
    </w:p>
    <w:p w:rsidR="007F33B9" w:rsidRPr="005C119D" w:rsidRDefault="007F33B9" w:rsidP="007F33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Taux de la TVA : </w:t>
      </w:r>
    </w:p>
    <w:p w:rsidR="007F33B9" w:rsidRPr="005C119D" w:rsidRDefault="007F33B9" w:rsidP="007F33B9">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Montant hors taxes</w:t>
      </w:r>
      <w:r w:rsidRPr="005C119D">
        <w:rPr>
          <w:rStyle w:val="Caractresdenotedebasdepage"/>
        </w:rPr>
        <w:footnoteReference w:id="2"/>
      </w:r>
      <w:r w:rsidRPr="005C119D">
        <w:rPr>
          <w:rStyle w:val="Caractresdenotedebasdepage"/>
        </w:rPr>
        <w:t> </w:t>
      </w:r>
      <w:r w:rsidRPr="005C119D">
        <w:t xml:space="preserve">: </w:t>
      </w:r>
    </w:p>
    <w:p w:rsidR="007F33B9" w:rsidRPr="005C119D" w:rsidRDefault="007F33B9" w:rsidP="007F33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rsidR="007F33B9" w:rsidRPr="005C119D" w:rsidRDefault="007F33B9" w:rsidP="007F33B9">
      <w:pPr>
        <w:pStyle w:val="fcase1ertab"/>
        <w:tabs>
          <w:tab w:val="left" w:pos="851"/>
        </w:tabs>
        <w:spacing w:before="120"/>
        <w:ind w:left="0" w:firstLine="0"/>
      </w:pPr>
      <w:r w:rsidRPr="005C119D">
        <w:rPr>
          <w:rFonts w:cs="Arial"/>
        </w:rPr>
        <w:t>Montant hors taxes arrêté en lettres à : ………………………………………………………...................................</w:t>
      </w:r>
    </w:p>
    <w:p w:rsidR="007F33B9" w:rsidRPr="005C119D" w:rsidRDefault="007F33B9" w:rsidP="007F33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Montant TTC</w:t>
      </w:r>
      <w:r w:rsidRPr="005C119D">
        <w:rPr>
          <w:rStyle w:val="Caractresdenotedebasdepage"/>
        </w:rPr>
        <w:footnoteReference w:customMarkFollows="1" w:id="3"/>
        <w:t>4 </w:t>
      </w:r>
      <w:r w:rsidRPr="005C119D">
        <w:t>:</w:t>
      </w:r>
      <w:r w:rsidRPr="005C119D">
        <w:rPr>
          <w:rFonts w:cs="Tahoma"/>
        </w:rPr>
        <w:t xml:space="preserve"> </w:t>
      </w:r>
    </w:p>
    <w:p w:rsidR="007F33B9" w:rsidRPr="005C119D" w:rsidRDefault="007F33B9" w:rsidP="007F33B9">
      <w:pPr>
        <w:pStyle w:val="fcase1ertab"/>
        <w:tabs>
          <w:tab w:val="left" w:pos="851"/>
        </w:tabs>
        <w:spacing w:before="120"/>
        <w:ind w:left="0" w:firstLine="0"/>
        <w:rPr>
          <w:rFonts w:cs="Arial"/>
        </w:rPr>
      </w:pPr>
      <w:r w:rsidRPr="005C119D">
        <w:rPr>
          <w:rFonts w:cs="Arial"/>
        </w:rPr>
        <w:t>Montant TTC arrêté en chiffres à : ………………………………………………………...................................</w:t>
      </w:r>
    </w:p>
    <w:p w:rsidR="007F33B9" w:rsidRPr="005C119D" w:rsidRDefault="007F33B9" w:rsidP="007F33B9">
      <w:pPr>
        <w:pStyle w:val="fcase1ertab"/>
        <w:tabs>
          <w:tab w:val="left" w:pos="851"/>
        </w:tabs>
        <w:spacing w:before="120"/>
        <w:ind w:left="0" w:firstLine="0"/>
        <w:rPr>
          <w:rFonts w:cs="Arial"/>
          <w:u w:val="single"/>
        </w:rPr>
      </w:pPr>
      <w:r w:rsidRPr="005C119D">
        <w:rPr>
          <w:rFonts w:cs="Arial"/>
        </w:rPr>
        <w:t>Montant TTC arrêté en lettres à : ………………………………………………………………………………………..</w:t>
      </w:r>
    </w:p>
    <w:p w:rsidR="007F33B9" w:rsidRPr="005C119D" w:rsidRDefault="007F33B9" w:rsidP="007F33B9">
      <w:pPr>
        <w:pStyle w:val="fcase1ertab"/>
        <w:tabs>
          <w:tab w:val="left" w:pos="851"/>
        </w:tabs>
        <w:spacing w:before="120"/>
        <w:ind w:left="0" w:firstLine="0"/>
      </w:pPr>
      <w:r w:rsidRPr="005C119D">
        <w:rPr>
          <w:rFonts w:cs="Arial"/>
          <w:u w:val="single"/>
        </w:rPr>
        <w:t>OU</w:t>
      </w:r>
    </w:p>
    <w:p w:rsidR="007F33B9" w:rsidRPr="005C119D" w:rsidRDefault="007F33B9" w:rsidP="007F33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aux prix indiqués dans l’annexe financière jointe au présent document.</w:t>
      </w:r>
    </w:p>
    <w:p w:rsidR="007F33B9" w:rsidRPr="005C119D" w:rsidRDefault="007F33B9" w:rsidP="007F33B9">
      <w:pPr>
        <w:pStyle w:val="fcasegauche"/>
        <w:tabs>
          <w:tab w:val="left" w:pos="851"/>
        </w:tabs>
        <w:spacing w:after="0"/>
        <w:ind w:left="0" w:firstLine="0"/>
        <w:rPr>
          <w:rFonts w:cs="Arial"/>
        </w:rPr>
      </w:pPr>
    </w:p>
    <w:p w:rsidR="007F33B9" w:rsidRPr="005409D0" w:rsidRDefault="007F33B9" w:rsidP="007F33B9">
      <w:pPr>
        <w:pStyle w:val="fcasegauche"/>
        <w:tabs>
          <w:tab w:val="left" w:pos="851"/>
        </w:tabs>
        <w:spacing w:after="0"/>
        <w:rPr>
          <w:b/>
          <w:lang w:val="en-US"/>
        </w:rPr>
      </w:pPr>
    </w:p>
    <w:p w:rsidR="007F33B9" w:rsidRPr="005409D0" w:rsidRDefault="007F33B9" w:rsidP="007F33B9">
      <w:pPr>
        <w:pStyle w:val="fcasegauche"/>
        <w:tabs>
          <w:tab w:val="left" w:pos="851"/>
        </w:tabs>
        <w:spacing w:after="0"/>
        <w:rPr>
          <w:rFonts w:cs="Arial"/>
          <w:b/>
          <w:lang w:val="en-US"/>
        </w:rPr>
      </w:pPr>
      <w:r w:rsidRPr="005409D0">
        <w:rPr>
          <w:b/>
          <w:lang w:val="en-US"/>
        </w:rPr>
        <w:t>L</w:t>
      </w:r>
      <w:r w:rsidRPr="005409D0">
        <w:rPr>
          <w:rFonts w:cs="Arial"/>
          <w:b/>
          <w:lang w:val="en-US"/>
        </w:rPr>
        <w:t>ot n°</w:t>
      </w:r>
      <w:r w:rsidRPr="005409D0">
        <w:rPr>
          <w:rFonts w:cs="Arial"/>
          <w:b/>
          <w:bCs/>
          <w:iCs/>
          <w:color w:val="000000"/>
          <w:lang w:val="en-US"/>
        </w:rPr>
        <w:t>2</w:t>
      </w:r>
      <w:r w:rsidRPr="005409D0">
        <w:rPr>
          <w:rFonts w:cs="Arial"/>
          <w:b/>
          <w:bCs/>
          <w:iCs/>
          <w:lang w:val="en-US"/>
        </w:rPr>
        <w:t xml:space="preserve">: </w:t>
      </w:r>
      <w:r w:rsidRPr="005409D0">
        <w:rPr>
          <w:rFonts w:cs="Arial"/>
          <w:b/>
          <w:bCs/>
          <w:iCs/>
          <w:color w:val="000000"/>
          <w:lang w:val="en-US"/>
        </w:rPr>
        <w:t>Lot 02 – CVC, ELECTRICITE</w:t>
      </w:r>
    </w:p>
    <w:p w:rsidR="007F33B9" w:rsidRPr="005409D0" w:rsidRDefault="007F33B9" w:rsidP="007F33B9">
      <w:pPr>
        <w:pStyle w:val="fcase1ertab"/>
        <w:tabs>
          <w:tab w:val="left" w:pos="851"/>
        </w:tabs>
        <w:ind w:left="0" w:firstLine="0"/>
        <w:rPr>
          <w:rFonts w:cs="Arial"/>
          <w:lang w:val="en-US"/>
        </w:rPr>
      </w:pPr>
    </w:p>
    <w:p w:rsidR="007F33B9" w:rsidRPr="005C119D" w:rsidRDefault="007F33B9" w:rsidP="007F33B9">
      <w:pPr>
        <w:pStyle w:val="fcase1ertab"/>
        <w:tabs>
          <w:tab w:val="left" w:pos="851"/>
        </w:tabs>
        <w:ind w:left="0" w:firstLine="0"/>
        <w:rPr>
          <w:rFonts w:cs="Arial"/>
        </w:rPr>
      </w:pPr>
      <w:r w:rsidRPr="005C119D">
        <w:rPr>
          <w:rFonts w:cs="Arial"/>
        </w:rPr>
        <w:t>à exécuter les prestations demandées :</w:t>
      </w:r>
    </w:p>
    <w:p w:rsidR="007F33B9" w:rsidRPr="005C119D" w:rsidRDefault="007F33B9" w:rsidP="007F33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aux prix indiqués ci-dessous ;</w:t>
      </w:r>
    </w:p>
    <w:p w:rsidR="007F33B9" w:rsidRPr="005C119D" w:rsidRDefault="007F33B9" w:rsidP="007F33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Taux de la TVA : </w:t>
      </w:r>
    </w:p>
    <w:p w:rsidR="007F33B9" w:rsidRPr="005C119D" w:rsidRDefault="007F33B9" w:rsidP="007F33B9">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Montant hors taxes</w:t>
      </w:r>
      <w:r w:rsidRPr="005C119D">
        <w:rPr>
          <w:rStyle w:val="Caractresdenotedebasdepage"/>
        </w:rPr>
        <w:footnoteReference w:id="4"/>
      </w:r>
      <w:r w:rsidRPr="005C119D">
        <w:rPr>
          <w:rStyle w:val="Caractresdenotedebasdepage"/>
        </w:rPr>
        <w:t> </w:t>
      </w:r>
      <w:r w:rsidRPr="005C119D">
        <w:t xml:space="preserve">: </w:t>
      </w:r>
    </w:p>
    <w:p w:rsidR="007F33B9" w:rsidRPr="005C119D" w:rsidRDefault="007F33B9" w:rsidP="007F33B9">
      <w:pPr>
        <w:tabs>
          <w:tab w:val="left" w:pos="426"/>
          <w:tab w:val="left" w:pos="851"/>
        </w:tabs>
        <w:spacing w:before="120"/>
        <w:jc w:val="both"/>
        <w:rPr>
          <w:rFonts w:cs="Arial"/>
        </w:rPr>
      </w:pPr>
      <w:r w:rsidRPr="005C119D">
        <w:lastRenderedPageBreak/>
        <w:t xml:space="preserve">Montant </w:t>
      </w:r>
      <w:r w:rsidRPr="005C119D">
        <w:rPr>
          <w:rFonts w:cs="Arial"/>
        </w:rPr>
        <w:t>hors taxes arrêté en chiffres à : ………………………………………………………...................................</w:t>
      </w:r>
    </w:p>
    <w:p w:rsidR="007F33B9" w:rsidRPr="005C119D" w:rsidRDefault="007F33B9" w:rsidP="007F33B9">
      <w:pPr>
        <w:pStyle w:val="fcase1ertab"/>
        <w:tabs>
          <w:tab w:val="left" w:pos="851"/>
        </w:tabs>
        <w:spacing w:before="120"/>
        <w:ind w:left="0" w:firstLine="0"/>
      </w:pPr>
      <w:r w:rsidRPr="005C119D">
        <w:rPr>
          <w:rFonts w:cs="Arial"/>
        </w:rPr>
        <w:t>Montant hors taxes arrêté en lettres à : ………………………………………………………...................................</w:t>
      </w:r>
    </w:p>
    <w:p w:rsidR="007F33B9" w:rsidRPr="005C119D" w:rsidRDefault="007F33B9" w:rsidP="007F33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Montant TTC</w:t>
      </w:r>
      <w:r w:rsidRPr="005C119D">
        <w:rPr>
          <w:rStyle w:val="Caractresdenotedebasdepage"/>
        </w:rPr>
        <w:footnoteReference w:customMarkFollows="1" w:id="5"/>
        <w:t>4 </w:t>
      </w:r>
      <w:r w:rsidRPr="005C119D">
        <w:t>:</w:t>
      </w:r>
      <w:r w:rsidRPr="005C119D">
        <w:rPr>
          <w:rFonts w:cs="Tahoma"/>
        </w:rPr>
        <w:t xml:space="preserve"> </w:t>
      </w:r>
    </w:p>
    <w:p w:rsidR="007F33B9" w:rsidRPr="005C119D" w:rsidRDefault="007F33B9" w:rsidP="007F33B9">
      <w:pPr>
        <w:pStyle w:val="fcase1ertab"/>
        <w:tabs>
          <w:tab w:val="left" w:pos="851"/>
        </w:tabs>
        <w:spacing w:before="120"/>
        <w:ind w:left="0" w:firstLine="0"/>
        <w:rPr>
          <w:rFonts w:cs="Arial"/>
        </w:rPr>
      </w:pPr>
      <w:r w:rsidRPr="005C119D">
        <w:rPr>
          <w:rFonts w:cs="Arial"/>
        </w:rPr>
        <w:t>Montant TTC arrêté en chiffres à : ………………………………………………………...................................</w:t>
      </w:r>
    </w:p>
    <w:p w:rsidR="007F33B9" w:rsidRPr="005C119D" w:rsidRDefault="007F33B9" w:rsidP="007F33B9">
      <w:pPr>
        <w:pStyle w:val="fcase1ertab"/>
        <w:tabs>
          <w:tab w:val="left" w:pos="851"/>
        </w:tabs>
        <w:spacing w:before="120"/>
        <w:ind w:left="0" w:firstLine="0"/>
        <w:rPr>
          <w:rFonts w:cs="Arial"/>
          <w:u w:val="single"/>
        </w:rPr>
      </w:pPr>
      <w:r w:rsidRPr="005C119D">
        <w:rPr>
          <w:rFonts w:cs="Arial"/>
        </w:rPr>
        <w:t>Montant TTC arrêté en lettres à : ………………………………………………………………………………………..</w:t>
      </w:r>
    </w:p>
    <w:p w:rsidR="007F33B9" w:rsidRPr="005C119D" w:rsidRDefault="007F33B9" w:rsidP="007F33B9">
      <w:pPr>
        <w:pStyle w:val="fcase1ertab"/>
        <w:tabs>
          <w:tab w:val="left" w:pos="851"/>
        </w:tabs>
        <w:spacing w:before="120"/>
        <w:ind w:left="0" w:firstLine="0"/>
      </w:pPr>
      <w:r w:rsidRPr="005C119D">
        <w:rPr>
          <w:rFonts w:cs="Arial"/>
          <w:u w:val="single"/>
        </w:rPr>
        <w:t>OU</w:t>
      </w:r>
    </w:p>
    <w:p w:rsidR="007F33B9" w:rsidRDefault="007F33B9" w:rsidP="007A254B">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 xml:space="preserve"> aux prix indiqués dans l’annexe financière jointe au présent document.</w:t>
      </w:r>
      <w:r w:rsidR="007A254B">
        <w:rPr>
          <w:rFonts w:cs="Arial"/>
        </w:rPr>
        <w:t xml:space="preserve"> </w:t>
      </w:r>
    </w:p>
    <w:p w:rsidR="007A254B" w:rsidRPr="005C119D" w:rsidRDefault="007A254B" w:rsidP="007A254B">
      <w:pPr>
        <w:pStyle w:val="fcase1ertab"/>
        <w:tabs>
          <w:tab w:val="clear" w:pos="426"/>
          <w:tab w:val="left" w:pos="851"/>
        </w:tabs>
        <w:spacing w:before="120"/>
        <w:ind w:firstLine="142"/>
        <w:rPr>
          <w:rFonts w:cs="Arial"/>
        </w:rPr>
      </w:pPr>
    </w:p>
    <w:p w:rsidR="007F33B9" w:rsidRPr="005C119D" w:rsidRDefault="007F33B9" w:rsidP="007F33B9">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rsidR="007F33B9" w:rsidRPr="005C119D" w:rsidRDefault="007F33B9" w:rsidP="007F33B9">
      <w:pPr>
        <w:pStyle w:val="fcase1ertab"/>
        <w:tabs>
          <w:tab w:val="left" w:pos="851"/>
        </w:tabs>
        <w:rPr>
          <w:rFonts w:cs="Arial"/>
        </w:rPr>
      </w:pPr>
      <w:r w:rsidRPr="005C119D">
        <w:rPr>
          <w:rFonts w:cs="Arial"/>
          <w:i/>
          <w:iCs/>
          <w:sz w:val="18"/>
          <w:szCs w:val="18"/>
        </w:rPr>
        <w:t>(en cas de groupement d’opérateurs économiques.)</w:t>
      </w:r>
    </w:p>
    <w:p w:rsidR="007F33B9" w:rsidRPr="005C119D" w:rsidRDefault="007F33B9" w:rsidP="007F33B9">
      <w:pPr>
        <w:tabs>
          <w:tab w:val="left" w:pos="851"/>
          <w:tab w:val="left" w:pos="6237"/>
        </w:tabs>
        <w:rPr>
          <w:rFonts w:cs="Arial"/>
          <w:i/>
          <w:iCs/>
          <w:sz w:val="18"/>
          <w:szCs w:val="18"/>
        </w:rPr>
      </w:pPr>
    </w:p>
    <w:p w:rsidR="007F33B9" w:rsidRPr="005C119D" w:rsidRDefault="007F33B9" w:rsidP="007F33B9">
      <w:pPr>
        <w:pStyle w:val="fcase1ertab"/>
        <w:tabs>
          <w:tab w:val="left" w:pos="851"/>
        </w:tabs>
        <w:ind w:left="0" w:firstLine="0"/>
        <w:rPr>
          <w:rFonts w:cs="Arial"/>
        </w:rPr>
      </w:pPr>
      <w:r w:rsidRPr="005C119D">
        <w:rPr>
          <w:rFonts w:cs="Arial"/>
        </w:rPr>
        <w:t>Pour l’exécution du marché ou de l’accord-cadre, le groupement d’opérateurs économiques est :</w:t>
      </w:r>
    </w:p>
    <w:p w:rsidR="007F33B9" w:rsidRPr="005C119D" w:rsidRDefault="007F33B9" w:rsidP="007F33B9">
      <w:pPr>
        <w:pStyle w:val="fcase1ertab"/>
        <w:tabs>
          <w:tab w:val="left" w:pos="851"/>
        </w:tabs>
        <w:rPr>
          <w:rFonts w:cs="Arial"/>
        </w:rPr>
      </w:pPr>
      <w:r w:rsidRPr="005C119D">
        <w:rPr>
          <w:rFonts w:cs="Arial"/>
          <w:i/>
          <w:iCs/>
          <w:sz w:val="18"/>
          <w:szCs w:val="18"/>
        </w:rPr>
        <w:t>(Cocher la case correspondante.)</w:t>
      </w:r>
    </w:p>
    <w:p w:rsidR="007F33B9" w:rsidRPr="005C119D" w:rsidRDefault="007F33B9" w:rsidP="007F33B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iCs/>
        </w:rPr>
        <w:t xml:space="preserve"> </w:t>
      </w:r>
      <w:r w:rsidRPr="005C119D">
        <w:rPr>
          <w:rFonts w:cs="Arial"/>
        </w:rPr>
        <w:t>solidaire</w:t>
      </w:r>
    </w:p>
    <w:p w:rsidR="007F33B9" w:rsidRPr="005C119D" w:rsidRDefault="007F33B9" w:rsidP="007F33B9">
      <w:pPr>
        <w:pStyle w:val="fcase1ertab"/>
        <w:tabs>
          <w:tab w:val="clear" w:pos="426"/>
          <w:tab w:val="left" w:pos="851"/>
        </w:tabs>
        <w:spacing w:before="120"/>
        <w:ind w:left="0" w:firstLine="0"/>
        <w:rPr>
          <w:rFonts w:cs="Arial"/>
        </w:rPr>
      </w:pPr>
    </w:p>
    <w:p w:rsidR="007F33B9" w:rsidRPr="005C119D" w:rsidRDefault="007F33B9" w:rsidP="007F33B9">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F33B9" w:rsidRPr="005C11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7F33B9" w:rsidRPr="005C119D" w:rsidRDefault="007F33B9" w:rsidP="007F33B9">
            <w:pPr>
              <w:tabs>
                <w:tab w:val="left" w:pos="851"/>
              </w:tabs>
              <w:jc w:val="center"/>
              <w:rPr>
                <w:rFonts w:cs="Arial"/>
                <w:b/>
              </w:rPr>
            </w:pPr>
            <w:r w:rsidRPr="005C119D">
              <w:rPr>
                <w:rFonts w:cs="Arial"/>
                <w:b/>
              </w:rPr>
              <w:t xml:space="preserve">Désignation des membres </w:t>
            </w:r>
          </w:p>
          <w:p w:rsidR="007F33B9" w:rsidRPr="005C119D" w:rsidRDefault="007F33B9" w:rsidP="007F33B9">
            <w:pPr>
              <w:tabs>
                <w:tab w:val="left" w:pos="851"/>
              </w:tabs>
              <w:jc w:val="center"/>
              <w:rPr>
                <w:b/>
              </w:rPr>
            </w:pPr>
            <w:r w:rsidRPr="005C119D">
              <w:rPr>
                <w:rFont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F33B9" w:rsidRPr="005C119D" w:rsidRDefault="007F33B9" w:rsidP="007F33B9">
            <w:pPr>
              <w:pStyle w:val="Titre5"/>
              <w:tabs>
                <w:tab w:val="left" w:pos="851"/>
              </w:tabs>
              <w:ind w:left="0" w:hanging="1008"/>
              <w:jc w:val="center"/>
              <w:rPr>
                <w:b/>
                <w:i w:val="0"/>
                <w:sz w:val="20"/>
              </w:rPr>
            </w:pPr>
            <w:r w:rsidRPr="005C119D">
              <w:rPr>
                <w:b/>
                <w:i w:val="0"/>
                <w:sz w:val="20"/>
              </w:rPr>
              <w:t>Prestations exécutées par les membres</w:t>
            </w:r>
          </w:p>
          <w:p w:rsidR="007F33B9" w:rsidRPr="005C119D" w:rsidRDefault="007F33B9" w:rsidP="007F33B9">
            <w:pPr>
              <w:pStyle w:val="Titre5"/>
              <w:tabs>
                <w:tab w:val="left" w:pos="851"/>
              </w:tabs>
              <w:ind w:left="0" w:hanging="1008"/>
              <w:jc w:val="center"/>
              <w:rPr>
                <w:b/>
              </w:rPr>
            </w:pPr>
            <w:r w:rsidRPr="005C119D">
              <w:rPr>
                <w:b/>
                <w:i w:val="0"/>
                <w:sz w:val="20"/>
              </w:rPr>
              <w:t>du groupement conjoint</w:t>
            </w:r>
          </w:p>
        </w:tc>
      </w:tr>
      <w:tr w:rsidR="007F33B9" w:rsidRPr="005C11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7F33B9" w:rsidRPr="005C119D" w:rsidRDefault="007F33B9" w:rsidP="007F33B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7F33B9" w:rsidRPr="005C119D" w:rsidRDefault="007F33B9" w:rsidP="007F33B9">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F33B9" w:rsidRPr="005C119D" w:rsidRDefault="007F33B9" w:rsidP="007F33B9">
            <w:pPr>
              <w:tabs>
                <w:tab w:val="left" w:pos="851"/>
              </w:tabs>
              <w:jc w:val="center"/>
              <w:rPr>
                <w:rFonts w:cs="Arial"/>
                <w:b/>
              </w:rPr>
            </w:pPr>
            <w:r w:rsidRPr="005C119D">
              <w:rPr>
                <w:rFonts w:cs="Arial"/>
                <w:b/>
              </w:rPr>
              <w:t xml:space="preserve">Montant HT </w:t>
            </w:r>
          </w:p>
          <w:p w:rsidR="007F33B9" w:rsidRPr="005C119D" w:rsidRDefault="007F33B9" w:rsidP="007F33B9">
            <w:pPr>
              <w:tabs>
                <w:tab w:val="left" w:pos="851"/>
              </w:tabs>
              <w:jc w:val="center"/>
              <w:rPr>
                <w:rFonts w:cs="Arial"/>
              </w:rPr>
            </w:pPr>
            <w:r w:rsidRPr="005C119D">
              <w:rPr>
                <w:rFonts w:cs="Arial"/>
                <w:b/>
              </w:rPr>
              <w:t>de la prestation</w:t>
            </w:r>
          </w:p>
        </w:tc>
      </w:tr>
      <w:tr w:rsidR="007F33B9" w:rsidRPr="005C119D">
        <w:trPr>
          <w:trHeight w:val="1021"/>
        </w:trPr>
        <w:tc>
          <w:tcPr>
            <w:tcW w:w="4503" w:type="dxa"/>
            <w:tcBorders>
              <w:top w:val="single" w:sz="4" w:space="0" w:color="000000"/>
              <w:left w:val="single" w:sz="4" w:space="0" w:color="000000"/>
            </w:tcBorders>
            <w:shd w:val="clear" w:color="auto" w:fill="CCFFFF"/>
          </w:tcPr>
          <w:p w:rsidR="007F33B9" w:rsidRPr="005C119D" w:rsidRDefault="007F33B9" w:rsidP="007F33B9">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rsidR="007F33B9" w:rsidRPr="005C119D" w:rsidRDefault="007F33B9" w:rsidP="007F33B9">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rsidR="007F33B9" w:rsidRPr="005C119D" w:rsidRDefault="007F33B9" w:rsidP="007F33B9">
            <w:pPr>
              <w:tabs>
                <w:tab w:val="left" w:pos="851"/>
              </w:tabs>
              <w:snapToGrid w:val="0"/>
              <w:jc w:val="both"/>
              <w:rPr>
                <w:rFonts w:cs="Arial"/>
              </w:rPr>
            </w:pPr>
          </w:p>
        </w:tc>
      </w:tr>
      <w:tr w:rsidR="007F33B9" w:rsidRPr="005C119D">
        <w:trPr>
          <w:trHeight w:val="1021"/>
        </w:trPr>
        <w:tc>
          <w:tcPr>
            <w:tcW w:w="4503" w:type="dxa"/>
            <w:tcBorders>
              <w:left w:val="single" w:sz="4" w:space="0" w:color="000000"/>
            </w:tcBorders>
            <w:shd w:val="clear" w:color="auto" w:fill="auto"/>
          </w:tcPr>
          <w:p w:rsidR="007F33B9" w:rsidRPr="005C119D" w:rsidRDefault="007F33B9" w:rsidP="007F33B9">
            <w:pPr>
              <w:tabs>
                <w:tab w:val="left" w:pos="851"/>
              </w:tabs>
              <w:snapToGrid w:val="0"/>
              <w:jc w:val="both"/>
              <w:rPr>
                <w:rFonts w:cs="Arial"/>
              </w:rPr>
            </w:pPr>
          </w:p>
        </w:tc>
        <w:tc>
          <w:tcPr>
            <w:tcW w:w="3685" w:type="dxa"/>
            <w:tcBorders>
              <w:left w:val="single" w:sz="4" w:space="0" w:color="000000"/>
            </w:tcBorders>
            <w:shd w:val="clear" w:color="auto" w:fill="auto"/>
          </w:tcPr>
          <w:p w:rsidR="007F33B9" w:rsidRPr="005C119D" w:rsidRDefault="007F33B9" w:rsidP="007F33B9">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rsidR="007F33B9" w:rsidRPr="005C119D" w:rsidRDefault="007F33B9" w:rsidP="007F33B9">
            <w:pPr>
              <w:tabs>
                <w:tab w:val="left" w:pos="851"/>
              </w:tabs>
              <w:snapToGrid w:val="0"/>
              <w:jc w:val="both"/>
              <w:rPr>
                <w:rFonts w:cs="Arial"/>
              </w:rPr>
            </w:pPr>
          </w:p>
        </w:tc>
      </w:tr>
      <w:tr w:rsidR="007F33B9" w:rsidRPr="005C119D">
        <w:trPr>
          <w:trHeight w:val="1021"/>
        </w:trPr>
        <w:tc>
          <w:tcPr>
            <w:tcW w:w="4503" w:type="dxa"/>
            <w:tcBorders>
              <w:left w:val="single" w:sz="4" w:space="0" w:color="000000"/>
              <w:bottom w:val="single" w:sz="4" w:space="0" w:color="000000"/>
            </w:tcBorders>
            <w:shd w:val="clear" w:color="auto" w:fill="CCFFFF"/>
          </w:tcPr>
          <w:p w:rsidR="007F33B9" w:rsidRPr="005C119D" w:rsidRDefault="007F33B9" w:rsidP="007F33B9">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rsidR="007F33B9" w:rsidRPr="005C119D" w:rsidRDefault="007F33B9" w:rsidP="007F33B9">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rsidR="007F33B9" w:rsidRPr="005C119D" w:rsidRDefault="007F33B9" w:rsidP="007F33B9">
            <w:pPr>
              <w:tabs>
                <w:tab w:val="left" w:pos="851"/>
              </w:tabs>
              <w:snapToGrid w:val="0"/>
              <w:jc w:val="both"/>
              <w:rPr>
                <w:rFonts w:cs="Arial"/>
              </w:rPr>
            </w:pPr>
          </w:p>
        </w:tc>
      </w:tr>
    </w:tbl>
    <w:p w:rsidR="007F33B9" w:rsidRPr="005C119D" w:rsidRDefault="007F33B9" w:rsidP="007F33B9">
      <w:pPr>
        <w:tabs>
          <w:tab w:val="left" w:pos="851"/>
          <w:tab w:val="left" w:pos="6237"/>
        </w:tabs>
      </w:pPr>
    </w:p>
    <w:p w:rsidR="007F33B9" w:rsidRPr="005C119D" w:rsidRDefault="007F33B9" w:rsidP="007F33B9">
      <w:pPr>
        <w:pStyle w:val="fcasegauche"/>
        <w:tabs>
          <w:tab w:val="left" w:pos="851"/>
        </w:tabs>
        <w:spacing w:after="0"/>
        <w:ind w:left="0" w:firstLine="0"/>
        <w:rPr>
          <w:rFonts w:cs="Arial"/>
          <w:bCs/>
          <w:iCs/>
        </w:rPr>
      </w:pPr>
    </w:p>
    <w:p w:rsidR="007F33B9" w:rsidRPr="005C119D" w:rsidRDefault="007F33B9" w:rsidP="007F33B9">
      <w:pPr>
        <w:pStyle w:val="fcase1ertab"/>
        <w:tabs>
          <w:tab w:val="left" w:pos="851"/>
        </w:tabs>
        <w:ind w:left="0" w:firstLine="0"/>
        <w:rPr>
          <w:rFonts w:cs="Arial"/>
          <w:i/>
          <w:sz w:val="18"/>
          <w:szCs w:val="18"/>
        </w:rPr>
      </w:pPr>
      <w:r w:rsidRPr="005C119D">
        <w:rPr>
          <w:rFonts w:cs="Arial"/>
          <w:b/>
          <w:sz w:val="22"/>
          <w:szCs w:val="22"/>
        </w:rPr>
        <w:t>B3 - Compte (s) à créditer :</w:t>
      </w:r>
    </w:p>
    <w:p w:rsidR="007F33B9" w:rsidRPr="005C119D" w:rsidRDefault="007F33B9" w:rsidP="007F33B9">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rsidR="007F33B9" w:rsidRPr="005C119D" w:rsidRDefault="007F33B9" w:rsidP="007F33B9">
      <w:pPr>
        <w:pStyle w:val="fcasegauche"/>
        <w:tabs>
          <w:tab w:val="left" w:pos="426"/>
          <w:tab w:val="left" w:pos="851"/>
        </w:tabs>
        <w:spacing w:after="0"/>
        <w:ind w:left="0" w:firstLine="0"/>
        <w:jc w:val="left"/>
        <w:rPr>
          <w:rFonts w:cs="Arial"/>
          <w:b/>
        </w:rPr>
      </w:pPr>
    </w:p>
    <w:p w:rsidR="007F33B9" w:rsidRPr="005C119D" w:rsidRDefault="007F33B9" w:rsidP="007F33B9">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 de l’établissement bancaire :</w:t>
      </w:r>
    </w:p>
    <w:p w:rsidR="007F33B9" w:rsidRPr="005C119D" w:rsidRDefault="007F33B9" w:rsidP="007F33B9">
      <w:pPr>
        <w:pStyle w:val="fcasegauche"/>
        <w:tabs>
          <w:tab w:val="left" w:pos="426"/>
          <w:tab w:val="left" w:pos="851"/>
        </w:tabs>
        <w:spacing w:after="0"/>
        <w:ind w:left="0" w:firstLine="0"/>
        <w:jc w:val="left"/>
        <w:rPr>
          <w:rFonts w:cs="Arial"/>
        </w:rPr>
      </w:pPr>
    </w:p>
    <w:p w:rsidR="007F33B9" w:rsidRPr="005C119D" w:rsidRDefault="007F33B9" w:rsidP="007F33B9">
      <w:pPr>
        <w:pStyle w:val="fcasegauche"/>
        <w:tabs>
          <w:tab w:val="left" w:pos="426"/>
          <w:tab w:val="left" w:pos="851"/>
        </w:tabs>
        <w:spacing w:after="0"/>
        <w:ind w:left="0" w:firstLine="0"/>
        <w:jc w:val="left"/>
        <w:rPr>
          <w:rFonts w:cs="Arial"/>
        </w:rPr>
      </w:pPr>
    </w:p>
    <w:p w:rsidR="007F33B9" w:rsidRPr="005C119D" w:rsidRDefault="007F33B9" w:rsidP="007F33B9">
      <w:pPr>
        <w:pStyle w:val="fcasegauche"/>
        <w:tabs>
          <w:tab w:val="left" w:pos="426"/>
          <w:tab w:val="left" w:pos="851"/>
        </w:tabs>
        <w:spacing w:after="0"/>
        <w:ind w:left="0" w:firstLine="0"/>
        <w:jc w:val="left"/>
        <w:rPr>
          <w:rFonts w:cs="Arial"/>
        </w:rPr>
      </w:pPr>
    </w:p>
    <w:p w:rsidR="007F33B9" w:rsidRPr="005C119D" w:rsidRDefault="007F33B9" w:rsidP="007F33B9">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 de compte :</w:t>
      </w:r>
    </w:p>
    <w:p w:rsidR="007F33B9" w:rsidRPr="005C119D" w:rsidRDefault="007F33B9" w:rsidP="007F33B9">
      <w:pPr>
        <w:pStyle w:val="fcasegauche"/>
        <w:tabs>
          <w:tab w:val="left" w:pos="426"/>
          <w:tab w:val="left" w:pos="851"/>
        </w:tabs>
        <w:spacing w:after="0"/>
        <w:ind w:left="0" w:firstLine="0"/>
        <w:jc w:val="left"/>
        <w:rPr>
          <w:rFonts w:cs="Arial"/>
          <w:b/>
        </w:rPr>
      </w:pPr>
    </w:p>
    <w:p w:rsidR="007F33B9" w:rsidRPr="005C119D" w:rsidRDefault="007F33B9" w:rsidP="007F33B9">
      <w:pPr>
        <w:pStyle w:val="fcasegauche"/>
        <w:tabs>
          <w:tab w:val="left" w:pos="426"/>
          <w:tab w:val="left" w:pos="851"/>
        </w:tabs>
        <w:spacing w:after="0"/>
        <w:ind w:left="0" w:firstLine="0"/>
        <w:jc w:val="left"/>
        <w:rPr>
          <w:rFonts w:cs="Arial"/>
          <w:b/>
        </w:rPr>
      </w:pPr>
    </w:p>
    <w:p w:rsidR="007F33B9" w:rsidRDefault="007F33B9"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Default="007A254B" w:rsidP="007F33B9">
      <w:pPr>
        <w:pStyle w:val="fcasegauche"/>
        <w:tabs>
          <w:tab w:val="left" w:pos="426"/>
          <w:tab w:val="left" w:pos="851"/>
        </w:tabs>
        <w:spacing w:after="0"/>
        <w:ind w:left="0" w:firstLine="0"/>
        <w:jc w:val="left"/>
        <w:rPr>
          <w:rFonts w:cs="Arial"/>
          <w:b/>
        </w:rPr>
      </w:pPr>
    </w:p>
    <w:p w:rsidR="007A254B" w:rsidRPr="005C119D" w:rsidRDefault="007A254B" w:rsidP="007F33B9">
      <w:pPr>
        <w:pStyle w:val="fcasegauche"/>
        <w:tabs>
          <w:tab w:val="left" w:pos="426"/>
          <w:tab w:val="left" w:pos="851"/>
        </w:tabs>
        <w:spacing w:after="0"/>
        <w:ind w:left="0" w:firstLine="0"/>
        <w:jc w:val="left"/>
        <w:rPr>
          <w:rFonts w:cs="Arial"/>
          <w:b/>
        </w:rPr>
      </w:pPr>
    </w:p>
    <w:p w:rsidR="007F33B9" w:rsidRPr="005C119D" w:rsidRDefault="007F33B9" w:rsidP="007F33B9">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Pr>
          <w:rFonts w:cs="Arial"/>
          <w:i/>
          <w:sz w:val="18"/>
          <w:szCs w:val="18"/>
        </w:rPr>
        <w:t xml:space="preserve"> (</w:t>
      </w:r>
      <w:hyperlink r:id="rId10" w:history="1">
        <w:r>
          <w:rPr>
            <w:rStyle w:val="Lienhypertexte"/>
            <w:rFonts w:cs="Arial"/>
            <w:i/>
            <w:sz w:val="18"/>
            <w:szCs w:val="18"/>
          </w:rPr>
          <w:t>article R. 2191-3</w:t>
        </w:r>
      </w:hyperlink>
      <w:r>
        <w:rPr>
          <w:rFonts w:cs="Arial"/>
          <w:i/>
          <w:sz w:val="18"/>
          <w:szCs w:val="18"/>
        </w:rPr>
        <w:t xml:space="preserve"> ou </w:t>
      </w:r>
      <w:hyperlink r:id="rId11" w:history="1">
        <w:r>
          <w:rPr>
            <w:rStyle w:val="Lienhypertexte"/>
            <w:rFonts w:cs="Arial"/>
            <w:i/>
            <w:sz w:val="18"/>
            <w:szCs w:val="18"/>
          </w:rPr>
          <w:t>article R. 2391-1</w:t>
        </w:r>
      </w:hyperlink>
      <w:r>
        <w:rPr>
          <w:rFonts w:cs="Arial"/>
          <w:i/>
          <w:sz w:val="18"/>
          <w:szCs w:val="18"/>
        </w:rPr>
        <w:t xml:space="preserve"> du code de la commande publique)</w:t>
      </w:r>
    </w:p>
    <w:p w:rsidR="007F33B9" w:rsidRPr="005C119D" w:rsidRDefault="007F33B9" w:rsidP="007F33B9">
      <w:pPr>
        <w:tabs>
          <w:tab w:val="left" w:pos="426"/>
          <w:tab w:val="left" w:pos="851"/>
        </w:tabs>
        <w:rPr>
          <w:rFonts w:cs="Arial"/>
          <w:b/>
        </w:rPr>
      </w:pPr>
    </w:p>
    <w:p w:rsidR="007F33B9" w:rsidRPr="005C119D" w:rsidRDefault="007F33B9" w:rsidP="007F33B9"/>
    <w:p w:rsidR="007F33B9" w:rsidRPr="005C119D" w:rsidRDefault="007F33B9" w:rsidP="007F33B9">
      <w:pPr>
        <w:rPr>
          <w:rFonts w:cs="Arial"/>
          <w:b/>
          <w:u w:val="single"/>
        </w:rPr>
      </w:pPr>
      <w:r w:rsidRPr="005C119D">
        <w:rPr>
          <w:rFonts w:cs="Arial"/>
          <w:b/>
          <w:u w:val="single"/>
        </w:rPr>
        <w:t xml:space="preserve">Lot: </w:t>
      </w:r>
      <w:r w:rsidRPr="005C119D">
        <w:rPr>
          <w:rFonts w:cs="Arial"/>
          <w:b/>
          <w:bCs/>
          <w:iCs/>
          <w:color w:val="000000"/>
          <w:u w:val="single"/>
        </w:rPr>
        <w:t xml:space="preserve">Lot 01 – GROS ŒUVRE, SECOND ŒUVRE  </w:t>
      </w:r>
    </w:p>
    <w:p w:rsidR="007F33B9" w:rsidRPr="005C119D" w:rsidRDefault="007F33B9" w:rsidP="007F33B9">
      <w:pPr>
        <w:pStyle w:val="fcasegauche"/>
        <w:numPr>
          <w:ilvl w:val="0"/>
          <w:numId w:val="1"/>
        </w:numPr>
        <w:tabs>
          <w:tab w:val="left" w:pos="426"/>
          <w:tab w:val="left" w:pos="851"/>
        </w:tabs>
        <w:spacing w:after="0"/>
        <w:jc w:val="left"/>
        <w:rPr>
          <w:rFonts w:cs="Arial"/>
          <w:i/>
          <w:sz w:val="18"/>
          <w:szCs w:val="18"/>
        </w:rPr>
      </w:pPr>
      <w:r w:rsidRPr="005C119D">
        <w:t>Je renonce au bénéfice de l'avance :</w:t>
      </w:r>
      <w:r w:rsidRPr="005C119D">
        <w:tab/>
      </w:r>
      <w:r w:rsidRPr="005C119D">
        <w:tab/>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ab/>
        <w:t>NON</w:t>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ab/>
        <w:t>OUI</w:t>
      </w:r>
    </w:p>
    <w:p w:rsidR="007F33B9" w:rsidRPr="005C119D" w:rsidRDefault="007F33B9" w:rsidP="007F33B9">
      <w:pPr>
        <w:numPr>
          <w:ilvl w:val="0"/>
          <w:numId w:val="1"/>
        </w:numPr>
        <w:tabs>
          <w:tab w:val="left" w:pos="851"/>
        </w:tabs>
        <w:rPr>
          <w:rFonts w:cs="Arial"/>
          <w:b/>
        </w:rPr>
      </w:pPr>
      <w:r w:rsidRPr="005C119D">
        <w:rPr>
          <w:rFonts w:cs="Arial"/>
          <w:i/>
          <w:sz w:val="18"/>
          <w:szCs w:val="18"/>
        </w:rPr>
        <w:t>(Cocher la case correspondante.)</w:t>
      </w:r>
    </w:p>
    <w:p w:rsidR="007F33B9" w:rsidRPr="005C119D" w:rsidRDefault="007F33B9" w:rsidP="007F33B9">
      <w:pPr>
        <w:numPr>
          <w:ilvl w:val="0"/>
          <w:numId w:val="1"/>
        </w:numPr>
        <w:tabs>
          <w:tab w:val="left" w:pos="851"/>
        </w:tabs>
        <w:rPr>
          <w:rFonts w:cs="Arial"/>
          <w:b/>
        </w:rPr>
      </w:pPr>
    </w:p>
    <w:p w:rsidR="007F33B9" w:rsidRPr="005C119D" w:rsidRDefault="007F33B9" w:rsidP="007F33B9">
      <w:pPr>
        <w:numPr>
          <w:ilvl w:val="0"/>
          <w:numId w:val="1"/>
        </w:numPr>
        <w:rPr>
          <w:rFonts w:cs="Arial"/>
          <w:b/>
          <w:u w:val="single"/>
        </w:rPr>
      </w:pPr>
      <w:r w:rsidRPr="005C119D">
        <w:rPr>
          <w:rFonts w:cs="Arial"/>
          <w:b/>
          <w:u w:val="single"/>
        </w:rPr>
        <w:t xml:space="preserve">Lot: </w:t>
      </w:r>
      <w:r w:rsidRPr="005C119D">
        <w:rPr>
          <w:rFonts w:cs="Arial"/>
          <w:b/>
          <w:bCs/>
          <w:iCs/>
          <w:color w:val="000000"/>
          <w:u w:val="single"/>
        </w:rPr>
        <w:t>Lot 02 – CVC, ELECTRICITE</w:t>
      </w:r>
    </w:p>
    <w:p w:rsidR="007F33B9" w:rsidRPr="005C119D" w:rsidRDefault="007F33B9" w:rsidP="007F33B9">
      <w:pPr>
        <w:numPr>
          <w:ilvl w:val="0"/>
          <w:numId w:val="1"/>
        </w:numPr>
        <w:tabs>
          <w:tab w:val="left" w:pos="426"/>
          <w:tab w:val="left" w:pos="851"/>
        </w:tabs>
        <w:rPr>
          <w:rFonts w:cs="Arial"/>
          <w:b/>
        </w:rPr>
      </w:pPr>
      <w:r w:rsidRPr="005C119D">
        <w:rPr>
          <w:bCs/>
        </w:rPr>
        <w:t>Non applicable</w:t>
      </w:r>
    </w:p>
    <w:p w:rsidR="007F33B9" w:rsidRPr="005C119D" w:rsidRDefault="007F33B9" w:rsidP="007F33B9">
      <w:pPr>
        <w:numPr>
          <w:ilvl w:val="0"/>
          <w:numId w:val="1"/>
        </w:numPr>
        <w:tabs>
          <w:tab w:val="left" w:pos="426"/>
          <w:tab w:val="left" w:pos="851"/>
        </w:tabs>
        <w:rPr>
          <w:rFonts w:cs="Arial"/>
          <w:b/>
        </w:rPr>
      </w:pPr>
    </w:p>
    <w:p w:rsidR="007F33B9" w:rsidRPr="005C119D" w:rsidRDefault="007F33B9" w:rsidP="007F33B9">
      <w:pPr>
        <w:tabs>
          <w:tab w:val="left" w:pos="426"/>
          <w:tab w:val="left" w:pos="851"/>
        </w:tabs>
        <w:jc w:val="both"/>
        <w:rPr>
          <w:rFonts w:cs="Arial"/>
          <w:b/>
        </w:rPr>
      </w:pPr>
    </w:p>
    <w:p w:rsidR="007F33B9" w:rsidRPr="005C119D" w:rsidRDefault="007F33B9" w:rsidP="007F33B9">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 :</w:t>
      </w:r>
    </w:p>
    <w:p w:rsidR="00253E48" w:rsidRDefault="00253E48" w:rsidP="007F33B9">
      <w:pPr>
        <w:rPr>
          <w:szCs w:val="22"/>
          <w:u w:val="single"/>
        </w:rPr>
      </w:pPr>
    </w:p>
    <w:p w:rsidR="00253E48" w:rsidRDefault="00253E48" w:rsidP="007F33B9">
      <w:pPr>
        <w:rPr>
          <w:b/>
          <w:szCs w:val="22"/>
          <w:u w:val="single"/>
        </w:rPr>
      </w:pPr>
      <w:r w:rsidRPr="00253E48">
        <w:rPr>
          <w:b/>
          <w:szCs w:val="22"/>
          <w:u w:val="single"/>
        </w:rPr>
        <w:t xml:space="preserve">Pour l’ensemble des lots : </w:t>
      </w:r>
    </w:p>
    <w:p w:rsidR="00253E48" w:rsidRPr="005C119D" w:rsidRDefault="00253E48" w:rsidP="00253E48">
      <w:pPr>
        <w:rPr>
          <w:rFonts w:cs="Arial"/>
          <w:i/>
          <w:iCs/>
        </w:rPr>
      </w:pPr>
      <w:r w:rsidRPr="005C119D">
        <w:rPr>
          <w:rFonts w:ascii="Wingdings" w:eastAsia="Wingdings" w:hAnsi="Wingdings" w:cs="Wingdings"/>
          <w:color w:val="000000"/>
          <w:lang w:eastAsia="nl-BE"/>
        </w:rPr>
        <w:t></w:t>
      </w:r>
      <w:r w:rsidRPr="005C119D">
        <w:rPr>
          <w:rFonts w:cs="Arial"/>
          <w:lang w:eastAsia="nl-BE"/>
        </w:rPr>
        <w:t xml:space="preserve"> la date de notification </w:t>
      </w:r>
      <w:r w:rsidRPr="005C119D">
        <w:rPr>
          <w:rFonts w:cs="Arial"/>
          <w:color w:val="000000"/>
        </w:rPr>
        <w:t>du marché public</w:t>
      </w:r>
      <w:r w:rsidRPr="005C119D">
        <w:rPr>
          <w:rFonts w:cs="Arial"/>
        </w:rPr>
        <w:t> ;</w:t>
      </w:r>
    </w:p>
    <w:p w:rsidR="00253E48" w:rsidRPr="005C119D" w:rsidRDefault="00253E48" w:rsidP="00253E48">
      <w:pPr>
        <w:rPr>
          <w:rFonts w:cs="Arial"/>
        </w:rPr>
      </w:pPr>
      <w:r w:rsidRPr="005C119D">
        <w:rPr>
          <w:rFonts w:ascii="Wingdings" w:eastAsia="Wingdings" w:hAnsi="Wingdings" w:cs="Wingdings"/>
          <w:color w:val="000000"/>
          <w:lang w:eastAsia="nl-BE"/>
        </w:rPr>
        <w:t></w:t>
      </w:r>
      <w:r w:rsidRPr="005C119D">
        <w:rPr>
          <w:rFonts w:cs="Arial"/>
        </w:rPr>
        <w:t xml:space="preserve"> la date de notification de l'ordre de service ;</w:t>
      </w:r>
    </w:p>
    <w:p w:rsidR="00253E48" w:rsidRPr="005C119D" w:rsidRDefault="00253E48" w:rsidP="00253E48">
      <w:pPr>
        <w:rPr>
          <w:rFonts w:cs="Arial"/>
          <w:lang w:eastAsia="nl-BE"/>
        </w:rPr>
      </w:pPr>
      <w:r w:rsidRPr="005C119D">
        <w:rPr>
          <w:rFonts w:ascii="Wingdings" w:eastAsia="Wingdings" w:hAnsi="Wingdings" w:cs="Wingdings"/>
          <w:color w:val="000000"/>
          <w:lang w:eastAsia="nl-BE"/>
        </w:rPr>
        <w:t></w:t>
      </w:r>
      <w:r w:rsidRPr="005C119D">
        <w:rPr>
          <w:rFonts w:cs="Arial"/>
          <w:lang w:eastAsia="nl-BE"/>
        </w:rPr>
        <w:t xml:space="preserve"> la date de début d’exécution prévue par </w:t>
      </w:r>
      <w:r w:rsidRPr="005C119D">
        <w:rPr>
          <w:rFonts w:cs="Arial"/>
          <w:color w:val="000000"/>
          <w:lang w:eastAsia="nl-BE"/>
        </w:rPr>
        <w:t>le marché public</w:t>
      </w:r>
      <w:r w:rsidRPr="005C119D">
        <w:rPr>
          <w:rFonts w:cs="Arial"/>
          <w:lang w:eastAsia="nl-BE"/>
        </w:rPr>
        <w:t> lorsqu’elle est postérieure à la date de notification ;</w:t>
      </w:r>
    </w:p>
    <w:p w:rsidR="00253E48" w:rsidRPr="005C119D" w:rsidRDefault="00253E48" w:rsidP="00253E48">
      <w:pPr>
        <w:rPr>
          <w:rFonts w:cs="Arial"/>
          <w:lang w:eastAsia="nl-BE"/>
        </w:rPr>
      </w:pPr>
      <w:r w:rsidRPr="005C119D">
        <w:rPr>
          <w:rFonts w:ascii="Wingdings" w:eastAsia="Wingdings" w:hAnsi="Wingdings" w:cs="Wingdings"/>
          <w:color w:val="000000"/>
          <w:lang w:eastAsia="nl-BE"/>
        </w:rPr>
        <w:t></w:t>
      </w:r>
      <w:r w:rsidRPr="005C119D">
        <w:rPr>
          <w:rFonts w:cs="Arial"/>
          <w:lang w:eastAsia="nl-BE"/>
        </w:rPr>
        <w:t xml:space="preserve"> la date de réception du premier bon de commande ;</w:t>
      </w:r>
    </w:p>
    <w:p w:rsidR="00253E48" w:rsidRDefault="00253E48" w:rsidP="007F33B9">
      <w:pPr>
        <w:rPr>
          <w:szCs w:val="22"/>
          <w:u w:val="single"/>
        </w:rPr>
      </w:pPr>
    </w:p>
    <w:p w:rsidR="007F33B9" w:rsidRPr="00FF3AB8" w:rsidRDefault="007F33B9" w:rsidP="007F33B9">
      <w:pPr>
        <w:rPr>
          <w:highlight w:val="blue"/>
        </w:rPr>
      </w:pPr>
      <w:r w:rsidRPr="00F00722">
        <w:rPr>
          <w:szCs w:val="22"/>
          <w:u w:val="single"/>
        </w:rPr>
        <w:t>Durée :</w:t>
      </w:r>
      <w:r w:rsidRPr="00F00722">
        <w:rPr>
          <w:szCs w:val="22"/>
        </w:rPr>
        <w:br/>
      </w:r>
    </w:p>
    <w:p w:rsidR="007F33B9" w:rsidRPr="00FF3AB8" w:rsidRDefault="007F33B9" w:rsidP="007F33B9">
      <w:pPr>
        <w:rPr>
          <w:highlight w:val="blue"/>
        </w:rPr>
      </w:pPr>
      <w:r w:rsidRPr="00F00722">
        <w:rPr>
          <w:szCs w:val="22"/>
        </w:rPr>
        <w:t>La durée du marché commence à courir à partir de la notification.</w:t>
      </w:r>
    </w:p>
    <w:p w:rsidR="00253E48" w:rsidRDefault="007F33B9" w:rsidP="007F33B9">
      <w:pPr>
        <w:rPr>
          <w:szCs w:val="22"/>
        </w:rPr>
      </w:pPr>
      <w:r w:rsidRPr="00F00722">
        <w:rPr>
          <w:szCs w:val="22"/>
        </w:rPr>
        <w:t>Le marché est conclu à compter de sa notification jusqu’à la fin de garantie de parfait achèvement.</w:t>
      </w:r>
    </w:p>
    <w:p w:rsidR="00253E48" w:rsidRDefault="00253E48" w:rsidP="007F33B9">
      <w:pPr>
        <w:rPr>
          <w:szCs w:val="22"/>
        </w:rPr>
      </w:pPr>
    </w:p>
    <w:p w:rsidR="007F33B9" w:rsidRPr="00FF3AB8" w:rsidRDefault="007F33B9" w:rsidP="007F33B9">
      <w:pPr>
        <w:rPr>
          <w:highlight w:val="blue"/>
        </w:rPr>
      </w:pPr>
      <w:r w:rsidRPr="00F00722">
        <w:rPr>
          <w:szCs w:val="22"/>
        </w:rPr>
        <w:t>Le délai d'exécution du marché est 4 mois, dont 2 mois de préparation de travaux.</w:t>
      </w:r>
      <w:r w:rsidRPr="00F00722">
        <w:rPr>
          <w:szCs w:val="22"/>
        </w:rPr>
        <w:br/>
        <w:t xml:space="preserve">Pour l'ensemble des lots, le délai d'exécution du marché commence à courir à partir de la date de notification du marché. </w:t>
      </w:r>
      <w:r w:rsidRPr="00F00722">
        <w:rPr>
          <w:szCs w:val="22"/>
        </w:rPr>
        <w:br/>
      </w:r>
      <w:r w:rsidRPr="00F00722">
        <w:rPr>
          <w:szCs w:val="22"/>
        </w:rPr>
        <w:br/>
      </w:r>
      <w:r w:rsidRPr="00F00722">
        <w:rPr>
          <w:szCs w:val="22"/>
        </w:rPr>
        <w:br/>
      </w:r>
      <w:r w:rsidRPr="00F00722">
        <w:rPr>
          <w:szCs w:val="22"/>
          <w:u w:val="single"/>
        </w:rPr>
        <w:t>Période de préparation :</w:t>
      </w:r>
      <w:r w:rsidRPr="00F00722">
        <w:rPr>
          <w:szCs w:val="22"/>
        </w:rPr>
        <w:br/>
        <w:t>Une période de préparation de 2 mois est prévue.</w:t>
      </w:r>
      <w:r w:rsidRPr="00F00722">
        <w:rPr>
          <w:szCs w:val="22"/>
        </w:rPr>
        <w:b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rsidR="007F33B9" w:rsidRPr="00FF3AB8" w:rsidRDefault="007F33B9" w:rsidP="007F33B9">
      <w:pPr>
        <w:rPr>
          <w:highlight w:val="blue"/>
        </w:rPr>
      </w:pPr>
    </w:p>
    <w:p w:rsidR="007F33B9" w:rsidRPr="00FF3AB8" w:rsidRDefault="007F33B9" w:rsidP="007F33B9">
      <w:pPr>
        <w:rPr>
          <w:highlight w:val="blue"/>
        </w:rPr>
      </w:pPr>
      <w:r w:rsidRPr="00F00722">
        <w:rPr>
          <w:szCs w:val="22"/>
          <w:u w:val="single"/>
        </w:rPr>
        <w:t>Délai d'exécution</w:t>
      </w:r>
      <w:r w:rsidR="00253E48">
        <w:rPr>
          <w:szCs w:val="22"/>
          <w:u w:val="single"/>
        </w:rPr>
        <w:t xml:space="preserve"> des travaux </w:t>
      </w:r>
      <w:r w:rsidRPr="00F00722">
        <w:rPr>
          <w:szCs w:val="22"/>
          <w:u w:val="single"/>
        </w:rPr>
        <w:t xml:space="preserve"> :</w:t>
      </w:r>
    </w:p>
    <w:p w:rsidR="007F33B9" w:rsidRPr="00FF3AB8" w:rsidRDefault="007F33B9" w:rsidP="007F33B9">
      <w:pPr>
        <w:rPr>
          <w:highlight w:val="blue"/>
        </w:rPr>
      </w:pPr>
      <w:r w:rsidRPr="00F00722">
        <w:rPr>
          <w:szCs w:val="22"/>
        </w:rPr>
        <w:t xml:space="preserve">Le délai d’exécution </w:t>
      </w:r>
      <w:r w:rsidR="00253E48">
        <w:rPr>
          <w:szCs w:val="22"/>
        </w:rPr>
        <w:t xml:space="preserve">des travaux </w:t>
      </w:r>
      <w:r w:rsidRPr="00F00722">
        <w:rPr>
          <w:szCs w:val="22"/>
        </w:rPr>
        <w:t>est de 2 mois.</w:t>
      </w:r>
    </w:p>
    <w:p w:rsidR="007F33B9" w:rsidRPr="00FF3AB8" w:rsidRDefault="007F33B9" w:rsidP="007F33B9">
      <w:pPr>
        <w:rPr>
          <w:highlight w:val="blue"/>
        </w:rPr>
      </w:pPr>
    </w:p>
    <w:p w:rsidR="00A12316" w:rsidRPr="00A12316" w:rsidRDefault="007F33B9" w:rsidP="007F33B9">
      <w:pPr>
        <w:rPr>
          <w:b/>
          <w:szCs w:val="22"/>
        </w:rPr>
      </w:pPr>
      <w:r w:rsidRPr="00F00722">
        <w:rPr>
          <w:szCs w:val="22"/>
          <w:u w:val="single"/>
        </w:rPr>
        <w:t>Caractéristiques du délai d'exécution du marché :</w:t>
      </w:r>
      <w:r w:rsidRPr="00F00722">
        <w:rPr>
          <w:szCs w:val="22"/>
        </w:rPr>
        <w:br/>
        <w:t>Conformément à l’article 18.1.1 alinéa 1 du CCAG travaux, le repliement des installations de chantier et la remise en état des emplacements qui auront été occupés par le chantier sont compris dans le délai d’exécution. Le repliement des installations de chantier et la remise en état des emplacements sont à la charge du titulaire.</w:t>
      </w:r>
      <w:r w:rsidRPr="00F00722">
        <w:rPr>
          <w:szCs w:val="22"/>
        </w:rPr>
        <w:br/>
      </w:r>
      <w:r w:rsidRPr="00F00722">
        <w:rPr>
          <w:szCs w:val="22"/>
        </w:rPr>
        <w:br/>
        <w:t>Dans le cas d'intempéries au sens des dispositions législatives ou réglementaires en vigueur, entraînant un arrêt de travail sur les chantiers, les délais d'exécution des travaux sont prolongés par ordre de service dans les conditions prévues à l'article 18.2.3 du CCAG travaux.</w:t>
      </w:r>
      <w:r w:rsidRPr="00F00722">
        <w:rPr>
          <w:szCs w:val="22"/>
        </w:rPr>
        <w:br/>
      </w:r>
      <w:r w:rsidRPr="00F00722">
        <w:rPr>
          <w:szCs w:val="22"/>
        </w:rPr>
        <w:br/>
      </w:r>
      <w:r w:rsidRPr="00F00722">
        <w:rPr>
          <w:b/>
          <w:szCs w:val="22"/>
        </w:rPr>
        <w:t xml:space="preserve">Prestations similaires : </w:t>
      </w:r>
      <w:r w:rsidRPr="00F00722">
        <w:rPr>
          <w:szCs w:val="22"/>
        </w:rPr>
        <w:br/>
      </w:r>
      <w:r w:rsidRPr="00A12316">
        <w:rPr>
          <w:b/>
          <w:szCs w:val="22"/>
        </w:rPr>
        <w:t>Lot 01 – GROS ŒUVRE, SECOND ŒUVRE</w:t>
      </w:r>
    </w:p>
    <w:p w:rsidR="00A12316" w:rsidRDefault="00A12316" w:rsidP="007F33B9">
      <w:pPr>
        <w:rPr>
          <w:szCs w:val="22"/>
        </w:rPr>
      </w:pPr>
      <w:r w:rsidRPr="00A12316">
        <w:rPr>
          <w:b/>
          <w:szCs w:val="22"/>
        </w:rPr>
        <w:t>Lot 2 CVC, Electricité</w:t>
      </w:r>
      <w:r w:rsidR="007F33B9" w:rsidRPr="00F00722">
        <w:rPr>
          <w:szCs w:val="22"/>
        </w:rPr>
        <w:t xml:space="preserve"> </w:t>
      </w:r>
    </w:p>
    <w:p w:rsidR="007F33B9" w:rsidRPr="00FF3AB8" w:rsidRDefault="00A12316" w:rsidP="007F33B9">
      <w:pPr>
        <w:rPr>
          <w:highlight w:val="blue"/>
        </w:rPr>
      </w:pPr>
      <w:r>
        <w:rPr>
          <w:szCs w:val="22"/>
        </w:rPr>
        <w:t>Ces</w:t>
      </w:r>
      <w:r w:rsidR="007F33B9" w:rsidRPr="00F00722">
        <w:rPr>
          <w:szCs w:val="22"/>
        </w:rPr>
        <w:t xml:space="preserve"> lot</w:t>
      </w:r>
      <w:r>
        <w:rPr>
          <w:szCs w:val="22"/>
        </w:rPr>
        <w:t>s</w:t>
      </w:r>
      <w:r w:rsidR="007F33B9" w:rsidRPr="00F00722">
        <w:rPr>
          <w:szCs w:val="22"/>
        </w:rPr>
        <w:t xml:space="preserve"> pourr</w:t>
      </w:r>
      <w:r>
        <w:rPr>
          <w:szCs w:val="22"/>
        </w:rPr>
        <w:t>ont</w:t>
      </w:r>
      <w:r w:rsidR="007F33B9" w:rsidRPr="00F00722">
        <w:rPr>
          <w:szCs w:val="22"/>
        </w:rPr>
        <w:t xml:space="preserve"> faire l’objet de prestations similaires.</w:t>
      </w:r>
    </w:p>
    <w:p w:rsidR="007A254B" w:rsidRDefault="007F33B9" w:rsidP="007F33B9">
      <w:pPr>
        <w:rPr>
          <w:szCs w:val="22"/>
        </w:rPr>
      </w:pPr>
      <w:r w:rsidRPr="00F00722">
        <w:rPr>
          <w:szCs w:val="22"/>
        </w:rPr>
        <w:t>En application de l'article R. 2122-7 du Code de la commande publique, le maître d’ouvrage peut conclure un marché sans publicité ni mise en concurrence préalables pour la réalisation de prestations similaires à celles de l'objet du présent marché, en accord avec le titulaire, pendant une période de trois ans à compter de la notification du marché initial.</w:t>
      </w:r>
    </w:p>
    <w:p w:rsidR="00137220" w:rsidRDefault="007A254B" w:rsidP="007F33B9">
      <w:pPr>
        <w:rPr>
          <w:szCs w:val="22"/>
        </w:rPr>
      </w:pPr>
      <w:r>
        <w:rPr>
          <w:szCs w:val="22"/>
        </w:rPr>
        <w:br w:type="page"/>
      </w:r>
    </w:p>
    <w:p w:rsidR="00137220" w:rsidRDefault="00137220" w:rsidP="007F33B9">
      <w:pPr>
        <w:rPr>
          <w:b/>
          <w:szCs w:val="22"/>
        </w:rPr>
      </w:pPr>
    </w:p>
    <w:p w:rsidR="007F33B9" w:rsidRPr="00FF3AB8" w:rsidRDefault="007F33B9" w:rsidP="007F33B9">
      <w:pPr>
        <w:rPr>
          <w:highlight w:val="blue"/>
        </w:rPr>
      </w:pPr>
      <w:r w:rsidRPr="00F00722">
        <w:rPr>
          <w:b/>
          <w:szCs w:val="22"/>
        </w:rPr>
        <w:t>Tranches :</w:t>
      </w:r>
    </w:p>
    <w:p w:rsidR="007F33B9" w:rsidRPr="00FF3AB8" w:rsidRDefault="007F33B9" w:rsidP="007F33B9">
      <w:pPr>
        <w:rPr>
          <w:highlight w:val="blue"/>
        </w:rPr>
      </w:pPr>
      <w:r w:rsidRPr="00F00722">
        <w:rPr>
          <w:szCs w:val="22"/>
        </w:rPr>
        <w:t>Ce marché est divisé en tranches :</w:t>
      </w:r>
    </w:p>
    <w:p w:rsidR="007F33B9" w:rsidRPr="00FF3AB8" w:rsidRDefault="007F33B9" w:rsidP="007F33B9">
      <w:pPr>
        <w:rPr>
          <w:highlight w:val="blue"/>
        </w:rPr>
      </w:pPr>
    </w:p>
    <w:tbl>
      <w:tblPr>
        <w:tblW w:w="8985" w:type="dxa"/>
        <w:tblInd w:w="45" w:type="dxa"/>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firstRow="1" w:lastRow="0" w:firstColumn="1" w:lastColumn="0" w:noHBand="0" w:noVBand="1"/>
      </w:tblPr>
      <w:tblGrid>
        <w:gridCol w:w="1512"/>
        <w:gridCol w:w="2090"/>
        <w:gridCol w:w="1632"/>
        <w:gridCol w:w="2018"/>
        <w:gridCol w:w="1733"/>
      </w:tblGrid>
      <w:tr w:rsidR="007F33B9">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7F33B9" w:rsidRDefault="007F33B9">
            <w:pPr>
              <w:rPr>
                <w:b/>
                <w:bCs/>
                <w:lang w:val="fr-FR" w:eastAsia="fr-FR" w:bidi="ar-SA"/>
              </w:rPr>
            </w:pPr>
            <w:r>
              <w:rPr>
                <w:rFonts w:eastAsia="Arial" w:cs="Arial"/>
                <w:b/>
                <w:bCs/>
                <w:lang w:val="fr-FR" w:eastAsia="fr-FR" w:bidi="ar-SA"/>
              </w:rPr>
              <w:t>Type</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7F33B9" w:rsidRDefault="007F33B9">
            <w:pPr>
              <w:rPr>
                <w:b/>
                <w:bCs/>
                <w:lang w:val="fr-FR" w:eastAsia="fr-FR" w:bidi="ar-SA"/>
              </w:rPr>
            </w:pPr>
            <w:r>
              <w:rPr>
                <w:rFonts w:eastAsia="Arial" w:cs="Arial"/>
                <w:b/>
                <w:bCs/>
                <w:lang w:val="fr-FR" w:eastAsia="fr-FR" w:bidi="ar-SA"/>
              </w:rPr>
              <w:t>Description</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7F33B9" w:rsidRDefault="007F33B9">
            <w:pPr>
              <w:rPr>
                <w:b/>
                <w:bCs/>
                <w:lang w:val="fr-FR" w:eastAsia="fr-FR" w:bidi="ar-SA"/>
              </w:rPr>
            </w:pPr>
            <w:r>
              <w:rPr>
                <w:rFonts w:eastAsia="Arial" w:cs="Arial"/>
                <w:b/>
                <w:bCs/>
                <w:lang w:val="fr-FR" w:eastAsia="fr-FR" w:bidi="ar-SA"/>
              </w:rPr>
              <w:t>Délai d’exécution prévu</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7F33B9" w:rsidRDefault="007F33B9">
            <w:pPr>
              <w:rPr>
                <w:b/>
                <w:bCs/>
                <w:lang w:val="fr-FR" w:eastAsia="fr-FR" w:bidi="ar-SA"/>
              </w:rPr>
            </w:pPr>
            <w:r>
              <w:rPr>
                <w:rFonts w:eastAsia="Arial" w:cs="Arial"/>
                <w:b/>
                <w:bCs/>
                <w:lang w:val="fr-FR" w:eastAsia="fr-FR" w:bidi="ar-SA"/>
              </w:rPr>
              <w:t>Date de début prévue</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tcPr>
          <w:p w:rsidR="007F33B9" w:rsidRDefault="007F33B9">
            <w:pPr>
              <w:rPr>
                <w:b/>
                <w:bCs/>
                <w:lang w:val="fr-FR" w:eastAsia="fr-FR" w:bidi="ar-SA"/>
              </w:rPr>
            </w:pPr>
            <w:r>
              <w:rPr>
                <w:rFonts w:eastAsia="Arial" w:cs="Arial"/>
                <w:b/>
                <w:bCs/>
                <w:lang w:val="fr-FR" w:eastAsia="fr-FR" w:bidi="ar-SA"/>
              </w:rPr>
              <w:t>Date de fin prévue</w:t>
            </w:r>
          </w:p>
        </w:tc>
      </w:tr>
      <w:tr w:rsidR="007F33B9">
        <w:tc>
          <w:tcPr>
            <w:tcW w:w="0" w:type="auto"/>
            <w:gridSpan w:val="5"/>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vAlign w:val="center"/>
          </w:tcPr>
          <w:p w:rsidR="007F33B9" w:rsidRPr="007A254B" w:rsidRDefault="007A254B" w:rsidP="007A254B">
            <w:pPr>
              <w:pStyle w:val="Default"/>
              <w:rPr>
                <w:sz w:val="22"/>
                <w:szCs w:val="22"/>
              </w:rPr>
            </w:pPr>
            <w:r>
              <w:rPr>
                <w:b/>
                <w:bCs/>
                <w:sz w:val="22"/>
                <w:szCs w:val="22"/>
              </w:rPr>
              <w:t xml:space="preserve">Lot 1 Gros OEuvre, Second OEuvre </w:t>
            </w:r>
          </w:p>
        </w:tc>
      </w:tr>
      <w:tr w:rsidR="007F33B9">
        <w:tc>
          <w:tcPr>
            <w:tcW w:w="3825" w:type="dxa"/>
            <w:gridSpan w:val="5"/>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Pas de tranches</w:t>
            </w:r>
          </w:p>
        </w:tc>
      </w:tr>
      <w:tr w:rsidR="007F33B9">
        <w:tc>
          <w:tcPr>
            <w:tcW w:w="0" w:type="auto"/>
            <w:gridSpan w:val="5"/>
            <w:tcBorders>
              <w:top w:val="inset" w:sz="6" w:space="0" w:color="808080"/>
              <w:left w:val="inset" w:sz="6" w:space="0" w:color="808080"/>
              <w:bottom w:val="inset" w:sz="6" w:space="0" w:color="808080"/>
              <w:right w:val="inset" w:sz="6" w:space="0" w:color="808080"/>
            </w:tcBorders>
            <w:shd w:val="clear" w:color="auto" w:fill="D3D3D3"/>
            <w:tcMar>
              <w:top w:w="30" w:type="dxa"/>
              <w:left w:w="30" w:type="dxa"/>
              <w:bottom w:w="30" w:type="dxa"/>
              <w:right w:w="30" w:type="dxa"/>
            </w:tcMar>
            <w:vAlign w:val="center"/>
          </w:tcPr>
          <w:p w:rsidR="007F33B9" w:rsidRPr="007A254B" w:rsidRDefault="007A254B" w:rsidP="007A254B">
            <w:pPr>
              <w:pStyle w:val="Default"/>
              <w:rPr>
                <w:sz w:val="22"/>
                <w:szCs w:val="22"/>
              </w:rPr>
            </w:pPr>
            <w:r>
              <w:rPr>
                <w:b/>
                <w:bCs/>
                <w:sz w:val="22"/>
                <w:szCs w:val="22"/>
              </w:rPr>
              <w:t xml:space="preserve">Lot 2 CVC, Electricité </w:t>
            </w:r>
          </w:p>
        </w:tc>
      </w:tr>
      <w:tr w:rsidR="007F33B9">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Tranche ferme</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Pr="00137220" w:rsidRDefault="007F33B9">
            <w:pPr>
              <w:rPr>
                <w:b/>
                <w:lang w:val="fr-FR" w:eastAsia="fr-FR" w:bidi="ar-SA"/>
              </w:rPr>
            </w:pPr>
            <w:r w:rsidRPr="00137220">
              <w:rPr>
                <w:rFonts w:eastAsia="Arial" w:cs="Arial"/>
                <w:b/>
                <w:lang w:val="fr-FR" w:eastAsia="fr-FR" w:bidi="ar-SA"/>
              </w:rPr>
              <w:t>TF - Travaux d’électricité et de CVC</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2 mois</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3 juin 2025</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31 juillet 2025</w:t>
            </w:r>
          </w:p>
        </w:tc>
      </w:tr>
      <w:tr w:rsidR="007F33B9">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A254B" w:rsidRPr="007A254B" w:rsidRDefault="007F33B9">
            <w:pPr>
              <w:rPr>
                <w:lang w:eastAsia="fr-FR" w:bidi="ar-SA"/>
              </w:rPr>
            </w:pPr>
            <w:r>
              <w:rPr>
                <w:rFonts w:eastAsia="Arial" w:cs="Arial"/>
                <w:lang w:val="fr-FR" w:eastAsia="fr-FR" w:bidi="ar-SA"/>
              </w:rPr>
              <w:t>Tranche optionnelle</w:t>
            </w:r>
            <w:r w:rsidR="007A254B">
              <w:rPr>
                <w:rFonts w:eastAsia="Arial" w:cs="Arial"/>
                <w:lang w:eastAsia="fr-FR" w:bidi="ar-SA"/>
              </w:rPr>
              <w:t xml:space="preserve"> </w:t>
            </w:r>
          </w:p>
          <w:p w:rsidR="007F33B9" w:rsidRPr="007A254B" w:rsidRDefault="007A254B" w:rsidP="007A254B">
            <w:pPr>
              <w:pStyle w:val="Default"/>
            </w:pPr>
            <w:r>
              <w:t xml:space="preserve">N°1 </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sidRPr="00137220">
              <w:rPr>
                <w:rFonts w:eastAsia="Arial" w:cs="Arial"/>
                <w:b/>
                <w:lang w:val="fr-FR" w:eastAsia="fr-FR" w:bidi="ar-SA"/>
              </w:rPr>
              <w:t>TO1 - CVC/PLOMBERIE</w:t>
            </w:r>
            <w:r>
              <w:rPr>
                <w:rFonts w:eastAsia="Arial" w:cs="Arial"/>
                <w:lang w:val="fr-FR" w:eastAsia="fr-FR" w:bidi="ar-SA"/>
              </w:rPr>
              <w:t xml:space="preserve"> - Pompe de relevage : Pose d’une pompe de relevage dans la salle J02 pour l’évier le plus éloigné, compris carottage et évacuations attenantes</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Pr="007A254B" w:rsidRDefault="007A254B">
            <w:pPr>
              <w:rPr>
                <w:lang w:eastAsia="fr-FR" w:bidi="ar-SA"/>
              </w:rPr>
            </w:pPr>
            <w:r>
              <w:rPr>
                <w:rFonts w:eastAsia="Arial" w:cs="Arial"/>
                <w:lang w:eastAsia="fr-FR" w:bidi="ar-SA"/>
              </w:rPr>
              <w:t>1 semaine</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Pr="007A254B" w:rsidRDefault="007A254B" w:rsidP="007A254B">
            <w:pPr>
              <w:pStyle w:val="Default"/>
              <w:rPr>
                <w:sz w:val="22"/>
                <w:szCs w:val="22"/>
              </w:rPr>
            </w:pPr>
            <w:r>
              <w:rPr>
                <w:sz w:val="22"/>
                <w:szCs w:val="22"/>
              </w:rPr>
              <w:t xml:space="preserve">Entre le 3 juin et le 31 juillet 2025 à compter de la décision d’affermissement TO1 </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31 juillet 2025</w:t>
            </w:r>
          </w:p>
        </w:tc>
      </w:tr>
      <w:tr w:rsidR="007F33B9">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A254B" w:rsidRPr="007A254B" w:rsidRDefault="007F33B9">
            <w:pPr>
              <w:rPr>
                <w:lang w:eastAsia="fr-FR" w:bidi="ar-SA"/>
              </w:rPr>
            </w:pPr>
            <w:r>
              <w:rPr>
                <w:rFonts w:eastAsia="Arial" w:cs="Arial"/>
                <w:lang w:val="fr-FR" w:eastAsia="fr-FR" w:bidi="ar-SA"/>
              </w:rPr>
              <w:t>Tranche optionnelle</w:t>
            </w:r>
            <w:r w:rsidR="007A254B">
              <w:rPr>
                <w:rFonts w:eastAsia="Arial" w:cs="Arial"/>
                <w:lang w:eastAsia="fr-FR" w:bidi="ar-SA"/>
              </w:rPr>
              <w:t xml:space="preserve"> </w:t>
            </w:r>
          </w:p>
          <w:p w:rsidR="007F33B9" w:rsidRPr="007A254B" w:rsidRDefault="007A254B" w:rsidP="007A254B">
            <w:pPr>
              <w:pStyle w:val="Default"/>
            </w:pPr>
            <w:r>
              <w:t xml:space="preserve">N°2 </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sidRPr="00137220">
              <w:rPr>
                <w:rFonts w:eastAsia="Arial" w:cs="Arial"/>
                <w:b/>
                <w:lang w:val="fr-FR" w:eastAsia="fr-FR" w:bidi="ar-SA"/>
              </w:rPr>
              <w:t>TO2 - ELECTRICITE - Dépose Matériels audiovisuel :</w:t>
            </w:r>
            <w:r>
              <w:rPr>
                <w:rFonts w:eastAsia="Arial" w:cs="Arial"/>
                <w:lang w:val="fr-FR" w:eastAsia="fr-FR" w:bidi="ar-SA"/>
              </w:rPr>
              <w:t xml:space="preserve"> Ensemble de la dépose des équipements vidéoprotection : (écran, enceinte, luminaires, vidéoprojecteur, distribution, commande ETC )</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A254B">
            <w:pPr>
              <w:rPr>
                <w:lang w:val="fr-FR" w:eastAsia="fr-FR" w:bidi="ar-SA"/>
              </w:rPr>
            </w:pPr>
            <w:r>
              <w:rPr>
                <w:rFonts w:eastAsia="Arial" w:cs="Arial"/>
                <w:lang w:eastAsia="fr-FR" w:bidi="ar-SA"/>
              </w:rPr>
              <w:t>1 semaine</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A254B" w:rsidRDefault="007A254B" w:rsidP="007A254B">
            <w:pPr>
              <w:pStyle w:val="Default"/>
              <w:rPr>
                <w:sz w:val="22"/>
                <w:szCs w:val="22"/>
              </w:rPr>
            </w:pPr>
            <w:r>
              <w:rPr>
                <w:sz w:val="22"/>
                <w:szCs w:val="22"/>
              </w:rPr>
              <w:t xml:space="preserve">Entre le 3 juin et le 31 juillet 2025 à compter de la décision d’affermissement TO2 </w:t>
            </w:r>
          </w:p>
          <w:p w:rsidR="007F33B9" w:rsidRDefault="007F33B9">
            <w:pPr>
              <w:rPr>
                <w:lang w:val="fr-FR" w:eastAsia="fr-FR" w:bidi="ar-SA"/>
              </w:rPr>
            </w:pP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31 juillet 2025</w:t>
            </w:r>
          </w:p>
        </w:tc>
      </w:tr>
      <w:tr w:rsidR="007F33B9">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A254B" w:rsidRPr="007A254B" w:rsidRDefault="007F33B9">
            <w:pPr>
              <w:rPr>
                <w:lang w:eastAsia="fr-FR" w:bidi="ar-SA"/>
              </w:rPr>
            </w:pPr>
            <w:r>
              <w:rPr>
                <w:rFonts w:eastAsia="Arial" w:cs="Arial"/>
                <w:lang w:val="fr-FR" w:eastAsia="fr-FR" w:bidi="ar-SA"/>
              </w:rPr>
              <w:t>Tranche optionnelle</w:t>
            </w:r>
            <w:r w:rsidR="007A254B">
              <w:rPr>
                <w:rFonts w:eastAsia="Arial" w:cs="Arial"/>
                <w:lang w:eastAsia="fr-FR" w:bidi="ar-SA"/>
              </w:rPr>
              <w:t xml:space="preserve"> </w:t>
            </w:r>
          </w:p>
          <w:p w:rsidR="007F33B9" w:rsidRPr="007A254B" w:rsidRDefault="007A254B" w:rsidP="007A254B">
            <w:pPr>
              <w:pStyle w:val="Default"/>
            </w:pPr>
            <w:r>
              <w:t xml:space="preserve">N°3 </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sidRPr="00137220">
              <w:rPr>
                <w:rFonts w:eastAsia="Arial" w:cs="Arial"/>
                <w:b/>
                <w:lang w:val="fr-FR" w:eastAsia="fr-FR" w:bidi="ar-SA"/>
              </w:rPr>
              <w:t>TO3 - ELECTRICITE</w:t>
            </w:r>
            <w:r>
              <w:rPr>
                <w:rFonts w:eastAsia="Arial" w:cs="Arial"/>
                <w:lang w:val="fr-FR" w:eastAsia="fr-FR" w:bidi="ar-SA"/>
              </w:rPr>
              <w:t xml:space="preserve"> - </w:t>
            </w:r>
            <w:r w:rsidRPr="00137220">
              <w:rPr>
                <w:rFonts w:eastAsia="Arial" w:cs="Arial"/>
                <w:b/>
                <w:lang w:val="fr-FR" w:eastAsia="fr-FR" w:bidi="ar-SA"/>
              </w:rPr>
              <w:t>Repose Matériels audiovisuel</w:t>
            </w:r>
            <w:r>
              <w:rPr>
                <w:rFonts w:eastAsia="Arial" w:cs="Arial"/>
                <w:lang w:val="fr-FR" w:eastAsia="fr-FR" w:bidi="ar-SA"/>
              </w:rPr>
              <w:t xml:space="preserve"> : Repose des équipements existants conservés (audiovisuel)</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A254B">
            <w:pPr>
              <w:rPr>
                <w:lang w:val="fr-FR" w:eastAsia="fr-FR" w:bidi="ar-SA"/>
              </w:rPr>
            </w:pPr>
            <w:r>
              <w:rPr>
                <w:rFonts w:eastAsia="Arial" w:cs="Arial"/>
                <w:lang w:eastAsia="fr-FR" w:bidi="ar-SA"/>
              </w:rPr>
              <w:t>1 semaine</w:t>
            </w: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A254B" w:rsidRDefault="007A254B" w:rsidP="007A254B">
            <w:pPr>
              <w:pStyle w:val="Default"/>
              <w:rPr>
                <w:sz w:val="22"/>
                <w:szCs w:val="22"/>
              </w:rPr>
            </w:pPr>
            <w:r>
              <w:rPr>
                <w:sz w:val="22"/>
                <w:szCs w:val="22"/>
              </w:rPr>
              <w:t xml:space="preserve">Entre le 3 juin et le 31 juillet 2025 à compter de la décision d’affermissement TO3 </w:t>
            </w:r>
          </w:p>
          <w:p w:rsidR="007F33B9" w:rsidRDefault="007F33B9">
            <w:pPr>
              <w:rPr>
                <w:lang w:val="fr-FR" w:eastAsia="fr-FR" w:bidi="ar-SA"/>
              </w:rPr>
            </w:pPr>
          </w:p>
        </w:tc>
        <w:tc>
          <w:tcPr>
            <w:tcW w:w="3825" w:type="dxa"/>
            <w:tcBorders>
              <w:top w:val="inset" w:sz="6" w:space="0" w:color="808080"/>
              <w:left w:val="inset" w:sz="6" w:space="0" w:color="808080"/>
              <w:bottom w:val="inset" w:sz="6" w:space="0" w:color="808080"/>
              <w:right w:val="inset" w:sz="6" w:space="0" w:color="808080"/>
            </w:tcBorders>
            <w:tcMar>
              <w:top w:w="30" w:type="dxa"/>
              <w:left w:w="30" w:type="dxa"/>
              <w:bottom w:w="30" w:type="dxa"/>
              <w:right w:w="30" w:type="dxa"/>
            </w:tcMar>
            <w:vAlign w:val="bottom"/>
          </w:tcPr>
          <w:p w:rsidR="007F33B9" w:rsidRDefault="007F33B9">
            <w:pPr>
              <w:rPr>
                <w:lang w:val="fr-FR" w:eastAsia="fr-FR" w:bidi="ar-SA"/>
              </w:rPr>
            </w:pPr>
            <w:r>
              <w:rPr>
                <w:rFonts w:eastAsia="Arial" w:cs="Arial"/>
                <w:lang w:val="fr-FR" w:eastAsia="fr-FR" w:bidi="ar-SA"/>
              </w:rPr>
              <w:t>31 juillet 2025</w:t>
            </w:r>
          </w:p>
        </w:tc>
      </w:tr>
    </w:tbl>
    <w:p w:rsidR="00137220" w:rsidRDefault="00137220" w:rsidP="007F33B9">
      <w:pPr>
        <w:tabs>
          <w:tab w:val="left" w:pos="851"/>
        </w:tabs>
        <w:jc w:val="both"/>
        <w:rPr>
          <w:rFonts w:cs="Arial"/>
          <w:bCs/>
        </w:rPr>
      </w:pPr>
    </w:p>
    <w:p w:rsidR="007F33B9" w:rsidRPr="005C119D" w:rsidRDefault="00137220" w:rsidP="007F33B9">
      <w:pPr>
        <w:tabs>
          <w:tab w:val="left" w:pos="851"/>
        </w:tabs>
        <w:jc w:val="both"/>
        <w:rPr>
          <w:rFonts w:cs="Arial"/>
          <w:bCs/>
        </w:rPr>
      </w:pPr>
      <w:r>
        <w:rPr>
          <w:rFonts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F33B9" w:rsidRPr="005C119D">
        <w:tc>
          <w:tcPr>
            <w:tcW w:w="10419" w:type="dxa"/>
            <w:shd w:val="clear" w:color="auto" w:fill="66CCFF"/>
          </w:tcPr>
          <w:p w:rsidR="007F33B9" w:rsidRPr="005C119D" w:rsidRDefault="007F33B9" w:rsidP="007F33B9">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rsidR="007F33B9" w:rsidRPr="005C119D" w:rsidRDefault="007F33B9" w:rsidP="007F33B9">
      <w:pPr>
        <w:tabs>
          <w:tab w:val="left" w:pos="851"/>
        </w:tabs>
        <w:jc w:val="both"/>
      </w:pPr>
    </w:p>
    <w:p w:rsidR="007F33B9" w:rsidRPr="005C119D" w:rsidRDefault="007F33B9" w:rsidP="007F33B9">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rsidR="007F33B9" w:rsidRPr="005C119D" w:rsidRDefault="007F33B9" w:rsidP="007F33B9">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F33B9" w:rsidRPr="005C119D" w:rsidTr="007F33B9">
        <w:tc>
          <w:tcPr>
            <w:tcW w:w="4644" w:type="dxa"/>
            <w:tcBorders>
              <w:top w:val="single" w:sz="4" w:space="0" w:color="000000"/>
              <w:left w:val="single" w:sz="4" w:space="0" w:color="000000"/>
              <w:bottom w:val="single" w:sz="4" w:space="0" w:color="000000"/>
            </w:tcBorders>
            <w:shd w:val="clear" w:color="auto" w:fill="auto"/>
            <w:vAlign w:val="center"/>
          </w:tcPr>
          <w:p w:rsidR="007F33B9" w:rsidRPr="005C119D" w:rsidRDefault="007F33B9" w:rsidP="007F33B9">
            <w:pPr>
              <w:tabs>
                <w:tab w:val="left" w:pos="851"/>
              </w:tabs>
              <w:jc w:val="center"/>
              <w:rPr>
                <w:rFonts w:cs="Arial"/>
                <w:b/>
                <w:bCs/>
              </w:rPr>
            </w:pPr>
            <w:r w:rsidRPr="005C119D">
              <w:rPr>
                <w:rFonts w:cs="Arial"/>
                <w:b/>
                <w:bCs/>
              </w:rPr>
              <w:t>Nom, prénom et qualité</w:t>
            </w:r>
          </w:p>
          <w:p w:rsidR="007F33B9" w:rsidRPr="005C119D" w:rsidRDefault="007F33B9" w:rsidP="007F33B9">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F33B9" w:rsidRPr="005C119D" w:rsidRDefault="007F33B9" w:rsidP="007F33B9">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33B9" w:rsidRPr="005C119D" w:rsidRDefault="007F33B9" w:rsidP="007F33B9">
            <w:pPr>
              <w:tabs>
                <w:tab w:val="left" w:pos="851"/>
              </w:tabs>
              <w:jc w:val="center"/>
              <w:rPr>
                <w:rFonts w:cs="Arial"/>
                <w:b/>
                <w:bCs/>
              </w:rPr>
            </w:pPr>
            <w:r w:rsidRPr="005C119D">
              <w:rPr>
                <w:rFonts w:cs="Arial"/>
                <w:b/>
                <w:bCs/>
              </w:rPr>
              <w:t>Signature</w:t>
            </w:r>
          </w:p>
        </w:tc>
      </w:tr>
      <w:tr w:rsidR="007F33B9" w:rsidRPr="005C119D" w:rsidTr="007F33B9">
        <w:trPr>
          <w:trHeight w:val="1021"/>
        </w:trPr>
        <w:tc>
          <w:tcPr>
            <w:tcW w:w="4644" w:type="dxa"/>
            <w:tcBorders>
              <w:top w:val="single" w:sz="4" w:space="0" w:color="000000"/>
              <w:left w:val="single" w:sz="4" w:space="0" w:color="000000"/>
              <w:bottom w:val="single" w:sz="4" w:space="0" w:color="auto"/>
            </w:tcBorders>
            <w:shd w:val="clear" w:color="auto" w:fill="auto"/>
          </w:tcPr>
          <w:p w:rsidR="007F33B9" w:rsidRPr="005C119D" w:rsidRDefault="007F33B9" w:rsidP="007F33B9">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rsidR="007F33B9" w:rsidRPr="005C119D" w:rsidRDefault="007F33B9" w:rsidP="007F33B9">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r>
    </w:tbl>
    <w:p w:rsidR="007F33B9" w:rsidRPr="005C119D" w:rsidRDefault="007F33B9" w:rsidP="007F33B9">
      <w:pPr>
        <w:tabs>
          <w:tab w:val="left" w:pos="851"/>
        </w:tabs>
        <w:jc w:val="both"/>
        <w:rPr>
          <w:rFonts w:cs="Arial"/>
        </w:rPr>
      </w:pPr>
      <w:r w:rsidRPr="005C119D">
        <w:rPr>
          <w:rFonts w:cs="Arial"/>
          <w:sz w:val="18"/>
          <w:szCs w:val="18"/>
        </w:rPr>
        <w:t>(*) Le signataire doit avoir le pouvoir d’engager la personne qu’il représente.</w:t>
      </w:r>
    </w:p>
    <w:p w:rsidR="007F33B9" w:rsidRPr="005C119D" w:rsidRDefault="007F33B9" w:rsidP="007F33B9">
      <w:pPr>
        <w:pStyle w:val="fcase1ertab"/>
        <w:tabs>
          <w:tab w:val="left" w:pos="851"/>
        </w:tabs>
        <w:ind w:left="0" w:firstLine="0"/>
        <w:rPr>
          <w:rFonts w:cs="Arial"/>
          <w:b/>
          <w:sz w:val="22"/>
          <w:szCs w:val="22"/>
        </w:rPr>
      </w:pPr>
    </w:p>
    <w:p w:rsidR="007F33B9" w:rsidRPr="005C119D" w:rsidRDefault="007F33B9" w:rsidP="007F33B9">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rsidR="007F33B9" w:rsidRPr="005C119D" w:rsidRDefault="007F33B9" w:rsidP="007F33B9">
      <w:pPr>
        <w:tabs>
          <w:tab w:val="left" w:pos="851"/>
        </w:tabs>
        <w:jc w:val="both"/>
      </w:pPr>
    </w:p>
    <w:p w:rsidR="007F33B9" w:rsidRDefault="007F33B9" w:rsidP="007F33B9">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rsidR="007F33B9" w:rsidRPr="005C119D" w:rsidRDefault="007F33B9" w:rsidP="007F33B9">
      <w:pPr>
        <w:tabs>
          <w:tab w:val="left" w:pos="851"/>
        </w:tabs>
        <w:rPr>
          <w:rFonts w:cs="Arial"/>
          <w:i/>
          <w:sz w:val="18"/>
          <w:szCs w:val="18"/>
        </w:rPr>
      </w:pPr>
      <w:r w:rsidRPr="005C119D">
        <w:rPr>
          <w:rFonts w:cs="Arial"/>
          <w:i/>
          <w:sz w:val="18"/>
          <w:szCs w:val="18"/>
        </w:rPr>
        <w:t>[Indiquer le nom commercial et la dénomination sociale du mandataire]</w:t>
      </w: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pStyle w:val="fcase1ertab"/>
        <w:tabs>
          <w:tab w:val="left" w:pos="851"/>
        </w:tabs>
        <w:ind w:left="0" w:firstLine="0"/>
        <w:rPr>
          <w:rFonts w:cs="Arial"/>
        </w:rPr>
      </w:pPr>
      <w:r w:rsidRPr="005C119D">
        <w:rPr>
          <w:rFonts w:cs="Arial"/>
        </w:rPr>
        <w:t>En cas de groupement conjoint, le mandataire du groupement est :</w:t>
      </w:r>
    </w:p>
    <w:p w:rsidR="007F33B9" w:rsidRPr="005C119D" w:rsidRDefault="007F33B9" w:rsidP="007F33B9">
      <w:pPr>
        <w:pStyle w:val="fcase1ertab"/>
        <w:tabs>
          <w:tab w:val="left" w:pos="851"/>
        </w:tabs>
        <w:rPr>
          <w:rFonts w:cs="Arial"/>
        </w:rPr>
      </w:pPr>
      <w:r w:rsidRPr="005C119D">
        <w:rPr>
          <w:rFonts w:cs="Arial"/>
          <w:i/>
          <w:iCs/>
          <w:sz w:val="18"/>
          <w:szCs w:val="18"/>
        </w:rPr>
        <w:t>(Cocher la case correspondante.)</w:t>
      </w:r>
    </w:p>
    <w:p w:rsidR="007F33B9" w:rsidRPr="005C119D" w:rsidRDefault="007F33B9" w:rsidP="007F33B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iCs/>
        </w:rPr>
        <w:t xml:space="preserve"> </w:t>
      </w:r>
      <w:r w:rsidRPr="005C119D">
        <w:rPr>
          <w:rFonts w:cs="Arial"/>
        </w:rPr>
        <w:t>solidaire</w:t>
      </w: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w:t>
      </w:r>
      <w:r w:rsidRPr="005C119D">
        <w:rPr>
          <w:rFonts w:cs="Arial"/>
        </w:rPr>
        <w:t>Les membres du groupement ont donné mandat au mandataire, qui signe le présent acte d’engagement :</w:t>
      </w:r>
    </w:p>
    <w:p w:rsidR="007F33B9" w:rsidRPr="005C119D" w:rsidRDefault="007F33B9" w:rsidP="007F33B9">
      <w:pPr>
        <w:tabs>
          <w:tab w:val="left" w:pos="851"/>
        </w:tabs>
        <w:rPr>
          <w:rFonts w:cs="Arial"/>
        </w:rPr>
      </w:pPr>
      <w:r w:rsidRPr="005C119D">
        <w:rPr>
          <w:rFonts w:cs="Arial"/>
          <w:i/>
          <w:sz w:val="18"/>
          <w:szCs w:val="18"/>
        </w:rPr>
        <w:t>(Cocher la ou les cases correspondantes.)</w:t>
      </w:r>
    </w:p>
    <w:p w:rsidR="007F33B9" w:rsidRPr="005C119D" w:rsidRDefault="007F33B9" w:rsidP="007F33B9">
      <w:pPr>
        <w:pStyle w:val="fcasegauche"/>
        <w:tabs>
          <w:tab w:val="left" w:pos="426"/>
          <w:tab w:val="left" w:pos="851"/>
        </w:tabs>
        <w:spacing w:after="0"/>
        <w:ind w:left="0" w:firstLine="0"/>
        <w:jc w:val="left"/>
        <w:rPr>
          <w:rFonts w:cs="Arial"/>
        </w:rPr>
      </w:pPr>
    </w:p>
    <w:p w:rsidR="007F33B9" w:rsidRPr="005C119D" w:rsidRDefault="007F33B9" w:rsidP="007F33B9">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ab/>
      </w:r>
      <w:r w:rsidRPr="005C119D">
        <w:rPr>
          <w:rFonts w:cs="Arial"/>
        </w:rPr>
        <w:t xml:space="preserve">pour signer le présent acte d’engagement en leur nom et pour leur compte, pour les représenter vis-à-vis </w:t>
      </w:r>
      <w:r w:rsidRPr="00FF3AB8">
        <w:t>du maître d’ouvrage</w:t>
      </w:r>
      <w:r w:rsidRPr="005C119D">
        <w:rPr>
          <w:rFonts w:cs="Arial"/>
        </w:rPr>
        <w:t xml:space="preserve"> et pour coordonner l’ensemble des prestations ;</w:t>
      </w:r>
    </w:p>
    <w:p w:rsidR="007F33B9" w:rsidRPr="005C119D" w:rsidRDefault="007F33B9" w:rsidP="007F33B9">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7F33B9" w:rsidRPr="005C119D" w:rsidRDefault="007F33B9" w:rsidP="007F33B9">
      <w:pPr>
        <w:tabs>
          <w:tab w:val="left" w:pos="851"/>
        </w:tabs>
        <w:rPr>
          <w:rFonts w:cs="Arial"/>
        </w:rPr>
      </w:pPr>
    </w:p>
    <w:p w:rsidR="007F33B9" w:rsidRPr="005C119D" w:rsidRDefault="007F33B9" w:rsidP="007F33B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ab/>
      </w:r>
      <w:r w:rsidRPr="005C119D">
        <w:rPr>
          <w:rFonts w:cs="Arial"/>
        </w:rPr>
        <w:t>pour signer, en leur nom et pour leur compte, les modifications ultérieures du marché public ou de l’accord-cadre ;</w:t>
      </w:r>
    </w:p>
    <w:p w:rsidR="007F33B9" w:rsidRPr="005C119D" w:rsidRDefault="007F33B9" w:rsidP="007F33B9">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rsidR="007F33B9" w:rsidRPr="005C119D" w:rsidRDefault="007F33B9" w:rsidP="007F33B9">
      <w:pPr>
        <w:tabs>
          <w:tab w:val="left" w:pos="851"/>
        </w:tabs>
        <w:rPr>
          <w:rFonts w:cs="Arial"/>
          <w:iCs/>
        </w:rPr>
      </w:pPr>
    </w:p>
    <w:p w:rsidR="007F33B9" w:rsidRPr="005C119D" w:rsidRDefault="007F33B9" w:rsidP="007F33B9">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i/>
          <w:iCs/>
        </w:rPr>
        <w:t xml:space="preserve"> </w:t>
      </w:r>
      <w:r w:rsidRPr="005C119D">
        <w:rPr>
          <w:rFonts w:cs="Arial"/>
        </w:rPr>
        <w:tab/>
        <w:t>ont donné mandat au mandataire dans les conditions définies par les pouvoirs joints en annexe.</w:t>
      </w:r>
    </w:p>
    <w:p w:rsidR="007F33B9" w:rsidRPr="005C119D" w:rsidRDefault="007F33B9" w:rsidP="007F33B9">
      <w:pPr>
        <w:tabs>
          <w:tab w:val="left" w:pos="851"/>
        </w:tabs>
        <w:ind w:left="1134" w:hanging="850"/>
        <w:rPr>
          <w:rFonts w:cs="Arial"/>
          <w:i/>
          <w:sz w:val="18"/>
          <w:szCs w:val="18"/>
        </w:rPr>
      </w:pPr>
    </w:p>
    <w:p w:rsidR="007F33B9" w:rsidRPr="005C119D" w:rsidRDefault="007F33B9" w:rsidP="007F33B9">
      <w:pPr>
        <w:tabs>
          <w:tab w:val="left" w:pos="851"/>
        </w:tabs>
        <w:rPr>
          <w:rFonts w:cs="Arial"/>
          <w:i/>
          <w:sz w:val="18"/>
          <w:szCs w:val="18"/>
        </w:rPr>
      </w:pPr>
    </w:p>
    <w:p w:rsidR="007F33B9" w:rsidRPr="005C119D" w:rsidRDefault="007F33B9" w:rsidP="007F33B9">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 xml:space="preserve"> </w:t>
      </w:r>
      <w:r w:rsidRPr="005C119D">
        <w:rPr>
          <w:rFonts w:cs="Arial"/>
        </w:rPr>
        <w:t>Les membres du groupement, qui signent le présent acte d’engagement :</w:t>
      </w:r>
    </w:p>
    <w:p w:rsidR="007F33B9" w:rsidRPr="005C119D" w:rsidRDefault="007F33B9" w:rsidP="007F33B9">
      <w:pPr>
        <w:tabs>
          <w:tab w:val="left" w:pos="851"/>
        </w:tabs>
        <w:rPr>
          <w:rFonts w:cs="Arial"/>
        </w:rPr>
      </w:pPr>
      <w:r w:rsidRPr="005C119D">
        <w:rPr>
          <w:rFonts w:cs="Arial"/>
          <w:i/>
          <w:sz w:val="18"/>
          <w:szCs w:val="18"/>
        </w:rPr>
        <w:t>(Cocher la case correspondante.)</w:t>
      </w:r>
    </w:p>
    <w:p w:rsidR="007F33B9" w:rsidRPr="005C119D" w:rsidRDefault="007F33B9" w:rsidP="007F33B9">
      <w:pPr>
        <w:tabs>
          <w:tab w:val="left" w:pos="851"/>
        </w:tabs>
        <w:rPr>
          <w:rFonts w:cs="Arial"/>
        </w:rPr>
      </w:pPr>
    </w:p>
    <w:p w:rsidR="007F33B9" w:rsidRPr="005C119D" w:rsidRDefault="007F33B9" w:rsidP="007F33B9">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tab/>
      </w:r>
      <w:r w:rsidRPr="005C119D">
        <w:rPr>
          <w:rFonts w:cs="Arial"/>
        </w:rPr>
        <w:t xml:space="preserve">donnent mandat au mandataire, qui l’accepte, pour les représenter vis-à-vis </w:t>
      </w:r>
      <w:r w:rsidRPr="00FF3AB8">
        <w:t>du maître d’ouvrage</w:t>
      </w:r>
      <w:r w:rsidRPr="005C119D">
        <w:rPr>
          <w:rFonts w:cs="Arial"/>
        </w:rPr>
        <w:t xml:space="preserve"> et pour coordonner l’ensemble des prestations ;</w:t>
      </w:r>
    </w:p>
    <w:p w:rsidR="007F33B9" w:rsidRPr="005C119D" w:rsidRDefault="007F33B9" w:rsidP="007F33B9">
      <w:pPr>
        <w:tabs>
          <w:tab w:val="left" w:pos="851"/>
        </w:tabs>
        <w:ind w:left="1701" w:hanging="850"/>
        <w:jc w:val="both"/>
      </w:pPr>
    </w:p>
    <w:p w:rsidR="007F33B9" w:rsidRPr="005C119D" w:rsidRDefault="007F33B9" w:rsidP="007F33B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rPr>
        <w:tab/>
        <w:t>donnent mandat au mandataire, qui l’accepte, pour signer, en leur nom et pour leur compte, les modifications ultérieures du marché ou de l’accord-cadre ;</w:t>
      </w:r>
    </w:p>
    <w:p w:rsidR="007F33B9" w:rsidRPr="005C119D" w:rsidRDefault="007F33B9" w:rsidP="007F33B9">
      <w:pPr>
        <w:tabs>
          <w:tab w:val="left" w:pos="851"/>
        </w:tabs>
        <w:rPr>
          <w:rFonts w:cs="Arial"/>
          <w:iCs/>
        </w:rPr>
      </w:pPr>
    </w:p>
    <w:p w:rsidR="007F33B9" w:rsidRPr="005C119D" w:rsidRDefault="007F33B9" w:rsidP="007F33B9">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end"/>
      </w:r>
      <w:r w:rsidRPr="005C119D">
        <w:rPr>
          <w:rFonts w:cs="Arial"/>
          <w:i/>
          <w:iCs/>
        </w:rPr>
        <w:t xml:space="preserve"> </w:t>
      </w:r>
      <w:r w:rsidRPr="005C119D">
        <w:rPr>
          <w:rFonts w:cs="Arial"/>
        </w:rPr>
        <w:tab/>
        <w:t>donnent mandat au mandataire dans les conditions définies ci-dessous :</w:t>
      </w:r>
    </w:p>
    <w:p w:rsidR="007F33B9" w:rsidRPr="005C119D" w:rsidRDefault="007F33B9" w:rsidP="007F33B9">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Default="007F33B9" w:rsidP="007F33B9">
      <w:pPr>
        <w:tabs>
          <w:tab w:val="left" w:pos="851"/>
        </w:tabs>
        <w:rPr>
          <w:rFonts w:cs="Arial"/>
        </w:rPr>
      </w:pPr>
    </w:p>
    <w:p w:rsidR="00137220" w:rsidRDefault="00137220" w:rsidP="007F33B9">
      <w:pPr>
        <w:tabs>
          <w:tab w:val="left" w:pos="851"/>
        </w:tabs>
        <w:rPr>
          <w:rFonts w:cs="Arial"/>
        </w:rPr>
      </w:pPr>
    </w:p>
    <w:p w:rsidR="00137220" w:rsidRDefault="00137220" w:rsidP="007F33B9">
      <w:pPr>
        <w:tabs>
          <w:tab w:val="left" w:pos="851"/>
        </w:tabs>
        <w:rPr>
          <w:rFonts w:cs="Arial"/>
        </w:rPr>
      </w:pPr>
    </w:p>
    <w:p w:rsidR="00137220" w:rsidRDefault="00137220" w:rsidP="007F33B9">
      <w:pPr>
        <w:tabs>
          <w:tab w:val="left" w:pos="851"/>
        </w:tabs>
        <w:rPr>
          <w:rFonts w:cs="Arial"/>
        </w:rPr>
      </w:pPr>
    </w:p>
    <w:p w:rsidR="00137220" w:rsidRDefault="00137220" w:rsidP="007F33B9">
      <w:pPr>
        <w:tabs>
          <w:tab w:val="left" w:pos="851"/>
        </w:tabs>
        <w:rPr>
          <w:rFonts w:cs="Arial"/>
        </w:rPr>
      </w:pPr>
    </w:p>
    <w:p w:rsidR="00137220" w:rsidRDefault="00137220" w:rsidP="007F33B9">
      <w:pPr>
        <w:tabs>
          <w:tab w:val="left" w:pos="851"/>
        </w:tabs>
        <w:rPr>
          <w:rFonts w:cs="Arial"/>
        </w:rPr>
      </w:pPr>
    </w:p>
    <w:p w:rsidR="00137220" w:rsidRDefault="00137220" w:rsidP="007F33B9">
      <w:pPr>
        <w:tabs>
          <w:tab w:val="left" w:pos="851"/>
        </w:tabs>
        <w:rPr>
          <w:rFonts w:cs="Arial"/>
        </w:rPr>
      </w:pPr>
    </w:p>
    <w:p w:rsidR="00137220" w:rsidRPr="005C119D" w:rsidRDefault="00137220"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7F33B9" w:rsidRPr="005C119D" w:rsidTr="007F33B9">
        <w:tc>
          <w:tcPr>
            <w:tcW w:w="4644" w:type="dxa"/>
            <w:tcBorders>
              <w:top w:val="single" w:sz="4" w:space="0" w:color="000000"/>
              <w:left w:val="single" w:sz="4" w:space="0" w:color="000000"/>
              <w:bottom w:val="single" w:sz="4" w:space="0" w:color="000000"/>
            </w:tcBorders>
            <w:shd w:val="clear" w:color="auto" w:fill="auto"/>
            <w:vAlign w:val="center"/>
          </w:tcPr>
          <w:p w:rsidR="007F33B9" w:rsidRPr="005C119D" w:rsidRDefault="007F33B9" w:rsidP="007F33B9">
            <w:pPr>
              <w:tabs>
                <w:tab w:val="left" w:pos="851"/>
              </w:tabs>
              <w:jc w:val="center"/>
              <w:rPr>
                <w:rFonts w:cs="Arial"/>
                <w:b/>
                <w:bCs/>
              </w:rPr>
            </w:pPr>
            <w:r w:rsidRPr="005C119D">
              <w:rPr>
                <w:rFonts w:cs="Arial"/>
                <w:b/>
                <w:bCs/>
              </w:rPr>
              <w:t>Nom, prénom et qualité</w:t>
            </w:r>
          </w:p>
          <w:p w:rsidR="007F33B9" w:rsidRPr="005C119D" w:rsidRDefault="007F33B9" w:rsidP="007F33B9">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7F33B9" w:rsidRPr="005C119D" w:rsidRDefault="007F33B9" w:rsidP="007F33B9">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33B9" w:rsidRPr="005C119D" w:rsidRDefault="007F33B9" w:rsidP="007F33B9">
            <w:pPr>
              <w:tabs>
                <w:tab w:val="left" w:pos="851"/>
              </w:tabs>
              <w:jc w:val="center"/>
              <w:rPr>
                <w:rFonts w:cs="Arial"/>
                <w:b/>
                <w:bCs/>
              </w:rPr>
            </w:pPr>
            <w:r w:rsidRPr="005C119D">
              <w:rPr>
                <w:rFonts w:cs="Arial"/>
                <w:b/>
                <w:bCs/>
              </w:rPr>
              <w:t>Signature</w:t>
            </w:r>
          </w:p>
        </w:tc>
      </w:tr>
      <w:tr w:rsidR="007F33B9" w:rsidRPr="005C119D" w:rsidTr="007F33B9">
        <w:trPr>
          <w:trHeight w:val="1021"/>
        </w:trPr>
        <w:tc>
          <w:tcPr>
            <w:tcW w:w="4644" w:type="dxa"/>
            <w:tcBorders>
              <w:top w:val="single" w:sz="4" w:space="0" w:color="000000"/>
              <w:lef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r>
      <w:tr w:rsidR="007F33B9" w:rsidRPr="005C119D" w:rsidTr="007F33B9">
        <w:trPr>
          <w:trHeight w:val="1021"/>
        </w:trPr>
        <w:tc>
          <w:tcPr>
            <w:tcW w:w="4644" w:type="dxa"/>
            <w:tcBorders>
              <w:lef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c>
          <w:tcPr>
            <w:tcW w:w="2694" w:type="dxa"/>
            <w:tcBorders>
              <w:lef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r>
      <w:tr w:rsidR="007F33B9" w:rsidRPr="005C119D" w:rsidTr="007F33B9">
        <w:trPr>
          <w:trHeight w:val="1021"/>
        </w:trPr>
        <w:tc>
          <w:tcPr>
            <w:tcW w:w="4644" w:type="dxa"/>
            <w:tcBorders>
              <w:lef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c>
          <w:tcPr>
            <w:tcW w:w="2694" w:type="dxa"/>
            <w:tcBorders>
              <w:lef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r>
      <w:tr w:rsidR="007F33B9" w:rsidRPr="005C119D" w:rsidTr="007F33B9">
        <w:trPr>
          <w:trHeight w:val="1021"/>
        </w:trPr>
        <w:tc>
          <w:tcPr>
            <w:tcW w:w="4644" w:type="dxa"/>
            <w:tcBorders>
              <w:lef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c>
          <w:tcPr>
            <w:tcW w:w="2694" w:type="dxa"/>
            <w:tcBorders>
              <w:lef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rsidR="007F33B9" w:rsidRPr="005C119D" w:rsidRDefault="007F33B9" w:rsidP="007F33B9">
            <w:pPr>
              <w:tabs>
                <w:tab w:val="left" w:pos="851"/>
              </w:tabs>
              <w:snapToGrid w:val="0"/>
              <w:jc w:val="both"/>
              <w:rPr>
                <w:rFonts w:cs="Arial"/>
                <w:b/>
                <w:bCs/>
              </w:rPr>
            </w:pPr>
          </w:p>
        </w:tc>
      </w:tr>
      <w:tr w:rsidR="007F33B9" w:rsidRPr="005C119D" w:rsidTr="007F33B9">
        <w:trPr>
          <w:trHeight w:val="1021"/>
        </w:trPr>
        <w:tc>
          <w:tcPr>
            <w:tcW w:w="4644" w:type="dxa"/>
            <w:tcBorders>
              <w:left w:val="single" w:sz="4" w:space="0" w:color="000000"/>
              <w:bottom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rsidR="007F33B9" w:rsidRPr="005C119D" w:rsidRDefault="007F33B9" w:rsidP="007F33B9">
            <w:pPr>
              <w:tabs>
                <w:tab w:val="left" w:pos="851"/>
              </w:tabs>
              <w:snapToGrid w:val="0"/>
              <w:jc w:val="both"/>
              <w:rPr>
                <w:rFonts w:cs="Arial"/>
                <w:b/>
                <w:bCs/>
              </w:rPr>
            </w:pPr>
          </w:p>
        </w:tc>
      </w:tr>
    </w:tbl>
    <w:p w:rsidR="007F33B9" w:rsidRPr="005C119D" w:rsidRDefault="007F33B9" w:rsidP="007F33B9">
      <w:pPr>
        <w:tabs>
          <w:tab w:val="left" w:pos="851"/>
        </w:tabs>
        <w:jc w:val="both"/>
        <w:rPr>
          <w:rFonts w:cs="Arial"/>
        </w:rPr>
      </w:pPr>
      <w:r w:rsidRPr="005C119D">
        <w:rPr>
          <w:rFonts w:cs="Arial"/>
          <w:sz w:val="18"/>
          <w:szCs w:val="18"/>
        </w:rPr>
        <w:t>(*) Le signataire doit avoir le pouvoir d’engager la personne qu’il représente.</w:t>
      </w: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F33B9" w:rsidRPr="005C119D">
        <w:tc>
          <w:tcPr>
            <w:tcW w:w="10277" w:type="dxa"/>
            <w:shd w:val="clear" w:color="auto" w:fill="66CCFF"/>
          </w:tcPr>
          <w:p w:rsidR="007F33B9" w:rsidRPr="005C119D" w:rsidRDefault="007F33B9" w:rsidP="007F33B9">
            <w:pPr>
              <w:pStyle w:val="Titre4"/>
              <w:tabs>
                <w:tab w:val="left" w:pos="851"/>
              </w:tabs>
            </w:pPr>
            <w:r w:rsidRPr="005C119D">
              <w:rPr>
                <w:sz w:val="22"/>
                <w:szCs w:val="22"/>
              </w:rPr>
              <w:t xml:space="preserve">D - Identification et signature </w:t>
            </w:r>
            <w:r w:rsidRPr="00FF3AB8">
              <w:t>du maître d’ouvrage</w:t>
            </w:r>
          </w:p>
        </w:tc>
      </w:tr>
    </w:tbl>
    <w:p w:rsidR="007F33B9" w:rsidRPr="005C119D" w:rsidRDefault="007F33B9" w:rsidP="007F33B9">
      <w:pPr>
        <w:tabs>
          <w:tab w:val="left" w:pos="851"/>
        </w:tabs>
      </w:pPr>
    </w:p>
    <w:p w:rsidR="007F33B9" w:rsidRPr="005C119D" w:rsidRDefault="007F33B9" w:rsidP="007F33B9">
      <w:pPr>
        <w:tabs>
          <w:tab w:val="left" w:pos="851"/>
        </w:tabs>
      </w:pPr>
    </w:p>
    <w:p w:rsidR="007F33B9" w:rsidRPr="005C119D" w:rsidRDefault="007F33B9" w:rsidP="007F33B9">
      <w:pPr>
        <w:pStyle w:val="Titre1"/>
        <w:tabs>
          <w:tab w:val="left" w:pos="567"/>
          <w:tab w:val="left" w:pos="851"/>
        </w:tabs>
        <w:ind w:left="0"/>
        <w:jc w:val="both"/>
        <w:rPr>
          <w:rFonts w:ascii="Arial" w:hAnsi="Arial" w:cs="Arial"/>
          <w:b w:val="0"/>
          <w:bCs/>
          <w:i/>
          <w:iCs/>
          <w:sz w:val="18"/>
          <w:szCs w:val="18"/>
        </w:rPr>
      </w:pPr>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 xml:space="preserve">Désignation </w:t>
      </w:r>
      <w:r w:rsidRPr="00E41F29">
        <w:rPr>
          <w:rFonts w:ascii="Arial" w:hAnsi="Arial" w:cs="Arial"/>
          <w:b w:val="0"/>
          <w:bCs/>
          <w:iCs/>
        </w:rPr>
        <w:t>du maître d’ouvrage</w:t>
      </w:r>
      <w:r w:rsidRPr="005C119D">
        <w:rPr>
          <w:rFonts w:ascii="Arial" w:hAnsi="Arial" w:cs="Arial"/>
          <w:b w:val="0"/>
          <w:bCs/>
          <w:iCs/>
        </w:rPr>
        <w:t>:</w:t>
      </w:r>
    </w:p>
    <w:p w:rsidR="007F33B9" w:rsidRPr="005C119D" w:rsidRDefault="007F33B9" w:rsidP="007F33B9">
      <w:pPr>
        <w:numPr>
          <w:ilvl w:val="0"/>
          <w:numId w:val="1"/>
        </w:numPr>
        <w:rPr>
          <w:bCs/>
        </w:rPr>
      </w:pPr>
    </w:p>
    <w:p w:rsidR="007F33B9" w:rsidRPr="005C119D" w:rsidRDefault="007F33B9" w:rsidP="007F33B9">
      <w:pPr>
        <w:numPr>
          <w:ilvl w:val="0"/>
          <w:numId w:val="1"/>
        </w:numPr>
        <w:rPr>
          <w:bCs/>
        </w:rPr>
      </w:pPr>
      <w:r w:rsidRPr="005C119D">
        <w:rPr>
          <w:bCs/>
          <w:color w:val="000000"/>
        </w:rPr>
        <w:t>UNIVERSITE BORDEAUX MONTAIGNE</w:t>
      </w:r>
    </w:p>
    <w:p w:rsidR="007F33B9" w:rsidRPr="005C119D" w:rsidRDefault="007F33B9" w:rsidP="007F33B9">
      <w:pPr>
        <w:numPr>
          <w:ilvl w:val="0"/>
          <w:numId w:val="1"/>
        </w:numPr>
        <w:rPr>
          <w:bCs/>
        </w:rPr>
      </w:pPr>
      <w:r w:rsidRPr="005C119D">
        <w:rPr>
          <w:bCs/>
          <w:color w:val="000000"/>
        </w:rPr>
        <w:t>Domaine Universitaire, 19 Esplanade des Antilles</w:t>
      </w:r>
    </w:p>
    <w:p w:rsidR="007F33B9" w:rsidRPr="005C119D" w:rsidRDefault="007F33B9" w:rsidP="007F33B9">
      <w:pPr>
        <w:numPr>
          <w:ilvl w:val="0"/>
          <w:numId w:val="1"/>
        </w:numPr>
        <w:rPr>
          <w:bCs/>
        </w:rPr>
      </w:pPr>
      <w:r w:rsidRPr="005C119D">
        <w:rPr>
          <w:bCs/>
          <w:color w:val="000000"/>
        </w:rPr>
        <w:t>33607</w:t>
      </w:r>
      <w:r w:rsidRPr="005C119D">
        <w:rPr>
          <w:bCs/>
        </w:rPr>
        <w:t xml:space="preserve"> </w:t>
      </w:r>
      <w:r w:rsidRPr="005C119D">
        <w:rPr>
          <w:bCs/>
          <w:color w:val="000000"/>
        </w:rPr>
        <w:t>PESSAC</w:t>
      </w:r>
    </w:p>
    <w:p w:rsidR="007F33B9" w:rsidRPr="005C119D" w:rsidRDefault="007F33B9" w:rsidP="007F33B9">
      <w:pPr>
        <w:numPr>
          <w:ilvl w:val="0"/>
          <w:numId w:val="1"/>
        </w:numPr>
        <w:rPr>
          <w:bCs/>
        </w:rPr>
      </w:pPr>
      <w:r w:rsidRPr="005C119D">
        <w:rPr>
          <w:bCs/>
        </w:rPr>
        <w:t xml:space="preserve">Tél. : </w:t>
      </w:r>
      <w:r w:rsidRPr="005C119D">
        <w:rPr>
          <w:bCs/>
          <w:color w:val="000000"/>
        </w:rPr>
        <w:t>0557124569</w:t>
      </w:r>
    </w:p>
    <w:p w:rsidR="007F33B9" w:rsidRPr="005C119D" w:rsidRDefault="007F33B9" w:rsidP="007F33B9">
      <w:pPr>
        <w:numPr>
          <w:ilvl w:val="0"/>
          <w:numId w:val="1"/>
        </w:numPr>
        <w:rPr>
          <w:bCs/>
        </w:rPr>
      </w:pPr>
      <w:r w:rsidRPr="005C119D">
        <w:rPr>
          <w:bCs/>
        </w:rPr>
        <w:t xml:space="preserve">Email : </w:t>
      </w:r>
      <w:r w:rsidRPr="005C119D">
        <w:rPr>
          <w:bCs/>
          <w:color w:val="000000"/>
        </w:rPr>
        <w:t>marches.publics@u-bordeaux-montaigne.fr</w:t>
      </w:r>
    </w:p>
    <w:p w:rsidR="007F33B9" w:rsidRPr="005C119D" w:rsidRDefault="007F33B9" w:rsidP="007F33B9">
      <w:pPr>
        <w:pStyle w:val="En-tte"/>
        <w:tabs>
          <w:tab w:val="clear" w:pos="4536"/>
          <w:tab w:val="clear" w:pos="9072"/>
          <w:tab w:val="left" w:pos="851"/>
        </w:tabs>
        <w:jc w:val="both"/>
        <w:rPr>
          <w:rFonts w:cs="Arial"/>
        </w:rPr>
      </w:pPr>
    </w:p>
    <w:p w:rsidR="007F33B9" w:rsidRPr="005C119D" w:rsidRDefault="007F33B9" w:rsidP="007F33B9">
      <w:pPr>
        <w:tabs>
          <w:tab w:val="left" w:pos="426"/>
          <w:tab w:val="left" w:pos="851"/>
          <w:tab w:val="left" w:pos="5103"/>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 prénom, qualité du signataire du marché ou de l’accord-cadre :</w:t>
      </w:r>
    </w:p>
    <w:p w:rsidR="007F33B9" w:rsidRPr="005C119D" w:rsidRDefault="007F33B9" w:rsidP="007F33B9">
      <w:pPr>
        <w:rPr>
          <w:bCs/>
        </w:rPr>
      </w:pPr>
    </w:p>
    <w:p w:rsidR="007F33B9" w:rsidRPr="005C119D" w:rsidRDefault="007F33B9" w:rsidP="007F33B9">
      <w:pPr>
        <w:rPr>
          <w:bCs/>
        </w:rPr>
      </w:pPr>
      <w:r w:rsidRPr="005C119D">
        <w:rPr>
          <w:bCs/>
          <w:color w:val="000000"/>
        </w:rPr>
        <w:t>Karin SION-JENKIS</w:t>
      </w:r>
    </w:p>
    <w:p w:rsidR="007F33B9" w:rsidRPr="005C119D" w:rsidRDefault="007F33B9" w:rsidP="007F33B9">
      <w:pPr>
        <w:rPr>
          <w:bCs/>
        </w:rPr>
      </w:pPr>
      <w:r w:rsidRPr="005C119D">
        <w:rPr>
          <w:bCs/>
          <w:color w:val="000000"/>
        </w:rPr>
        <w:t>Vice-Présidente au Conseil d’Administration</w:t>
      </w:r>
    </w:p>
    <w:p w:rsidR="007F33B9" w:rsidRPr="005409D0" w:rsidRDefault="007F33B9" w:rsidP="007F33B9">
      <w:pPr>
        <w:rPr>
          <w:bCs/>
          <w:lang w:val="en-US"/>
        </w:rPr>
      </w:pPr>
      <w:r w:rsidRPr="005409D0">
        <w:rPr>
          <w:bCs/>
          <w:color w:val="000000"/>
          <w:lang w:val="en-US"/>
        </w:rPr>
        <w:t>Domaine Universitaire, 19 Esplanade des Antilles</w:t>
      </w:r>
    </w:p>
    <w:p w:rsidR="007F33B9" w:rsidRPr="005409D0" w:rsidRDefault="007F33B9" w:rsidP="007F33B9">
      <w:pPr>
        <w:rPr>
          <w:bCs/>
          <w:lang w:val="en-US"/>
        </w:rPr>
      </w:pPr>
    </w:p>
    <w:p w:rsidR="007F33B9" w:rsidRPr="005409D0" w:rsidRDefault="007F33B9" w:rsidP="007F33B9">
      <w:pPr>
        <w:rPr>
          <w:bCs/>
          <w:lang w:val="en-US"/>
        </w:rPr>
      </w:pPr>
      <w:r w:rsidRPr="005409D0">
        <w:rPr>
          <w:bCs/>
          <w:color w:val="000000"/>
          <w:lang w:val="en-US"/>
        </w:rPr>
        <w:t>33607</w:t>
      </w:r>
      <w:r w:rsidRPr="005409D0">
        <w:rPr>
          <w:bCs/>
          <w:lang w:val="en-US"/>
        </w:rPr>
        <w:t xml:space="preserve"> </w:t>
      </w:r>
      <w:r w:rsidRPr="005409D0">
        <w:rPr>
          <w:bCs/>
          <w:color w:val="000000"/>
          <w:lang w:val="en-US"/>
        </w:rPr>
        <w:t>PESSAC</w:t>
      </w:r>
    </w:p>
    <w:p w:rsidR="007F33B9" w:rsidRPr="005409D0" w:rsidRDefault="007F33B9" w:rsidP="007F33B9">
      <w:pPr>
        <w:rPr>
          <w:bCs/>
          <w:lang w:val="en-US"/>
        </w:rPr>
      </w:pPr>
      <w:r w:rsidRPr="005409D0">
        <w:rPr>
          <w:bCs/>
          <w:lang w:val="en-US"/>
        </w:rPr>
        <w:t xml:space="preserve">Tél. : </w:t>
      </w:r>
      <w:r w:rsidRPr="005409D0">
        <w:rPr>
          <w:bCs/>
          <w:color w:val="000000"/>
          <w:lang w:val="en-US"/>
        </w:rPr>
        <w:t>05 57 12 45 69</w:t>
      </w:r>
    </w:p>
    <w:p w:rsidR="007F33B9" w:rsidRPr="005409D0" w:rsidRDefault="007F33B9" w:rsidP="007F33B9">
      <w:pPr>
        <w:rPr>
          <w:bCs/>
          <w:lang w:val="en-US"/>
        </w:rPr>
      </w:pPr>
      <w:r w:rsidRPr="005409D0">
        <w:rPr>
          <w:bCs/>
          <w:lang w:val="en-US"/>
        </w:rPr>
        <w:t xml:space="preserve">Email : </w:t>
      </w:r>
      <w:r w:rsidRPr="005409D0">
        <w:rPr>
          <w:bCs/>
          <w:color w:val="000000"/>
          <w:lang w:val="en-US"/>
        </w:rPr>
        <w:t>marches.publics@u-bordeaux-montaigne.fr</w:t>
      </w:r>
    </w:p>
    <w:p w:rsidR="007F33B9" w:rsidRPr="005409D0" w:rsidRDefault="007F33B9" w:rsidP="007F33B9">
      <w:pPr>
        <w:tabs>
          <w:tab w:val="left" w:pos="851"/>
        </w:tabs>
        <w:jc w:val="both"/>
        <w:rPr>
          <w:rFonts w:cs="Arial"/>
          <w:lang w:val="en-US"/>
        </w:rPr>
      </w:pPr>
    </w:p>
    <w:p w:rsidR="007F33B9" w:rsidRPr="00023C4B" w:rsidRDefault="007F33B9" w:rsidP="007F33B9">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l’article l’</w:t>
      </w:r>
      <w:hyperlink r:id="rId14" w:history="1">
        <w:r w:rsidRPr="001A5B30">
          <w:rPr>
            <w:rStyle w:val="Lienhypertexte"/>
            <w:rFonts w:cs="Arial"/>
          </w:rPr>
          <w:t>article R. 2191-59</w:t>
        </w:r>
      </w:hyperlink>
      <w:r w:rsidRPr="001A5B30">
        <w:rPr>
          <w:rFonts w:cs="Arial"/>
        </w:rPr>
        <w:t xml:space="preserve"> du code de la commande publique, auquel renvoie l’</w:t>
      </w:r>
      <w:hyperlink r:id="rId15"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rsidR="007F33B9" w:rsidRPr="005C119D" w:rsidRDefault="007F33B9" w:rsidP="007F33B9">
      <w:pPr>
        <w:tabs>
          <w:tab w:val="left" w:pos="851"/>
        </w:tabs>
        <w:jc w:val="both"/>
        <w:rPr>
          <w:rFonts w:cs="Arial"/>
        </w:rPr>
      </w:pPr>
    </w:p>
    <w:p w:rsidR="007F33B9" w:rsidRPr="005C119D" w:rsidRDefault="007F33B9" w:rsidP="007F33B9">
      <w:pPr>
        <w:suppressAutoHyphens w:val="0"/>
        <w:rPr>
          <w:rFonts w:cs="Times New Roman"/>
          <w:bCs/>
          <w:lang w:eastAsia="fr-FR"/>
        </w:rPr>
      </w:pPr>
      <w:r w:rsidRPr="005C119D">
        <w:rPr>
          <w:rFonts w:cs="Times New Roman"/>
          <w:bCs/>
          <w:color w:val="000000"/>
          <w:lang w:eastAsia="fr-FR"/>
        </w:rPr>
        <w:t>______________</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______________</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19 Esplanade des Antilles</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Domaine Universitaire</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7F33B9" w:rsidRPr="005C119D" w:rsidRDefault="007F33B9" w:rsidP="007F33B9">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r w:rsidRPr="005C119D">
        <w:rPr>
          <w:rFonts w:cs="Times New Roman"/>
          <w:bCs/>
          <w:lang w:eastAsia="fr-FR"/>
        </w:rPr>
        <w:t xml:space="preserve"> </w:t>
      </w:r>
    </w:p>
    <w:p w:rsidR="007F33B9" w:rsidRPr="005C119D" w:rsidRDefault="007F33B9" w:rsidP="007F33B9">
      <w:pPr>
        <w:suppressAutoHyphens w:val="0"/>
        <w:rPr>
          <w:rFonts w:cs="Times New Roman"/>
          <w:bCs/>
          <w:lang w:eastAsia="fr-FR"/>
        </w:rPr>
      </w:pPr>
      <w:r w:rsidRPr="005C119D">
        <w:rPr>
          <w:rFonts w:cs="Times New Roman"/>
          <w:bCs/>
          <w:lang w:eastAsia="fr-FR"/>
        </w:rPr>
        <w:t xml:space="preserve">Email : </w:t>
      </w:r>
      <w:r w:rsidRPr="005C119D">
        <w:rPr>
          <w:rFonts w:cs="Times New Roman"/>
          <w:bCs/>
          <w:color w:val="000000"/>
          <w:lang w:eastAsia="fr-FR"/>
        </w:rPr>
        <w:t>______________</w:t>
      </w:r>
    </w:p>
    <w:p w:rsidR="007F33B9" w:rsidRPr="005C119D" w:rsidRDefault="007F33B9" w:rsidP="007F33B9">
      <w:pPr>
        <w:pStyle w:val="fcase2metab"/>
        <w:ind w:left="0" w:firstLine="0"/>
        <w:rPr>
          <w:rFonts w:cs="Arial"/>
        </w:rPr>
      </w:pPr>
    </w:p>
    <w:p w:rsidR="007F33B9" w:rsidRPr="005C119D" w:rsidRDefault="007F33B9" w:rsidP="007F33B9">
      <w:pPr>
        <w:tabs>
          <w:tab w:val="left" w:pos="720"/>
          <w:tab w:val="left" w:pos="851"/>
        </w:tabs>
        <w:jc w:val="both"/>
        <w:rPr>
          <w:rFonts w:cs="Arial"/>
          <w:i/>
          <w:iCs/>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Désignation, adresse, numéro de téléphone du comptable assignataire :</w:t>
      </w:r>
    </w:p>
    <w:p w:rsidR="007F33B9" w:rsidRPr="005C119D" w:rsidRDefault="007F33B9" w:rsidP="007F33B9">
      <w:pPr>
        <w:tabs>
          <w:tab w:val="left" w:pos="720"/>
          <w:tab w:val="left" w:pos="851"/>
        </w:tabs>
        <w:jc w:val="both"/>
        <w:rPr>
          <w:rFonts w:cs="Arial"/>
        </w:rPr>
      </w:pPr>
    </w:p>
    <w:p w:rsidR="007F33B9" w:rsidRPr="005C119D" w:rsidRDefault="007F33B9" w:rsidP="007F33B9">
      <w:pPr>
        <w:suppressAutoHyphens w:val="0"/>
        <w:rPr>
          <w:rFonts w:cs="Times New Roman"/>
          <w:bCs/>
          <w:lang w:eastAsia="fr-FR"/>
        </w:rPr>
      </w:pPr>
      <w:r w:rsidRPr="005C119D">
        <w:rPr>
          <w:rFonts w:cs="Times New Roman"/>
          <w:bCs/>
          <w:color w:val="000000"/>
          <w:lang w:eastAsia="fr-FR"/>
        </w:rPr>
        <w:t>______________</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______________</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19 Esplanade des Antilles</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Domaine Universitaire</w:t>
      </w:r>
    </w:p>
    <w:p w:rsidR="007F33B9" w:rsidRPr="005C119D" w:rsidRDefault="007F33B9" w:rsidP="007F33B9">
      <w:pPr>
        <w:suppressAutoHyphens w:val="0"/>
        <w:rPr>
          <w:rFonts w:cs="Times New Roman"/>
          <w:bCs/>
          <w:lang w:eastAsia="fr-FR"/>
        </w:rPr>
      </w:pPr>
      <w:r w:rsidRPr="005C119D">
        <w:rPr>
          <w:rFonts w:cs="Times New Roman"/>
          <w:bCs/>
          <w:color w:val="000000"/>
          <w:lang w:eastAsia="fr-FR"/>
        </w:rPr>
        <w:t>33600</w:t>
      </w:r>
      <w:r w:rsidRPr="005C119D">
        <w:rPr>
          <w:rFonts w:cs="Times New Roman"/>
          <w:bCs/>
          <w:lang w:eastAsia="fr-FR"/>
        </w:rPr>
        <w:t xml:space="preserve"> </w:t>
      </w:r>
      <w:r w:rsidRPr="005C119D">
        <w:rPr>
          <w:rFonts w:cs="Times New Roman"/>
          <w:bCs/>
          <w:color w:val="000000"/>
          <w:lang w:eastAsia="fr-FR"/>
        </w:rPr>
        <w:t>PESSAC</w:t>
      </w:r>
    </w:p>
    <w:p w:rsidR="007F33B9" w:rsidRPr="005C119D" w:rsidRDefault="007F33B9" w:rsidP="007F33B9">
      <w:pPr>
        <w:suppressAutoHyphens w:val="0"/>
        <w:rPr>
          <w:rFonts w:cs="Times New Roman"/>
          <w:bCs/>
          <w:lang w:eastAsia="fr-FR"/>
        </w:rPr>
      </w:pPr>
      <w:r w:rsidRPr="005C119D">
        <w:rPr>
          <w:rFonts w:cs="Times New Roman"/>
          <w:bCs/>
          <w:lang w:eastAsia="fr-FR"/>
        </w:rPr>
        <w:t xml:space="preserve">Tél. : </w:t>
      </w:r>
      <w:r w:rsidRPr="005C119D">
        <w:rPr>
          <w:rFonts w:cs="Times New Roman"/>
          <w:bCs/>
          <w:color w:val="000000"/>
          <w:lang w:eastAsia="fr-FR"/>
        </w:rPr>
        <w:t>______________</w:t>
      </w:r>
    </w:p>
    <w:p w:rsidR="007F33B9" w:rsidRPr="005C119D" w:rsidRDefault="007F33B9" w:rsidP="007F33B9">
      <w:pPr>
        <w:pStyle w:val="fcase2metab"/>
        <w:ind w:left="0" w:firstLine="0"/>
        <w:rPr>
          <w:rFonts w:cs="Arial"/>
        </w:rPr>
      </w:pPr>
    </w:p>
    <w:p w:rsidR="007F33B9" w:rsidRPr="005C119D" w:rsidRDefault="007F33B9" w:rsidP="007F33B9">
      <w:pPr>
        <w:pStyle w:val="fcase2metab"/>
        <w:rPr>
          <w:rFonts w:cs="Arial"/>
        </w:rPr>
      </w:pPr>
      <w:r w:rsidRPr="005C119D">
        <w:rPr>
          <w:rFonts w:ascii="Wingdings" w:eastAsia="Wingdings" w:hAnsi="Wingdings" w:cs="Wingdings"/>
          <w:b/>
          <w:color w:val="66CCFF"/>
          <w:spacing w:val="-10"/>
        </w:rPr>
        <w:t></w:t>
      </w:r>
      <w:r w:rsidRPr="005C119D">
        <w:rPr>
          <w:rFonts w:eastAsia="Arial" w:cs="Arial"/>
          <w:b/>
        </w:rPr>
        <w:t xml:space="preserve">  </w:t>
      </w:r>
      <w:r w:rsidRPr="005C119D">
        <w:rPr>
          <w:rFonts w:cs="Arial"/>
        </w:rPr>
        <w:t>Imputation budgétaire :</w:t>
      </w:r>
    </w:p>
    <w:p w:rsidR="007F33B9" w:rsidRPr="005C119D" w:rsidRDefault="007F33B9" w:rsidP="007F33B9">
      <w:pPr>
        <w:pStyle w:val="fcase2metab"/>
        <w:ind w:left="0" w:firstLine="0"/>
        <w:rPr>
          <w:rFonts w:cs="Arial"/>
        </w:rPr>
      </w:pPr>
    </w:p>
    <w:p w:rsidR="007F33B9" w:rsidRPr="005C119D" w:rsidRDefault="007F33B9" w:rsidP="007F33B9">
      <w:pPr>
        <w:rPr>
          <w:rFonts w:cs="Arial"/>
        </w:rPr>
      </w:pPr>
      <w:r w:rsidRPr="005C119D">
        <w:rPr>
          <w:rFonts w:cs="Arial"/>
          <w:color w:val="000000"/>
        </w:rPr>
        <w:t>______________</w:t>
      </w:r>
      <w:r w:rsidRPr="005C119D">
        <w:rPr>
          <w:rFonts w:cs="Arial"/>
        </w:rPr>
        <w:t xml:space="preserve">  - Exercice budgétaire </w:t>
      </w:r>
      <w:r w:rsidRPr="005C119D">
        <w:rPr>
          <w:rFonts w:cs="Arial"/>
          <w:color w:val="000000"/>
        </w:rPr>
        <w:t>______________</w:t>
      </w:r>
      <w:r w:rsidRPr="005C119D">
        <w:rPr>
          <w:rFonts w:cs="Arial"/>
        </w:rPr>
        <w:t xml:space="preserve"> - article </w:t>
      </w:r>
      <w:r w:rsidRPr="005C119D">
        <w:rPr>
          <w:rFonts w:cs="Arial"/>
          <w:color w:val="000000"/>
        </w:rPr>
        <w:t>______________</w:t>
      </w:r>
    </w:p>
    <w:p w:rsidR="007F33B9" w:rsidRPr="005C119D" w:rsidRDefault="007F33B9" w:rsidP="007F33B9">
      <w:pPr>
        <w:tabs>
          <w:tab w:val="left" w:pos="851"/>
        </w:tabs>
        <w:rPr>
          <w:rFonts w:cs="Arial"/>
        </w:rPr>
      </w:pPr>
    </w:p>
    <w:p w:rsidR="007F33B9" w:rsidRPr="005C119D" w:rsidRDefault="007F33B9" w:rsidP="007F33B9">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rsidR="007F33B9" w:rsidRPr="005C119D" w:rsidRDefault="007F33B9" w:rsidP="007F33B9">
      <w:pPr>
        <w:tabs>
          <w:tab w:val="left" w:pos="851"/>
          <w:tab w:val="left" w:pos="3402"/>
          <w:tab w:val="left" w:pos="6237"/>
          <w:tab w:val="left" w:pos="9072"/>
        </w:tabs>
        <w:jc w:val="both"/>
        <w:rPr>
          <w:rFonts w:cs="Arial"/>
        </w:rPr>
      </w:pPr>
      <w:r w:rsidRPr="005C119D">
        <w:rPr>
          <w:rFonts w:cs="Arial"/>
          <w:i/>
          <w:sz w:val="18"/>
          <w:szCs w:val="18"/>
        </w:rPr>
        <w:t>(Visa ou avis de l’autorité chargée du contrôle financier.)</w:t>
      </w: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s>
        <w:rPr>
          <w:rFonts w:cs="Arial"/>
        </w:rPr>
      </w:pPr>
    </w:p>
    <w:p w:rsidR="007F33B9" w:rsidRPr="005C119D" w:rsidRDefault="007F33B9" w:rsidP="007F33B9">
      <w:pPr>
        <w:tabs>
          <w:tab w:val="left" w:pos="851"/>
          <w:tab w:val="left" w:pos="5245"/>
          <w:tab w:val="left" w:pos="7371"/>
          <w:tab w:val="left" w:pos="7655"/>
        </w:tabs>
        <w:jc w:val="both"/>
      </w:pPr>
      <w:r w:rsidRPr="005C119D">
        <w:rPr>
          <w:rFonts w:cs="Arial"/>
        </w:rPr>
        <w:tab/>
        <w:t>A : …………………… , le …………………</w:t>
      </w:r>
    </w:p>
    <w:p w:rsidR="007F33B9" w:rsidRPr="005C119D" w:rsidRDefault="007F33B9" w:rsidP="007F33B9">
      <w:pPr>
        <w:tabs>
          <w:tab w:val="left" w:pos="851"/>
        </w:tabs>
      </w:pPr>
    </w:p>
    <w:p w:rsidR="007F33B9" w:rsidRPr="005C119D" w:rsidRDefault="007F33B9" w:rsidP="007F33B9">
      <w:pPr>
        <w:tabs>
          <w:tab w:val="left" w:pos="851"/>
        </w:tabs>
      </w:pPr>
    </w:p>
    <w:p w:rsidR="007F33B9" w:rsidRPr="005C119D" w:rsidRDefault="007F33B9" w:rsidP="007F33B9">
      <w:pPr>
        <w:tabs>
          <w:tab w:val="left" w:pos="851"/>
        </w:tabs>
      </w:pPr>
    </w:p>
    <w:p w:rsidR="007F33B9" w:rsidRPr="005C119D" w:rsidRDefault="007F33B9" w:rsidP="007F33B9">
      <w:pPr>
        <w:tabs>
          <w:tab w:val="left" w:pos="851"/>
        </w:tabs>
      </w:pPr>
    </w:p>
    <w:p w:rsidR="007F33B9" w:rsidRPr="005C119D" w:rsidRDefault="007F33B9" w:rsidP="007F33B9">
      <w:pPr>
        <w:tabs>
          <w:tab w:val="left" w:pos="851"/>
        </w:tabs>
        <w:ind w:left="6804"/>
        <w:jc w:val="both"/>
        <w:rPr>
          <w:rFonts w:cs="Arial"/>
          <w:i/>
          <w:sz w:val="18"/>
          <w:szCs w:val="18"/>
        </w:rPr>
      </w:pPr>
      <w:r w:rsidRPr="005C119D">
        <w:rPr>
          <w:rFonts w:cs="Arial"/>
        </w:rPr>
        <w:t>Signature</w:t>
      </w:r>
    </w:p>
    <w:p w:rsidR="007F33B9" w:rsidRPr="005C119D" w:rsidRDefault="007F33B9" w:rsidP="007F33B9">
      <w:pPr>
        <w:tabs>
          <w:tab w:val="left" w:pos="851"/>
        </w:tabs>
        <w:ind w:left="4820"/>
        <w:jc w:val="center"/>
      </w:pPr>
      <w:r w:rsidRPr="005C119D">
        <w:rPr>
          <w:rFonts w:cs="Arial"/>
          <w:i/>
          <w:sz w:val="18"/>
          <w:szCs w:val="18"/>
        </w:rPr>
        <w:t xml:space="preserve">(représentant </w:t>
      </w:r>
      <w:r w:rsidRPr="00E41F29">
        <w:rPr>
          <w:rFonts w:cs="Arial"/>
          <w:i/>
          <w:sz w:val="18"/>
          <w:szCs w:val="18"/>
        </w:rPr>
        <w:t>du maître d’ouvrage</w:t>
      </w:r>
      <w:r w:rsidRPr="005C119D">
        <w:rPr>
          <w:rFonts w:cs="Arial"/>
          <w:i/>
          <w:sz w:val="18"/>
          <w:szCs w:val="18"/>
        </w:rPr>
        <w:t>habilité à signer le marché ou l’accord-cadre)</w:t>
      </w:r>
    </w:p>
    <w:p w:rsidR="007F33B9" w:rsidRPr="005C119D" w:rsidRDefault="007F33B9" w:rsidP="007F33B9">
      <w:pPr>
        <w:tabs>
          <w:tab w:val="left" w:pos="851"/>
          <w:tab w:val="left" w:pos="3402"/>
        </w:tabs>
        <w:spacing w:before="120" w:after="120"/>
        <w:jc w:val="both"/>
      </w:pPr>
    </w:p>
    <w:sectPr w:rsidR="007F33B9"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3B9" w:rsidRDefault="007F33B9">
      <w:r>
        <w:separator/>
      </w:r>
    </w:p>
  </w:endnote>
  <w:endnote w:type="continuationSeparator" w:id="0">
    <w:p w:rsidR="007F33B9" w:rsidRDefault="007F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F33B9" w:rsidTr="007F33B9">
      <w:trPr>
        <w:tblHeader/>
      </w:trPr>
      <w:tc>
        <w:tcPr>
          <w:tcW w:w="2906" w:type="dxa"/>
          <w:shd w:val="clear" w:color="auto" w:fill="66CCFF"/>
        </w:tcPr>
        <w:p w:rsidR="007F33B9" w:rsidRDefault="007F33B9" w:rsidP="007F33B9">
          <w:pPr>
            <w:ind w:right="-638"/>
            <w:rPr>
              <w:rFonts w:cs="Arial"/>
              <w:b/>
              <w:i/>
            </w:rPr>
          </w:pPr>
          <w:r>
            <w:rPr>
              <w:rFonts w:cs="Arial"/>
              <w:b/>
            </w:rPr>
            <w:t>ATTRI1 – Acte d’engagement</w:t>
          </w:r>
        </w:p>
      </w:tc>
      <w:tc>
        <w:tcPr>
          <w:tcW w:w="5528" w:type="dxa"/>
          <w:shd w:val="clear" w:color="auto" w:fill="66CCFF"/>
        </w:tcPr>
        <w:p w:rsidR="007F33B9" w:rsidRDefault="007F33B9" w:rsidP="007F33B9">
          <w:pPr>
            <w:jc w:val="center"/>
            <w:rPr>
              <w:rFonts w:cs="Arial"/>
              <w:b/>
            </w:rPr>
          </w:pPr>
          <w:r w:rsidRPr="005A3245">
            <w:rPr>
              <w:rFonts w:cs="Arial"/>
              <w:color w:val="000000"/>
            </w:rPr>
            <w:t>25PA91503</w:t>
          </w:r>
        </w:p>
      </w:tc>
      <w:tc>
        <w:tcPr>
          <w:tcW w:w="896" w:type="dxa"/>
          <w:shd w:val="clear" w:color="auto" w:fill="66CCFF"/>
        </w:tcPr>
        <w:p w:rsidR="007F33B9" w:rsidRDefault="007F33B9">
          <w:pPr>
            <w:tabs>
              <w:tab w:val="center" w:pos="1366"/>
              <w:tab w:val="right" w:pos="2733"/>
            </w:tabs>
          </w:pPr>
          <w:r>
            <w:rPr>
              <w:rFonts w:cs="Arial"/>
              <w:b/>
            </w:rPr>
            <w:t xml:space="preserve">Page : </w:t>
          </w:r>
        </w:p>
      </w:tc>
      <w:tc>
        <w:tcPr>
          <w:tcW w:w="567" w:type="dxa"/>
          <w:shd w:val="clear" w:color="auto" w:fill="66CCFF"/>
        </w:tcPr>
        <w:p w:rsidR="007F33B9" w:rsidRDefault="007F33B9">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8</w:t>
          </w:r>
          <w:r>
            <w:rPr>
              <w:rStyle w:val="Numrodepage"/>
              <w:rFonts w:cs="Arial"/>
              <w:b/>
            </w:rPr>
            <w:fldChar w:fldCharType="end"/>
          </w:r>
        </w:p>
      </w:tc>
      <w:tc>
        <w:tcPr>
          <w:tcW w:w="165" w:type="dxa"/>
          <w:shd w:val="clear" w:color="auto" w:fill="66CCFF"/>
        </w:tcPr>
        <w:p w:rsidR="007F33B9" w:rsidRDefault="007F33B9">
          <w:pPr>
            <w:jc w:val="center"/>
          </w:pPr>
          <w:r>
            <w:rPr>
              <w:rFonts w:cs="Arial"/>
              <w:b/>
            </w:rPr>
            <w:t>/</w:t>
          </w:r>
        </w:p>
      </w:tc>
      <w:tc>
        <w:tcPr>
          <w:tcW w:w="544" w:type="dxa"/>
          <w:shd w:val="clear" w:color="auto" w:fill="66CCFF"/>
        </w:tcPr>
        <w:p w:rsidR="007F33B9" w:rsidRDefault="007F33B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rsidR="007F33B9" w:rsidRDefault="007F33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3B9" w:rsidRDefault="007F33B9">
      <w:r>
        <w:separator/>
      </w:r>
    </w:p>
  </w:footnote>
  <w:footnote w:type="continuationSeparator" w:id="0">
    <w:p w:rsidR="007F33B9" w:rsidRDefault="007F33B9">
      <w:r>
        <w:continuationSeparator/>
      </w:r>
    </w:p>
  </w:footnote>
  <w:footnote w:id="1">
    <w:p w:rsidR="007F33B9" w:rsidRDefault="007F33B9">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rsidR="007F33B9" w:rsidRDefault="007F33B9">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rsidR="007F33B9" w:rsidRDefault="007F33B9">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7F33B9" w:rsidRDefault="007F33B9">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5">
    <w:p w:rsidR="007F33B9" w:rsidRDefault="007F33B9">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numFmt w:val="bullet"/>
      <w:lvlText w:val="-"/>
      <w:lvlJc w:val="left"/>
      <w:pPr>
        <w:ind w:left="720" w:hanging="360"/>
      </w:pPr>
      <w:rPr>
        <w:rFonts w:ascii="Univers" w:eastAsia="Times New Roman" w:hAnsi="Univers" w:cs="Univer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56E00900"/>
    <w:multiLevelType w:val="hybridMultilevel"/>
    <w:tmpl w:val="BB042C18"/>
    <w:lvl w:ilvl="0">
      <w:start w:val="1"/>
      <w:numFmt w:val="bullet"/>
      <w:lvlText w:val=""/>
      <w:lvlJc w:val="left"/>
      <w:pPr>
        <w:ind w:left="720" w:hanging="360"/>
      </w:pPr>
      <w:rPr>
        <w:rFonts w:ascii="Wingdings" w:hAnsi="Wingdings" w:cs="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137220"/>
    <w:rsid w:val="00253E48"/>
    <w:rsid w:val="007A254B"/>
    <w:rsid w:val="007F33B9"/>
    <w:rsid w:val="00A12316"/>
    <w:rsid w:val="00AD0C34"/>
    <w:rsid w:val="00AD4F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5:chartTrackingRefBased/>
  <w15:docId w15:val="{70ACD538-3165-4AF6-8F89-6680F3FB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 w:type="paragraph" w:customStyle="1" w:styleId="Default">
    <w:name w:val="Default"/>
    <w:rsid w:val="007A254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F00A-88CA-4561-B434-CE3C3826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8</Pages>
  <Words>2214</Words>
  <Characters>12179</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14365</CharactersWithSpaces>
  <SharedDoc>false</SharedDoc>
  <HLinks>
    <vt:vector size="36" baseType="variant">
      <vt:variant>
        <vt:i4>7602259</vt:i4>
      </vt:variant>
      <vt:variant>
        <vt:i4>79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3P</dc:creator>
  <cp:keywords/>
  <cp:lastModifiedBy>MARIE-NATHALIE PAYET</cp:lastModifiedBy>
  <cp:revision>2</cp:revision>
  <cp:lastPrinted>2016-04-08T14:31:00Z</cp:lastPrinted>
  <dcterms:created xsi:type="dcterms:W3CDTF">2025-02-06T15:57:00Z</dcterms:created>
  <dcterms:modified xsi:type="dcterms:W3CDTF">2025-02-06T15:57:00Z</dcterms:modified>
</cp:coreProperties>
</file>