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1404"/>
        <w:tblW w:w="90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6335"/>
      </w:tblGrid>
      <w:tr w:rsidR="00EC2127" w:rsidRPr="00EC2127" w14:paraId="4797A678" w14:textId="77777777" w:rsidTr="00FE0BAD">
        <w:trPr>
          <w:trHeight w:val="163"/>
        </w:trPr>
        <w:tc>
          <w:tcPr>
            <w:tcW w:w="269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E12B4" w14:textId="2B5B4009" w:rsidR="00EC2127" w:rsidRPr="00EC2127" w:rsidRDefault="00EC2127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FFFFFF"/>
                <w:kern w:val="0"/>
                <w:sz w:val="36"/>
                <w:szCs w:val="36"/>
                <w14:ligatures w14:val="none"/>
              </w:rPr>
            </w:pPr>
            <w:r w:rsidRPr="003C7EF3">
              <w:rPr>
                <w:rFonts w:ascii="Calibri" w:eastAsia="Times New Roman" w:hAnsi="Calibri" w:cs="Calibri"/>
                <w:b/>
                <w:color w:val="FFFFFF"/>
                <w:kern w:val="0"/>
                <w:sz w:val="36"/>
                <w:szCs w:val="36"/>
                <w14:ligatures w14:val="none"/>
              </w:rPr>
              <w:t>Cadre de réponse technique (CRT)</w:t>
            </w:r>
          </w:p>
          <w:p w14:paraId="04803FF0" w14:textId="77777777" w:rsidR="00EC2127" w:rsidRPr="00EC2127" w:rsidRDefault="00EC2127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FFFFFF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6335" w:type="dxa"/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B93F2" w14:textId="11E21984" w:rsidR="00EC2127" w:rsidRPr="00EC2127" w:rsidRDefault="00B77A29" w:rsidP="00BD4D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FFFFFF"/>
                <w:kern w:val="0"/>
                <w:sz w:val="44"/>
                <w:szCs w:val="44"/>
                <w14:ligatures w14:val="none"/>
              </w:rPr>
            </w:pPr>
            <w:r w:rsidRPr="00B77A29">
              <w:rPr>
                <w:rFonts w:ascii="Calibri" w:eastAsia="Times New Roman" w:hAnsi="Calibri" w:cs="Calibri"/>
                <w:b/>
                <w:color w:val="FFFFFF"/>
                <w:kern w:val="0"/>
                <w:sz w:val="44"/>
                <w:szCs w:val="44"/>
                <w14:ligatures w14:val="none"/>
              </w:rPr>
              <w:t xml:space="preserve">Fourniture d’équipements électroménagers pour les établissements du GHT Somme Littoral Sud </w:t>
            </w:r>
          </w:p>
        </w:tc>
      </w:tr>
      <w:tr w:rsidR="00EC2127" w:rsidRPr="00EC2127" w14:paraId="78B212A5" w14:textId="77777777" w:rsidTr="00FE0BAD">
        <w:trPr>
          <w:trHeight w:val="29"/>
        </w:trPr>
        <w:tc>
          <w:tcPr>
            <w:tcW w:w="2695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A37AA" w14:textId="77777777" w:rsidR="00EC2127" w:rsidRPr="00EC2127" w:rsidRDefault="00EC2127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kern w:val="0"/>
                <w:szCs w:val="24"/>
                <w14:ligatures w14:val="none"/>
              </w:rPr>
            </w:pPr>
            <w:r w:rsidRPr="00EC2127"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3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64815" w14:textId="77777777" w:rsidR="00EC2127" w:rsidRPr="00EC2127" w:rsidRDefault="00EC2127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  <w:r w:rsidRPr="00EC2127"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  <w:t> </w:t>
            </w:r>
          </w:p>
          <w:p w14:paraId="4D580081" w14:textId="77777777" w:rsidR="00EC2127" w:rsidRPr="00EC2127" w:rsidRDefault="00EC2127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0892AF"/>
                <w:kern w:val="0"/>
                <w:sz w:val="44"/>
                <w:szCs w:val="44"/>
                <w:lang w:eastAsia="fr-FR"/>
                <w14:ligatures w14:val="none"/>
              </w:rPr>
            </w:pPr>
            <w:r w:rsidRPr="00EC2127">
              <w:rPr>
                <w:rFonts w:ascii="Calibri" w:eastAsia="Times New Roman" w:hAnsi="Calibri" w:cs="Calibri"/>
                <w:b/>
                <w:color w:val="0892AF"/>
                <w:kern w:val="0"/>
                <w:sz w:val="44"/>
                <w:szCs w:val="44"/>
                <w14:ligatures w14:val="none"/>
              </w:rPr>
              <w:t>GHT Somme Littoral Sud</w:t>
            </w:r>
          </w:p>
          <w:p w14:paraId="44183B84" w14:textId="77777777" w:rsidR="00EC2127" w:rsidRPr="00EC2127" w:rsidRDefault="00EC2127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0892AF"/>
                <w:kern w:val="0"/>
                <w:sz w:val="44"/>
                <w:szCs w:val="44"/>
                <w:lang w:eastAsia="fr-FR"/>
                <w14:ligatures w14:val="none"/>
              </w:rPr>
            </w:pPr>
          </w:p>
          <w:p w14:paraId="70B00AF2" w14:textId="1411D986" w:rsidR="00EC2127" w:rsidRPr="00EC2127" w:rsidRDefault="00EC2127" w:rsidP="00EC2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892AF"/>
                <w:kern w:val="0"/>
                <w:sz w:val="40"/>
                <w:szCs w:val="40"/>
                <w:lang w:eastAsia="fr-FR"/>
                <w14:ligatures w14:val="none"/>
              </w:rPr>
            </w:pPr>
            <w:r w:rsidRPr="00EC2127">
              <w:rPr>
                <w:rFonts w:ascii="Calibri" w:eastAsia="Times New Roman" w:hAnsi="Calibri" w:cs="Calibri"/>
                <w:b/>
                <w:color w:val="0892AF"/>
                <w:kern w:val="0"/>
                <w:sz w:val="40"/>
                <w:szCs w:val="40"/>
                <w:lang w:eastAsia="fr-FR"/>
                <w14:ligatures w14:val="none"/>
              </w:rPr>
              <w:t xml:space="preserve">Procédure : </w:t>
            </w:r>
            <w:r w:rsidR="00BD4D55">
              <w:rPr>
                <w:rFonts w:ascii="Calibri" w:eastAsia="Times New Roman" w:hAnsi="Calibri" w:cs="Calibri"/>
                <w:b/>
                <w:color w:val="0892AF"/>
                <w:kern w:val="0"/>
                <w:sz w:val="40"/>
                <w:szCs w:val="40"/>
                <w:lang w:eastAsia="fr-FR"/>
                <w14:ligatures w14:val="none"/>
              </w:rPr>
              <w:t>Appel d’offres ouvert</w:t>
            </w:r>
          </w:p>
          <w:p w14:paraId="2CA0D782" w14:textId="77777777" w:rsidR="00EC2127" w:rsidRPr="00EC2127" w:rsidRDefault="00EC2127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0892AF"/>
                <w:kern w:val="0"/>
                <w:sz w:val="44"/>
                <w:szCs w:val="44"/>
                <w14:ligatures w14:val="none"/>
              </w:rPr>
            </w:pPr>
          </w:p>
          <w:p w14:paraId="317857CA" w14:textId="77777777" w:rsidR="00EC2127" w:rsidRPr="00EC2127" w:rsidRDefault="00EC2127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kern w:val="0"/>
                <w:szCs w:val="24"/>
                <w14:ligatures w14:val="none"/>
              </w:rPr>
            </w:pPr>
          </w:p>
          <w:p w14:paraId="70CCB7BF" w14:textId="7D318A3A" w:rsidR="00EC2127" w:rsidRPr="00EC2127" w:rsidRDefault="00404C4F" w:rsidP="00404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  <w:r w:rsidRPr="00404C4F">
              <w:rPr>
                <w:rFonts w:ascii="Calibri" w:eastAsia="Times New Roman" w:hAnsi="Calibri" w:cs="Calibri"/>
                <w:b/>
                <w:color w:val="0892AF"/>
                <w:kern w:val="0"/>
                <w:sz w:val="40"/>
                <w:szCs w:val="40"/>
                <w:lang w:eastAsia="fr-FR"/>
                <w14:ligatures w14:val="none"/>
              </w:rPr>
              <w:t>N° du lot auquel le candidat soumissionne ………………………………</w:t>
            </w:r>
          </w:p>
        </w:tc>
      </w:tr>
    </w:tbl>
    <w:p w14:paraId="6282324F" w14:textId="04BDB84B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eastAsia="Times New Roman" w:hAnsi="Calibri" w:cs="Calibri"/>
          <w:kern w:val="0"/>
          <w:sz w:val="20"/>
          <w:szCs w:val="20"/>
          <w:lang w:eastAsia="fr-FR"/>
          <w14:ligatures w14:val="none"/>
        </w:rPr>
      </w:pPr>
    </w:p>
    <w:p w14:paraId="37D0EFF8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eastAsia="Times New Roman" w:hAnsi="Calibri" w:cs="Calibri"/>
          <w:kern w:val="0"/>
          <w:sz w:val="20"/>
          <w:szCs w:val="20"/>
          <w:lang w:eastAsia="fr-FR"/>
          <w14:ligatures w14:val="none"/>
        </w:rPr>
      </w:pPr>
    </w:p>
    <w:p w14:paraId="6592CCD1" w14:textId="7B2FB5E0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4BC851F4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5EFCEA49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7B4DAE5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603E5E01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53A92BE5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1C05E0BC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88B5F65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05D76A08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340B5B32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20" w:line="240" w:lineRule="exact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32B66009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198F0F11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2041B1D4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134FE3C4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7AE19032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3A65BEA2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6C4F190D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3180FD83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3C8A52BF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21954028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75CAFF0B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07A731E6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1EFBDCE5" w14:textId="77777777" w:rsidR="005934E1" w:rsidRDefault="005934E1"/>
    <w:p w14:paraId="7D9046FC" w14:textId="77777777" w:rsidR="00404C4F" w:rsidRDefault="00404C4F"/>
    <w:p w14:paraId="5A4A9B71" w14:textId="77777777" w:rsidR="00404C4F" w:rsidRDefault="00404C4F"/>
    <w:p w14:paraId="02708C70" w14:textId="25BADA53" w:rsidR="00404C4F" w:rsidRP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Dénomination</w:t>
      </w:r>
      <w:r w:rsidRPr="00404C4F">
        <w:rPr>
          <w:rFonts w:ascii="Trebuchet MS" w:hAnsi="Trebuchet MS"/>
          <w:b/>
          <w:bCs/>
        </w:rPr>
        <w:t xml:space="preserve"> du candidat : </w:t>
      </w:r>
    </w:p>
    <w:p w14:paraId="44A5CCBC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p w14:paraId="0FB60977" w14:textId="77777777" w:rsidR="00404C4F" w:rsidRPr="00404C4F" w:rsidRDefault="00404C4F" w:rsidP="00404C4F"/>
    <w:p w14:paraId="6ED36C7E" w14:textId="77777777" w:rsidR="00404C4F" w:rsidRDefault="00404C4F" w:rsidP="00404C4F"/>
    <w:p w14:paraId="07A995E7" w14:textId="7F9B1EC1" w:rsidR="00404C4F" w:rsidRPr="00404C4F" w:rsidRDefault="00404C4F" w:rsidP="00404C4F">
      <w:p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jc w:val="both"/>
        <w:rPr>
          <w:rFonts w:ascii="Trebuchet MS" w:hAnsi="Trebuchet MS" w:cstheme="minorHAnsi"/>
          <w:b/>
          <w:bCs/>
          <w:color w:val="FF0000"/>
          <w:sz w:val="32"/>
          <w:szCs w:val="32"/>
          <w:u w:val="single"/>
        </w:rPr>
      </w:pPr>
      <w:r w:rsidRPr="00404C4F">
        <w:rPr>
          <w:rFonts w:ascii="Trebuchet MS" w:hAnsi="Trebuchet MS" w:cstheme="minorHAnsi"/>
          <w:sz w:val="28"/>
          <w:szCs w:val="28"/>
        </w:rPr>
        <w:t xml:space="preserve">La réponse à l’ensemble des questions posées au titre du présent CRT doit être réalisé sous format Word en un seul document </w:t>
      </w:r>
      <w:r w:rsidRPr="00404C4F">
        <w:rPr>
          <w:rFonts w:ascii="Trebuchet MS" w:hAnsi="Trebuchet MS" w:cstheme="minorHAnsi"/>
          <w:b/>
          <w:bCs/>
          <w:color w:val="FF0000"/>
          <w:sz w:val="32"/>
          <w:szCs w:val="32"/>
          <w:u w:val="single"/>
        </w:rPr>
        <w:t xml:space="preserve">et ne doit pas dépasser 25 pages maximum annexes comprises. </w:t>
      </w:r>
    </w:p>
    <w:p w14:paraId="0FE87E3C" w14:textId="6C0DD685" w:rsidR="00404C4F" w:rsidRPr="00404C4F" w:rsidRDefault="00404C4F" w:rsidP="00404C4F">
      <w:p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jc w:val="both"/>
        <w:rPr>
          <w:rFonts w:ascii="Trebuchet MS" w:hAnsi="Trebuchet MS"/>
          <w:sz w:val="24"/>
          <w:szCs w:val="24"/>
          <w:u w:val="single"/>
        </w:rPr>
      </w:pPr>
      <w:r w:rsidRPr="00404C4F">
        <w:rPr>
          <w:rFonts w:ascii="Trebuchet MS" w:hAnsi="Trebuchet MS" w:cstheme="minorHAnsi"/>
          <w:sz w:val="28"/>
          <w:szCs w:val="28"/>
        </w:rPr>
        <w:t xml:space="preserve">Les réponses aux questions ci-dessous </w:t>
      </w:r>
      <w:r w:rsidRPr="00404C4F">
        <w:rPr>
          <w:rFonts w:ascii="Trebuchet MS" w:hAnsi="Trebuchet MS" w:cstheme="minorHAnsi"/>
          <w:b/>
          <w:bCs/>
          <w:sz w:val="28"/>
          <w:szCs w:val="28"/>
        </w:rPr>
        <w:t>doivent être développées au sein du présent CRT</w:t>
      </w:r>
      <w:r w:rsidRPr="00404C4F">
        <w:rPr>
          <w:rFonts w:ascii="Trebuchet MS" w:hAnsi="Trebuchet MS" w:cstheme="minorHAnsi"/>
          <w:sz w:val="28"/>
          <w:szCs w:val="28"/>
        </w:rPr>
        <w:t>, tout renvoi à un document de type « mémoire technique » et autres annexes ne sera pas pris en compte.</w:t>
      </w:r>
    </w:p>
    <w:p w14:paraId="5E39A4F7" w14:textId="2BDDB0C6" w:rsidR="00404C4F" w:rsidRDefault="00404C4F">
      <w:r>
        <w:br w:type="page"/>
      </w:r>
    </w:p>
    <w:p w14:paraId="0F6D415F" w14:textId="7E42A7F5" w:rsidR="00404C4F" w:rsidRPr="004261D8" w:rsidRDefault="00404C4F" w:rsidP="00404C4F">
      <w:pPr>
        <w:pStyle w:val="ParagrapheIndent2"/>
        <w:spacing w:after="240" w:line="232" w:lineRule="exact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val="fr-FR"/>
          <w14:ligatures w14:val="standardContextual"/>
        </w:rPr>
      </w:pPr>
      <w:r w:rsidRPr="004261D8">
        <w:rPr>
          <w:rFonts w:asciiTheme="minorHAnsi" w:eastAsiaTheme="minorHAnsi" w:hAnsiTheme="minorHAnsi" w:cstheme="minorBidi"/>
          <w:kern w:val="2"/>
          <w:sz w:val="22"/>
          <w:szCs w:val="22"/>
          <w:u w:val="single"/>
          <w:lang w:val="fr-FR"/>
          <w14:ligatures w14:val="standardContextual"/>
        </w:rPr>
        <w:lastRenderedPageBreak/>
        <w:t>Sous-critère 1 :</w:t>
      </w:r>
      <w:r w:rsidRPr="004261D8">
        <w:rPr>
          <w:rFonts w:asciiTheme="minorHAnsi" w:eastAsiaTheme="minorHAnsi" w:hAnsiTheme="minorHAnsi" w:cstheme="minorBidi"/>
          <w:kern w:val="2"/>
          <w:sz w:val="22"/>
          <w:szCs w:val="22"/>
          <w:lang w:val="fr-FR"/>
          <w14:ligatures w14:val="standardContextual"/>
        </w:rPr>
        <w:t xml:space="preserve"> </w:t>
      </w:r>
      <w:r w:rsidR="00B77A29" w:rsidRPr="004261D8">
        <w:rPr>
          <w:rFonts w:asciiTheme="minorHAnsi" w:eastAsiaTheme="minorHAnsi" w:hAnsiTheme="minorHAnsi" w:cstheme="minorBidi"/>
          <w:kern w:val="2"/>
          <w:sz w:val="22"/>
          <w:szCs w:val="22"/>
          <w:lang w:val="fr-FR"/>
          <w14:ligatures w14:val="standardContextual"/>
        </w:rPr>
        <w:t>Moyens humains et matériels : désignation d’un interlocuteur dédié, modalités de prise de commande et de devis (100 points</w:t>
      </w:r>
      <w:r w:rsidRPr="004261D8">
        <w:rPr>
          <w:rFonts w:asciiTheme="minorHAnsi" w:eastAsiaTheme="minorHAnsi" w:hAnsiTheme="minorHAnsi" w:cstheme="minorBidi"/>
          <w:kern w:val="2"/>
          <w:sz w:val="22"/>
          <w:szCs w:val="22"/>
          <w:lang w:val="fr-FR"/>
          <w14:ligatures w14:val="standardContextual"/>
        </w:rPr>
        <w:t xml:space="preserve">). </w:t>
      </w:r>
    </w:p>
    <w:p w14:paraId="2CBB987B" w14:textId="2DF816E1" w:rsidR="00404C4F" w:rsidRPr="004261D8" w:rsidRDefault="00B77A29" w:rsidP="0099641E">
      <w:pPr>
        <w:pStyle w:val="ParagrapheIndent2"/>
        <w:spacing w:after="240" w:line="232" w:lineRule="exact"/>
        <w:jc w:val="both"/>
        <w:rPr>
          <w:rFonts w:asciiTheme="minorHAnsi" w:eastAsiaTheme="minorHAnsi" w:hAnsiTheme="minorHAnsi" w:cstheme="minorBidi"/>
          <w:i/>
          <w:kern w:val="2"/>
          <w:sz w:val="22"/>
          <w:szCs w:val="22"/>
          <w:lang w:val="fr-FR"/>
          <w14:ligatures w14:val="standardContextual"/>
        </w:rPr>
      </w:pPr>
      <w:r w:rsidRPr="004261D8">
        <w:rPr>
          <w:rFonts w:asciiTheme="minorHAnsi" w:eastAsiaTheme="minorHAnsi" w:hAnsiTheme="minorHAnsi" w:cstheme="minorBidi"/>
          <w:i/>
          <w:kern w:val="2"/>
          <w:sz w:val="22"/>
          <w:szCs w:val="22"/>
          <w:lang w:val="fr-FR"/>
          <w14:ligatures w14:val="standardContextual"/>
        </w:rPr>
        <w:t xml:space="preserve">Désignation d’un interlocuteur dédié, modalités de prise de commande et de devis. </w:t>
      </w:r>
    </w:p>
    <w:p w14:paraId="1BD69E39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A7455E0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B8C787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45782BE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7FA056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E3C1CC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11D07E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525CAD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24DD80B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73E0CC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700137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B44792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1A8B8D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C59405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D743BC0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99C074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9E66E8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695162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53AED1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76DCBF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D23D1D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8385937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B770079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646AA3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FA7BB6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C9A84E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382CA60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C447B3" w14:textId="77777777" w:rsidR="00404C4F" w:rsidRDefault="00404C4F" w:rsidP="00404C4F"/>
    <w:p w14:paraId="01F8136F" w14:textId="1067C098" w:rsidR="00404C4F" w:rsidRPr="004261D8" w:rsidRDefault="00404C4F" w:rsidP="00B77A29">
      <w:pPr>
        <w:pStyle w:val="ParagrapheIndent2"/>
        <w:spacing w:after="240" w:line="232" w:lineRule="exact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val="fr-FR"/>
          <w14:ligatures w14:val="standardContextual"/>
        </w:rPr>
      </w:pPr>
      <w:bookmarkStart w:id="0" w:name="_Hlk114590168"/>
      <w:r w:rsidRPr="004261D8">
        <w:rPr>
          <w:rFonts w:asciiTheme="minorHAnsi" w:eastAsiaTheme="minorHAnsi" w:hAnsiTheme="minorHAnsi" w:cstheme="minorBidi"/>
          <w:kern w:val="2"/>
          <w:sz w:val="22"/>
          <w:szCs w:val="22"/>
          <w:u w:val="single"/>
          <w:lang w:val="fr-FR"/>
          <w14:ligatures w14:val="standardContextual"/>
        </w:rPr>
        <w:lastRenderedPageBreak/>
        <w:t>Sous-critère 2 :</w:t>
      </w:r>
      <w:r w:rsidRPr="004261D8">
        <w:rPr>
          <w:rFonts w:asciiTheme="minorHAnsi" w:eastAsiaTheme="minorHAnsi" w:hAnsiTheme="minorHAnsi" w:cstheme="minorBidi"/>
          <w:kern w:val="2"/>
          <w:sz w:val="22"/>
          <w:szCs w:val="22"/>
          <w:lang w:val="fr-FR"/>
          <w14:ligatures w14:val="standardContextual"/>
        </w:rPr>
        <w:t xml:space="preserve"> </w:t>
      </w:r>
      <w:bookmarkEnd w:id="0"/>
      <w:r w:rsidR="00B77A29" w:rsidRPr="004261D8">
        <w:rPr>
          <w:rFonts w:asciiTheme="minorHAnsi" w:eastAsiaTheme="minorHAnsi" w:hAnsiTheme="minorHAnsi" w:cstheme="minorBidi"/>
          <w:kern w:val="2"/>
          <w:sz w:val="22"/>
          <w:szCs w:val="22"/>
          <w:lang w:val="fr-FR"/>
          <w14:ligatures w14:val="standardContextual"/>
        </w:rPr>
        <w:t>Moyens mis en œuvre en cas de rupture de produits (100 points).</w:t>
      </w:r>
    </w:p>
    <w:p w14:paraId="2EF46E00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B25C8AD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3B2FE3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74D80F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6AF3ED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0656D6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402C15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4645BA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C0F1C5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777051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1093D1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5CE879A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DEE7A3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92FB584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A55907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5B6136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BF4EA19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B47DEC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0D2FEA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CF8203E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23612C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F5BD4E2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FCB4B9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3D3AC1B" w14:textId="21BC71F5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6C87BD" w14:textId="77777777" w:rsidR="00B77A29" w:rsidRDefault="00B77A29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7BDF4A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A245EC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D5F6EF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F6C48E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833E3D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3439D7" w14:textId="7BFE33E9" w:rsidR="00B77A29" w:rsidRPr="004261D8" w:rsidRDefault="00B77A29" w:rsidP="00B77A29">
      <w:pPr>
        <w:pStyle w:val="ParagrapheIndent2"/>
        <w:spacing w:after="240" w:line="232" w:lineRule="exact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val="fr-FR"/>
          <w14:ligatures w14:val="standardContextual"/>
        </w:rPr>
      </w:pPr>
      <w:r w:rsidRPr="004261D8">
        <w:rPr>
          <w:rFonts w:asciiTheme="minorHAnsi" w:eastAsiaTheme="minorHAnsi" w:hAnsiTheme="minorHAnsi" w:cstheme="minorBidi"/>
          <w:kern w:val="2"/>
          <w:sz w:val="22"/>
          <w:szCs w:val="22"/>
          <w:u w:val="single"/>
          <w:lang w:val="fr-FR"/>
          <w14:ligatures w14:val="standardContextual"/>
        </w:rPr>
        <w:t>Sous-critère 3 :</w:t>
      </w:r>
      <w:r w:rsidRPr="004261D8">
        <w:rPr>
          <w:rFonts w:asciiTheme="minorHAnsi" w:eastAsiaTheme="minorHAnsi" w:hAnsiTheme="minorHAnsi" w:cstheme="minorBidi"/>
          <w:kern w:val="2"/>
          <w:sz w:val="22"/>
          <w:szCs w:val="22"/>
          <w:lang w:val="fr-FR"/>
          <w14:ligatures w14:val="standardContextual"/>
        </w:rPr>
        <w:t xml:space="preserve"> Modalités du service après-vente (SAV) (100 points). </w:t>
      </w:r>
    </w:p>
    <w:p w14:paraId="05398965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588DAF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402992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B87AC51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EEA76F1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3E1DB62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AA24A7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C4D03A5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9196C6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520EDB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10DB19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B22B5E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369475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3EA2824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12CC8A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3D8D58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64402F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FF3567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B05A3B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824A8D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72B0C8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9F4ACEA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9A790D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322E514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CBB05AF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D5E71D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100386" w14:textId="6D123DC2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FD8359B" w14:textId="21D832BF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1F7E22" w14:textId="71617DDB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263AD6" w14:textId="77777777" w:rsidR="00B77A29" w:rsidRDefault="00B77A29" w:rsidP="00B77A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640A2A" w14:textId="77777777" w:rsidR="00B77A29" w:rsidRDefault="00B77A29" w:rsidP="00B77A29"/>
    <w:p w14:paraId="721B43DC" w14:textId="64710A67" w:rsidR="00B77A29" w:rsidRDefault="00B77A29" w:rsidP="00F40A26">
      <w:pPr>
        <w:jc w:val="both"/>
      </w:pPr>
      <w:r w:rsidRPr="00B77A29">
        <w:rPr>
          <w:rFonts w:ascii="Trebuchet MS" w:eastAsia="Trebuchet MS" w:hAnsi="Trebuchet MS" w:cs="Trebuchet MS"/>
          <w:color w:val="000000"/>
          <w:kern w:val="0"/>
          <w:sz w:val="20"/>
          <w:szCs w:val="24"/>
          <w:u w:val="single"/>
          <w14:ligatures w14:val="none"/>
        </w:rPr>
        <w:t>Critère 4</w:t>
      </w:r>
      <w:r w:rsidRPr="004261D8">
        <w:rPr>
          <w:rFonts w:ascii="Trebuchet MS" w:eastAsia="Trebuchet MS" w:hAnsi="Trebuchet MS" w:cs="Trebuchet MS"/>
          <w:color w:val="000000"/>
          <w:kern w:val="0"/>
          <w:sz w:val="20"/>
          <w:szCs w:val="24"/>
          <w:u w:val="single"/>
          <w14:ligatures w14:val="none"/>
        </w:rPr>
        <w:t xml:space="preserve"> :</w:t>
      </w:r>
      <w:r>
        <w:t xml:space="preserve"> Citer 3 actions mise</w:t>
      </w:r>
      <w:r w:rsidR="00793F90">
        <w:t>s</w:t>
      </w:r>
      <w:r>
        <w:t xml:space="preserve"> en place </w:t>
      </w:r>
      <w:r w:rsidR="001A5E26">
        <w:t xml:space="preserve">en lien avec l’objet du marché </w:t>
      </w:r>
      <w:r>
        <w:t>en faveur du dé</w:t>
      </w:r>
      <w:r w:rsidR="00B70CDF">
        <w:t>veloppement durable, p</w:t>
      </w:r>
      <w:r w:rsidR="00F40A26">
        <w:t xml:space="preserve">articulièrement en ce qui concerne le dispositif mis en œuvre pour le retraitement des appareils en fin de vie. </w:t>
      </w:r>
      <w:r w:rsidR="00B70CDF">
        <w:t>(50 points)</w:t>
      </w:r>
    </w:p>
    <w:p w14:paraId="28FFE0A1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CC5E761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51AA90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C39C51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E59C24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1" w:name="_GoBack"/>
      <w:bookmarkEnd w:id="1"/>
    </w:p>
    <w:p w14:paraId="0169D734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93F722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F863F93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3B67EE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68595D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EB1FB1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D3B11D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676609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FA5A1C5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FFC771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6BD831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04BAC9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BE0A638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9C5C7F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759AA4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DDAC3B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8F0977E" w14:textId="3EE844B1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FA021ED" w14:textId="16302B6B" w:rsidR="00BB45C0" w:rsidRDefault="00BB45C0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FE5B1F" w14:textId="7A3719AD" w:rsidR="00BB45C0" w:rsidRDefault="00BB45C0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E1038D" w14:textId="61A07889" w:rsidR="00BB45C0" w:rsidRDefault="00BB45C0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0B66DA" w14:textId="6A946E0A" w:rsidR="00BB45C0" w:rsidRDefault="00BB45C0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C9438F" w14:textId="5F56912F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70CA88B" w14:textId="77777777" w:rsidR="00BB45C0" w:rsidRPr="00404C4F" w:rsidRDefault="00BB45C0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ectPr w:rsidR="00BB45C0" w:rsidRPr="00404C4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E4B355" w14:textId="77777777" w:rsidR="0074258A" w:rsidRDefault="0074258A" w:rsidP="00EC2127">
      <w:pPr>
        <w:spacing w:after="0" w:line="240" w:lineRule="auto"/>
      </w:pPr>
      <w:r>
        <w:separator/>
      </w:r>
    </w:p>
  </w:endnote>
  <w:endnote w:type="continuationSeparator" w:id="0">
    <w:p w14:paraId="61623EBB" w14:textId="77777777" w:rsidR="0074258A" w:rsidRDefault="0074258A" w:rsidP="00EC2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9469145"/>
      <w:docPartObj>
        <w:docPartGallery w:val="Page Numbers (Bottom of Page)"/>
        <w:docPartUnique/>
      </w:docPartObj>
    </w:sdtPr>
    <w:sdtEndPr/>
    <w:sdtContent>
      <w:p w14:paraId="44B34F77" w14:textId="4E07121A" w:rsidR="00404C4F" w:rsidRDefault="00404C4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0A5">
          <w:rPr>
            <w:noProof/>
          </w:rPr>
          <w:t>7</w:t>
        </w:r>
        <w:r>
          <w:fldChar w:fldCharType="end"/>
        </w:r>
      </w:p>
    </w:sdtContent>
  </w:sdt>
  <w:p w14:paraId="025FAA97" w14:textId="77777777" w:rsidR="00404C4F" w:rsidRDefault="00404C4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02642" w14:textId="77777777" w:rsidR="0074258A" w:rsidRDefault="0074258A" w:rsidP="00EC2127">
      <w:pPr>
        <w:spacing w:after="0" w:line="240" w:lineRule="auto"/>
      </w:pPr>
      <w:r>
        <w:separator/>
      </w:r>
    </w:p>
  </w:footnote>
  <w:footnote w:type="continuationSeparator" w:id="0">
    <w:p w14:paraId="1907A9D8" w14:textId="77777777" w:rsidR="0074258A" w:rsidRDefault="0074258A" w:rsidP="00EC2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B3172" w14:textId="0E4AA592" w:rsidR="00EC2127" w:rsidRDefault="001A5E26">
    <w:pPr>
      <w:pStyle w:val="En-tte"/>
    </w:pPr>
    <w:r>
      <w:rPr>
        <w:noProof/>
        <w:lang w:eastAsia="fr-FR"/>
      </w:rPr>
      <w:drawing>
        <wp:inline distT="0" distB="0" distL="0" distR="0" wp14:anchorId="60BE87FD" wp14:editId="7B791C1A">
          <wp:extent cx="2057506" cy="596931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H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506" cy="5969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27"/>
    <w:rsid w:val="00104089"/>
    <w:rsid w:val="001A5E26"/>
    <w:rsid w:val="002620A5"/>
    <w:rsid w:val="003C7EF3"/>
    <w:rsid w:val="00404C4F"/>
    <w:rsid w:val="004261D8"/>
    <w:rsid w:val="005934E1"/>
    <w:rsid w:val="005E1BF3"/>
    <w:rsid w:val="005E7607"/>
    <w:rsid w:val="0074258A"/>
    <w:rsid w:val="00793F90"/>
    <w:rsid w:val="0081271B"/>
    <w:rsid w:val="00845DD8"/>
    <w:rsid w:val="008E175A"/>
    <w:rsid w:val="0099641E"/>
    <w:rsid w:val="009D1416"/>
    <w:rsid w:val="00A700C2"/>
    <w:rsid w:val="00B70CDF"/>
    <w:rsid w:val="00B77A29"/>
    <w:rsid w:val="00BB45C0"/>
    <w:rsid w:val="00BD4D55"/>
    <w:rsid w:val="00C949AF"/>
    <w:rsid w:val="00CE2D67"/>
    <w:rsid w:val="00EC2127"/>
    <w:rsid w:val="00EF5AE4"/>
    <w:rsid w:val="00F40A26"/>
    <w:rsid w:val="00FE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387ED8B"/>
  <w15:chartTrackingRefBased/>
  <w15:docId w15:val="{40B28FA7-1905-40A0-B7BD-5E088815F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C2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2127"/>
  </w:style>
  <w:style w:type="paragraph" w:styleId="Pieddepage">
    <w:name w:val="footer"/>
    <w:basedOn w:val="Normal"/>
    <w:link w:val="PieddepageCar"/>
    <w:uiPriority w:val="99"/>
    <w:unhideWhenUsed/>
    <w:rsid w:val="00EC2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2127"/>
  </w:style>
  <w:style w:type="paragraph" w:customStyle="1" w:styleId="ParagrapheIndent2">
    <w:name w:val="ParagrapheIndent2"/>
    <w:basedOn w:val="Normal"/>
    <w:next w:val="Normal"/>
    <w:qFormat/>
    <w:rsid w:val="00404C4F"/>
    <w:pPr>
      <w:spacing w:after="0" w:line="240" w:lineRule="auto"/>
    </w:pPr>
    <w:rPr>
      <w:rFonts w:ascii="Trebuchet MS" w:eastAsia="Trebuchet MS" w:hAnsi="Trebuchet MS" w:cs="Trebuchet MS"/>
      <w:kern w:val="0"/>
      <w:sz w:val="20"/>
      <w:szCs w:val="24"/>
      <w:lang w:val="en-US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FE02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E027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E02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02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02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9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217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Prevost</dc:creator>
  <cp:keywords/>
  <dc:description/>
  <cp:lastModifiedBy>Olivier Claire</cp:lastModifiedBy>
  <cp:revision>24</cp:revision>
  <dcterms:created xsi:type="dcterms:W3CDTF">2023-05-09T12:01:00Z</dcterms:created>
  <dcterms:modified xsi:type="dcterms:W3CDTF">2025-02-06T10:39:00Z</dcterms:modified>
</cp:coreProperties>
</file>