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AD46D4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2207E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B9A49E1" w:rsidR="00C2145A" w:rsidRPr="001B5605" w:rsidRDefault="00C2145A" w:rsidP="00357B46">
            <w:pPr>
              <w:rPr>
                <w:rFonts w:asciiTheme="minorHAnsi" w:hAnsiTheme="minorHAnsi"/>
                <w:b/>
                <w:sz w:val="24"/>
              </w:rPr>
            </w:pPr>
            <w:r w:rsidRPr="002207EE">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2F7076">
              <w:rPr>
                <w:rFonts w:asciiTheme="minorHAnsi" w:hAnsiTheme="minorHAnsi"/>
                <w:b/>
                <w:smallCaps/>
                <w:sz w:val="24"/>
              </w:rPr>
              <w:t>25-MR1015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B63D369" w:rsidR="00741D2D" w:rsidRPr="00732E9E" w:rsidRDefault="00732E9E" w:rsidP="00996FEA">
            <w:pPr>
              <w:rPr>
                <w:rFonts w:asciiTheme="minorHAnsi" w:hAnsiTheme="minorHAnsi" w:cs="Arial"/>
                <w:i/>
                <w:iCs/>
                <w:sz w:val="24"/>
              </w:rPr>
            </w:pPr>
            <w:r>
              <w:rPr>
                <w:rFonts w:asciiTheme="minorHAnsi" w:hAnsiTheme="minorHAnsi" w:cs="Arial"/>
                <w:i/>
                <w:iCs/>
                <w:sz w:val="22"/>
              </w:rPr>
              <w:t>E</w:t>
            </w:r>
            <w:r w:rsidRPr="00732E9E">
              <w:rPr>
                <w:rFonts w:asciiTheme="minorHAnsi" w:hAnsiTheme="minorHAnsi" w:cs="Arial"/>
                <w:i/>
                <w:iCs/>
                <w:sz w:val="22"/>
              </w:rPr>
              <w:t>tude sur les dispositifs de réintégrations des migrants de retour dans les pays couverts par le Projet CRPM2 (Cameroun, Côte d’Ivoire, Guinée, Madagascar et Sénégal).</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F449BB7" w:rsidR="00741D2D" w:rsidRPr="001B5605" w:rsidRDefault="00B26D1D" w:rsidP="00E953FE">
            <w:pPr>
              <w:rPr>
                <w:rFonts w:asciiTheme="minorHAnsi" w:hAnsiTheme="minorHAnsi" w:cs="Arial"/>
                <w:sz w:val="24"/>
              </w:rPr>
            </w:pPr>
            <w:proofErr w:type="gramStart"/>
            <w:r w:rsidRPr="001B5605">
              <w:rPr>
                <w:rFonts w:asciiTheme="minorHAnsi" w:hAnsiTheme="minorHAnsi" w:cs="Arial"/>
                <w:i/>
                <w:sz w:val="24"/>
                <w:highlight w:val="yellow"/>
              </w:rPr>
              <w:t>indiquer</w:t>
            </w:r>
            <w:proofErr w:type="gramEnd"/>
            <w:r w:rsidRPr="001B5605">
              <w:rPr>
                <w:rFonts w:asciiTheme="minorHAnsi" w:hAnsiTheme="minorHAnsi" w:cs="Arial"/>
                <w:i/>
                <w:sz w:val="24"/>
                <w:highlight w:val="yellow"/>
              </w:rPr>
              <w:t xml:space="preserve"> ici le montant maximal de l’ensemble des prestations</w:t>
            </w:r>
          </w:p>
        </w:tc>
      </w:tr>
      <w:tr w:rsidR="008714BB" w:rsidRPr="004E0874" w14:paraId="2A1F3D89" w14:textId="77777777" w:rsidTr="002207EE">
        <w:trPr>
          <w:trHeight w:val="7765"/>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 xml:space="preserve">Date de </w:t>
                  </w:r>
                  <w:proofErr w:type="gramStart"/>
                  <w:r w:rsidRPr="004E0874">
                    <w:rPr>
                      <w:rFonts w:asciiTheme="minorHAnsi" w:hAnsiTheme="minorHAnsi"/>
                      <w:b/>
                      <w:smallCaps/>
                      <w:sz w:val="22"/>
                      <w:szCs w:val="22"/>
                    </w:rPr>
                    <w:t>notification:</w:t>
                  </w:r>
                  <w:proofErr w:type="gramEnd"/>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74AE4BFF" w14:textId="77777777" w:rsidR="002207EE" w:rsidRPr="00A86E43" w:rsidRDefault="002207EE" w:rsidP="00B26D1D">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français (CCP) dans sa version en vigueur issue </w:t>
            </w:r>
            <w:r w:rsidRPr="00A86E43">
              <w:rPr>
                <w:rFonts w:asciiTheme="minorHAnsi" w:hAnsiTheme="minorHAnsi" w:cstheme="minorHAnsi"/>
                <w:sz w:val="22"/>
                <w:szCs w:val="22"/>
              </w:rPr>
              <w:t>de l'</w:t>
            </w:r>
            <w:hyperlink r:id="rId8" w:history="1">
              <w:r w:rsidRPr="00A86E43">
                <w:rPr>
                  <w:rStyle w:val="Lienhypertexte"/>
                  <w:rFonts w:asciiTheme="minorHAnsi" w:hAnsiTheme="minorHAnsi" w:cstheme="minorHAnsi"/>
                  <w:sz w:val="22"/>
                  <w:szCs w:val="22"/>
                </w:rPr>
                <w:t>ordonnance n° 2018-1074 du 26 novembre 2018</w:t>
              </w:r>
            </w:hyperlink>
            <w:r w:rsidRPr="00A86E43">
              <w:rPr>
                <w:rFonts w:asciiTheme="minorHAnsi" w:hAnsiTheme="minorHAnsi" w:cstheme="minorHAnsi"/>
                <w:sz w:val="22"/>
                <w:szCs w:val="22"/>
              </w:rPr>
              <w:t xml:space="preserve"> portant partie législative et du </w:t>
            </w:r>
            <w:hyperlink r:id="rId9" w:history="1">
              <w:r w:rsidRPr="00A86E43">
                <w:rPr>
                  <w:rStyle w:val="Lienhypertexte"/>
                  <w:rFonts w:asciiTheme="minorHAnsi" w:hAnsiTheme="minorHAnsi" w:cstheme="minorHAnsi"/>
                  <w:sz w:val="22"/>
                  <w:szCs w:val="22"/>
                </w:rPr>
                <w:t>décret n° 2018-1075 du 3 décembre 2018</w:t>
              </w:r>
            </w:hyperlink>
            <w:r w:rsidRPr="00A86E43">
              <w:rPr>
                <w:rFonts w:asciiTheme="minorHAnsi" w:hAnsiTheme="minorHAnsi" w:cstheme="minorHAnsi"/>
                <w:sz w:val="22"/>
                <w:szCs w:val="22"/>
              </w:rPr>
              <w:t xml:space="preserve"> portant partie réglementaire du Code de la commande publique.</w:t>
            </w:r>
          </w:p>
          <w:p w14:paraId="5DA67ED4" w14:textId="77777777" w:rsidR="002207EE" w:rsidRPr="00444DA2" w:rsidRDefault="002207EE" w:rsidP="00B26D1D">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444DA2">
              <w:rPr>
                <w:rFonts w:asciiTheme="minorHAnsi" w:hAnsiTheme="minorHAnsi" w:cstheme="minorHAnsi"/>
                <w:sz w:val="22"/>
                <w:szCs w:val="22"/>
              </w:rPr>
              <w:t>soit procédure adaptée en application des articles L. 2123-1 et R. 2123-1 au R. 2123-7 du CCP</w:t>
            </w:r>
            <w:r>
              <w:rPr>
                <w:rFonts w:asciiTheme="minorHAnsi" w:hAnsiTheme="minorHAnsi" w:cstheme="minorHAnsi"/>
                <w:sz w:val="22"/>
                <w:szCs w:val="22"/>
              </w:rPr>
              <w:t>.</w:t>
            </w:r>
          </w:p>
          <w:p w14:paraId="42614EF7" w14:textId="3C9D2C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31BA0D3F" w:rsidR="000A764F" w:rsidRDefault="000A764F">
          <w:pPr>
            <w:pStyle w:val="TM2"/>
            <w:rPr>
              <w:noProof/>
            </w:rPr>
          </w:pPr>
          <w:hyperlink w:anchor="_Toc126921974" w:history="1">
            <w:r w:rsidRPr="00EF1E1E">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207EE">
              <w:rPr>
                <w:rFonts w:ascii="Calibri" w:hAnsi="Calibri"/>
                <w:b/>
                <w:highlight w:val="yellow"/>
              </w:rPr>
              <w:t xml:space="preserve">NOM DU </w:t>
            </w:r>
            <w:r w:rsidR="003A0706" w:rsidRPr="002207EE">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31152DD" w14:textId="21D9690F" w:rsidR="002207EE" w:rsidRDefault="002207EE" w:rsidP="002207EE">
      <w:pPr>
        <w:spacing w:before="240"/>
        <w:jc w:val="both"/>
        <w:rPr>
          <w:rFonts w:asciiTheme="minorHAnsi" w:hAnsiTheme="minorHAnsi" w:cs="Arial"/>
          <w:sz w:val="22"/>
        </w:rPr>
      </w:pPr>
      <w:r>
        <w:rPr>
          <w:rFonts w:ascii="Calibri" w:hAnsi="Calibri" w:cs="Arial"/>
          <w:sz w:val="22"/>
        </w:rPr>
        <w:t>Dans le cadre du projet de coopération ci-après dénommé le « </w:t>
      </w:r>
      <w:r>
        <w:rPr>
          <w:rFonts w:ascii="Calibri" w:hAnsi="Calibri" w:cs="Arial"/>
          <w:smallCaps/>
          <w:sz w:val="22"/>
        </w:rPr>
        <w:t>contrat principal »</w:t>
      </w:r>
      <w:r>
        <w:rPr>
          <w:rFonts w:ascii="Calibri" w:hAnsi="Calibri" w:cs="Arial"/>
          <w:sz w:val="22"/>
        </w:rPr>
        <w:t xml:space="preserve"> (contrat bailleur) signé le</w:t>
      </w:r>
      <w:r w:rsidR="00732E9E">
        <w:rPr>
          <w:rFonts w:ascii="Calibri" w:hAnsi="Calibri" w:cs="Arial"/>
          <w:sz w:val="22"/>
        </w:rPr>
        <w:t xml:space="preserve"> </w:t>
      </w:r>
      <w:r w:rsidR="006775F6">
        <w:rPr>
          <w:rFonts w:ascii="Calibri" w:hAnsi="Calibri" w:cs="Arial"/>
          <w:sz w:val="22"/>
        </w:rPr>
        <w:t>02 mai 2024</w:t>
      </w:r>
      <w:r>
        <w:rPr>
          <w:rFonts w:ascii="Calibri" w:hAnsi="Calibri" w:cs="Arial"/>
          <w:sz w:val="22"/>
        </w:rPr>
        <w:t xml:space="preserve"> entre </w:t>
      </w:r>
      <w:r w:rsidR="00732E9E">
        <w:rPr>
          <w:rFonts w:ascii="Calibri" w:hAnsi="Calibri" w:cs="Arial"/>
          <w:i/>
          <w:sz w:val="22"/>
        </w:rPr>
        <w:t>l’Agence Française du Développement</w:t>
      </w:r>
      <w:r w:rsidR="006775F6">
        <w:rPr>
          <w:rFonts w:ascii="Calibri" w:hAnsi="Calibri" w:cs="Arial"/>
          <w:i/>
          <w:sz w:val="22"/>
        </w:rPr>
        <w:t xml:space="preserve"> et </w:t>
      </w:r>
      <w:r w:rsidR="006775F6" w:rsidRPr="00CE73DB">
        <w:rPr>
          <w:rFonts w:asciiTheme="minorHAnsi" w:hAnsiTheme="minorHAnsi" w:cs="Arial"/>
          <w:smallCaps/>
          <w:sz w:val="22"/>
        </w:rPr>
        <w:t>Expertise France</w:t>
      </w:r>
      <w:r>
        <w:rPr>
          <w:rFonts w:ascii="Calibri" w:hAnsi="Calibri" w:cs="Arial"/>
          <w:sz w:val="22"/>
        </w:rPr>
        <w:t xml:space="preserve">, portant sur la </w:t>
      </w:r>
      <w:r w:rsidR="006775F6">
        <w:rPr>
          <w:rFonts w:ascii="Calibri" w:hAnsi="Calibri" w:cs="Arial"/>
          <w:sz w:val="22"/>
        </w:rPr>
        <w:t>Coopération Régionale de Politique Migratoire – Phase 2 (CRPM2)</w:t>
      </w:r>
      <w:r>
        <w:rPr>
          <w:rFonts w:ascii="Calibri" w:hAnsi="Calibri" w:cs="Arial"/>
          <w:sz w:val="22"/>
        </w:rPr>
        <w:t xml:space="preserve">,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fournitures décrites dans l’annexe technique jointe </w:t>
      </w:r>
      <w:r w:rsidRPr="000521F9">
        <w:rPr>
          <w:rFonts w:asciiTheme="minorHAnsi" w:hAnsiTheme="minorHAnsi" w:cs="Arial"/>
          <w:i/>
          <w:iCs/>
          <w:sz w:val="22"/>
        </w:rPr>
        <w:t>« Cahier des charges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0EFC2957"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w:t>
      </w:r>
      <w:r w:rsidRPr="00BA344D">
        <w:rPr>
          <w:rFonts w:asciiTheme="minorHAnsi" w:hAnsiTheme="minorHAnsi" w:cs="Arial"/>
        </w:rPr>
        <w:t>a pour objet</w:t>
      </w:r>
      <w:r w:rsidR="002207EE" w:rsidRPr="00BA344D">
        <w:rPr>
          <w:rFonts w:asciiTheme="minorHAnsi" w:hAnsiTheme="minorHAnsi" w:cs="Arial"/>
        </w:rPr>
        <w:t xml:space="preserve"> la </w:t>
      </w:r>
      <w:r w:rsidR="003F6C5F">
        <w:rPr>
          <w:rFonts w:asciiTheme="minorHAnsi" w:hAnsiTheme="minorHAnsi" w:cs="Arial"/>
        </w:rPr>
        <w:t xml:space="preserve">production d’une </w:t>
      </w:r>
      <w:r w:rsidR="003F6C5F" w:rsidRPr="003F6C5F">
        <w:rPr>
          <w:rFonts w:asciiTheme="minorHAnsi" w:hAnsiTheme="minorHAnsi" w:cs="Arial"/>
        </w:rPr>
        <w:t>étude sur les dispositifs de réintégration des migrants de retour dans les pays couverts par le Projet CRPM2 (Cameroun, Côte d’Ivoire, Guinée, Madagascar et Sénégal).</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51654555" w:rsidR="00656639" w:rsidRPr="00A86E43" w:rsidRDefault="003F6C5F"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766C2D5D" w14:textId="488EFE88" w:rsidR="00BB1239" w:rsidRPr="00A86E43" w:rsidRDefault="00BB1239"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4AD0908E" w14:textId="4E411BA4" w:rsidR="00996FEA" w:rsidRPr="00A86E43" w:rsidRDefault="002207EE"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2 : </w:t>
      </w:r>
      <w:r w:rsidRPr="00A86E43">
        <w:rPr>
          <w:rFonts w:asciiTheme="minorHAnsi" w:hAnsiTheme="minorHAnsi" w:cstheme="minorHAnsi"/>
          <w:szCs w:val="22"/>
        </w:rPr>
        <w:t>CCAG - Cahier des clauses administratives générales applicables aux marchés publics de prestations intellectuelles approuvé par arrêté du 30 mars 2021</w:t>
      </w:r>
      <w:r w:rsidRPr="00A86E43">
        <w:rPr>
          <w:rFonts w:asciiTheme="minorHAnsi" w:hAnsiTheme="minorHAnsi" w:cstheme="minorHAnsi"/>
          <w:szCs w:val="22"/>
          <w:vertAlign w:val="superscript"/>
        </w:rPr>
        <w:footnoteReference w:id="1"/>
      </w:r>
      <w:r w:rsidRPr="00A86E43">
        <w:rPr>
          <w:rFonts w:asciiTheme="minorHAnsi" w:hAnsiTheme="minorHAnsi" w:cstheme="minorHAnsi"/>
          <w:szCs w:val="22"/>
        </w:rPr>
        <w:t>, sous réserve des dérogations stipulées dans le présent contrat</w:t>
      </w:r>
      <w:r w:rsidR="00996FEA" w:rsidRPr="00A86E43">
        <w:rPr>
          <w:rFonts w:asciiTheme="minorHAnsi" w:hAnsiTheme="minorHAnsi" w:cstheme="minorHAnsi"/>
          <w:szCs w:val="22"/>
        </w:rPr>
        <w:t xml:space="preserve">. </w:t>
      </w:r>
    </w:p>
    <w:p w14:paraId="3E4668E2" w14:textId="71291D25" w:rsidR="00996FEA" w:rsidRPr="00A86E43" w:rsidRDefault="002207E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3 : </w:t>
      </w:r>
      <w:r w:rsidR="00996FEA"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996FEA" w:rsidRPr="00A86E43">
        <w:rPr>
          <w:rFonts w:asciiTheme="minorHAnsi" w:hAnsiTheme="minorHAnsi" w:cstheme="minorHAnsi"/>
          <w:szCs w:val="22"/>
        </w:rPr>
        <w:t xml:space="preserve"> du </w:t>
      </w:r>
      <w:r w:rsidR="00996FEA" w:rsidRPr="00A86E43">
        <w:rPr>
          <w:rFonts w:asciiTheme="minorHAnsi" w:hAnsiTheme="minorHAnsi" w:cstheme="minorHAnsi"/>
          <w:szCs w:val="22"/>
          <w:highlight w:val="yellow"/>
        </w:rPr>
        <w:t>XX/XX/XXXX</w:t>
      </w:r>
    </w:p>
    <w:p w14:paraId="68798083" w14:textId="4F80B019" w:rsidR="003F6C5F" w:rsidRPr="003F6C5F" w:rsidRDefault="00880205" w:rsidP="003F6C5F">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L’annexe</w:t>
      </w:r>
      <w:r w:rsidR="002207EE">
        <w:rPr>
          <w:rFonts w:asciiTheme="minorHAnsi" w:hAnsiTheme="minorHAnsi" w:cstheme="minorHAnsi"/>
          <w:szCs w:val="22"/>
        </w:rPr>
        <w:t xml:space="preserve"> 4 : L</w:t>
      </w:r>
      <w:r>
        <w:rPr>
          <w:rFonts w:asciiTheme="minorHAnsi" w:hAnsiTheme="minorHAnsi" w:cstheme="minorHAnsi"/>
          <w:szCs w:val="22"/>
        </w:rPr>
        <w:t>a décomposition du Prix Global et Forfaitaire (DPGF)</w:t>
      </w:r>
      <w:r w:rsidR="00B26D1D">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507CB6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80205">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forfaitaire</w:t>
      </w:r>
      <w:r w:rsidR="00880205">
        <w:rPr>
          <w:rFonts w:asciiTheme="minorHAnsi" w:hAnsiTheme="minorHAnsi" w:cstheme="minorHAnsi"/>
          <w:szCs w:val="22"/>
        </w:rPr>
        <w:t>.</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5730CB84"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3F6C5F">
        <w:rPr>
          <w:rFonts w:asciiTheme="minorHAnsi" w:hAnsiTheme="minorHAnsi" w:cs="Arial"/>
        </w:rPr>
        <w:t>douze</w:t>
      </w:r>
      <w:r w:rsidR="00880205">
        <w:rPr>
          <w:rFonts w:asciiTheme="minorHAnsi" w:hAnsiTheme="minorHAnsi" w:cs="Arial"/>
        </w:rPr>
        <w:t xml:space="preserve"> (</w:t>
      </w:r>
      <w:r w:rsidR="003F6C5F">
        <w:rPr>
          <w:rFonts w:asciiTheme="minorHAnsi" w:hAnsiTheme="minorHAnsi" w:cs="Arial"/>
        </w:rPr>
        <w:t>12</w:t>
      </w:r>
      <w:r w:rsidR="00880205">
        <w:rPr>
          <w:rFonts w:asciiTheme="minorHAnsi" w:hAnsiTheme="minorHAnsi" w:cs="Arial"/>
        </w:rPr>
        <w:t>)</w:t>
      </w:r>
      <w:r w:rsidRPr="00A86E43">
        <w:rPr>
          <w:rFonts w:asciiTheme="minorHAnsi" w:hAnsiTheme="minorHAnsi" w:cs="Arial"/>
        </w:rPr>
        <w:t xml:space="preserve"> mois </w:t>
      </w:r>
      <w:r w:rsidR="000A03C0">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0A03C0">
        <w:rPr>
          <w:rFonts w:asciiTheme="minorHAnsi" w:hAnsiTheme="minorHAnsi" w:cs="Arial"/>
          <w:smallCaps/>
        </w:rPr>
        <w:t>France.</w:t>
      </w:r>
    </w:p>
    <w:p w14:paraId="25E5C7CC" w14:textId="75086016" w:rsidR="007056F7" w:rsidRPr="00A86E43" w:rsidRDefault="00413542" w:rsidP="000A03C0">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0A03C0" w:rsidRPr="00A86E43">
        <w:rPr>
          <w:rFonts w:asciiTheme="minorHAnsi" w:hAnsiTheme="minorHAnsi" w:cs="Arial"/>
        </w:rPr>
        <w:t xml:space="preserve"> </w:t>
      </w:r>
    </w:p>
    <w:p w14:paraId="7B2EAE41" w14:textId="38643EAA"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6FE66FA3" w14:textId="47297A78" w:rsidR="000A03C0" w:rsidRDefault="000A03C0" w:rsidP="000A03C0">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Pr>
          <w:rFonts w:asciiTheme="minorHAnsi" w:hAnsiTheme="minorHAnsi" w:cs="Arial"/>
        </w:rPr>
        <w:t xml:space="preserve"> </w:t>
      </w:r>
      <w:r w:rsidRPr="00A86E43">
        <w:rPr>
          <w:rFonts w:asciiTheme="minorHAnsi" w:hAnsiTheme="minorHAnsi" w:cs="Arial"/>
        </w:rPr>
        <w:t xml:space="preserve">attendues au titre du présent </w:t>
      </w:r>
      <w:r w:rsidRPr="00A86E43">
        <w:rPr>
          <w:rFonts w:asciiTheme="minorHAnsi" w:hAnsiTheme="minorHAnsi" w:cs="Arial"/>
          <w:smallCaps/>
        </w:rPr>
        <w:t>Contrat</w:t>
      </w:r>
      <w:r>
        <w:rPr>
          <w:rFonts w:asciiTheme="minorHAnsi" w:hAnsiTheme="minorHAnsi" w:cs="Arial"/>
          <w:smallCaps/>
        </w:rPr>
        <w:t xml:space="preserve"> </w:t>
      </w:r>
      <w:r w:rsidRPr="00A86E43">
        <w:rPr>
          <w:rFonts w:asciiTheme="minorHAnsi" w:hAnsiTheme="minorHAnsi" w:cs="Arial"/>
        </w:rPr>
        <w:t>est fixé</w:t>
      </w:r>
      <w:r w:rsidR="0013200D">
        <w:rPr>
          <w:rFonts w:asciiTheme="minorHAnsi" w:hAnsiTheme="minorHAnsi" w:cs="Arial"/>
        </w:rPr>
        <w:t xml:space="preserve"> à </w:t>
      </w:r>
      <w:r w:rsidR="003F6C5F">
        <w:rPr>
          <w:rFonts w:asciiTheme="minorHAnsi" w:hAnsiTheme="minorHAnsi" w:cs="Arial"/>
        </w:rPr>
        <w:t>neuf</w:t>
      </w:r>
      <w:r w:rsidR="00953788">
        <w:rPr>
          <w:rFonts w:asciiTheme="minorHAnsi" w:hAnsiTheme="minorHAnsi" w:cs="Arial"/>
        </w:rPr>
        <w:t xml:space="preserve"> (0</w:t>
      </w:r>
      <w:r w:rsidR="003F6C5F">
        <w:rPr>
          <w:rFonts w:asciiTheme="minorHAnsi" w:hAnsiTheme="minorHAnsi" w:cs="Arial"/>
        </w:rPr>
        <w:t>9</w:t>
      </w:r>
      <w:r w:rsidR="00953788">
        <w:rPr>
          <w:rFonts w:asciiTheme="minorHAnsi" w:hAnsiTheme="minorHAnsi" w:cs="Arial"/>
        </w:rPr>
        <w:t>)</w:t>
      </w:r>
      <w:r w:rsidR="0013200D">
        <w:rPr>
          <w:rFonts w:asciiTheme="minorHAnsi" w:hAnsiTheme="minorHAnsi" w:cs="Arial"/>
        </w:rPr>
        <w:t xml:space="preserve"> mois</w:t>
      </w:r>
      <w:r w:rsidRPr="00A86E43">
        <w:rPr>
          <w:rFonts w:asciiTheme="minorHAnsi" w:hAnsiTheme="minorHAnsi" w:cs="Arial"/>
        </w:rPr>
        <w:t xml:space="preserve"> à compter de la date de notification du présent </w:t>
      </w:r>
      <w:r w:rsidRPr="00A86E43">
        <w:rPr>
          <w:rFonts w:asciiTheme="minorHAnsi" w:hAnsiTheme="minorHAnsi" w:cs="Arial"/>
          <w:smallCaps/>
        </w:rPr>
        <w:t>contrat</w:t>
      </w:r>
      <w:r>
        <w:rPr>
          <w:rFonts w:asciiTheme="minorHAnsi" w:hAnsiTheme="minorHAnsi" w:cs="Arial"/>
          <w:smallCaps/>
        </w:rPr>
        <w:t xml:space="preserve">. </w:t>
      </w:r>
    </w:p>
    <w:p w14:paraId="79EA0154" w14:textId="57A35515" w:rsidR="000A03C0" w:rsidRDefault="000A03C0" w:rsidP="000A03C0">
      <w:pPr>
        <w:pStyle w:val="v"/>
        <w:widowControl w:val="0"/>
        <w:spacing w:before="120"/>
        <w:ind w:left="556" w:firstLine="0"/>
        <w:rPr>
          <w:rFonts w:asciiTheme="minorHAnsi" w:hAnsiTheme="minorHAnsi" w:cs="Arial"/>
        </w:rPr>
      </w:pPr>
      <w:r w:rsidRPr="001758DA">
        <w:rPr>
          <w:rFonts w:asciiTheme="minorHAnsi" w:hAnsiTheme="minorHAnsi" w:cs="Arial"/>
        </w:rPr>
        <w:t>Si tout ou partie des prestations ne sont pas réalisées dans les délais prévus, le Contractant devra immédiatement prendre toutes les mesures nécessaires pour rattraper le retard sans pouvoir</w:t>
      </w:r>
      <w:r w:rsidRPr="001C0831">
        <w:rPr>
          <w:rFonts w:asciiTheme="minorHAnsi" w:hAnsiTheme="minorHAnsi" w:cs="Arial"/>
        </w:rPr>
        <w:t xml:space="preserve"> </w:t>
      </w:r>
      <w:r w:rsidRPr="001758DA">
        <w:rPr>
          <w:rFonts w:asciiTheme="minorHAnsi" w:hAnsiTheme="minorHAnsi" w:cs="Arial"/>
        </w:rPr>
        <w:t>prétendre à une quelconque rémunération à ce titre</w:t>
      </w:r>
      <w:r w:rsidR="009F54A4">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14D77529" w:rsidR="00123D1A" w:rsidRPr="00A86E43" w:rsidRDefault="00123D1A" w:rsidP="00BA344D">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42C8DFFA" w14:textId="2716ADDE" w:rsidR="003F6C5F" w:rsidRPr="00A86E43" w:rsidRDefault="00123D1A" w:rsidP="003F6C5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w:t>
      </w:r>
      <w:r w:rsidR="003F6C5F" w:rsidRPr="003F6C5F">
        <w:rPr>
          <w:rFonts w:asciiTheme="minorHAnsi" w:hAnsiTheme="minorHAnsi" w:cstheme="minorHAnsi"/>
          <w:szCs w:val="22"/>
        </w:rPr>
        <w:t xml:space="preserve">Ce prix forfaitaire </w:t>
      </w:r>
      <w:r w:rsidR="003F6C5F">
        <w:rPr>
          <w:rFonts w:asciiTheme="minorHAnsi" w:hAnsiTheme="minorHAnsi" w:cstheme="minorHAnsi"/>
          <w:szCs w:val="22"/>
        </w:rPr>
        <w:t xml:space="preserve">couvre en outre </w:t>
      </w:r>
      <w:r w:rsidR="003F6C5F" w:rsidRPr="003F6C5F">
        <w:rPr>
          <w:rFonts w:asciiTheme="minorHAnsi" w:hAnsiTheme="minorHAnsi" w:cstheme="minorHAnsi"/>
          <w:szCs w:val="22"/>
        </w:rPr>
        <w:t>les honoraires des experts, les frais de déplacement liés aux missions de terrain (y compris le déplacement d’une personne pour la restitution de l’étude lors d’un atelier CRPM), les ressources nécessaires aux enquêtes (questionnaires, collecte de données), ainsi que l’ensemble des autres frais logistiques et administratifs.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27C1EF09" w:rsidR="0089576F" w:rsidRDefault="00004AE6" w:rsidP="000E04E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titre </w:t>
      </w:r>
      <w:r w:rsidR="00BA344D">
        <w:rPr>
          <w:rFonts w:asciiTheme="minorHAnsi" w:hAnsiTheme="minorHAnsi" w:cs="Arial"/>
          <w:szCs w:val="22"/>
        </w:rPr>
        <w:t>du</w:t>
      </w:r>
      <w:r w:rsidRPr="00A86E43">
        <w:rPr>
          <w:rFonts w:asciiTheme="minorHAnsi" w:hAnsiTheme="minorHAnsi" w:cs="Arial"/>
          <w:szCs w:val="22"/>
        </w:rPr>
        <w:t xml:space="preserve"> contrat ouvre droit au versement d’acompte conformément </w:t>
      </w:r>
      <w:r w:rsidRPr="00A86E43">
        <w:rPr>
          <w:rFonts w:asciiTheme="minorHAnsi" w:hAnsiTheme="minorHAnsi" w:cs="Arial"/>
          <w:szCs w:val="22"/>
        </w:rPr>
        <w:lastRenderedPageBreak/>
        <w:t>à l’échéancier suivant :</w:t>
      </w:r>
    </w:p>
    <w:p w14:paraId="2C904E7F" w14:textId="0C324BC9" w:rsidR="0089576F" w:rsidRDefault="0089576F">
      <w:pPr>
        <w:spacing w:line="240" w:lineRule="auto"/>
        <w:rPr>
          <w:rFonts w:asciiTheme="minorHAnsi" w:eastAsia="Times New Roman" w:hAnsiTheme="minorHAnsi" w:cs="Arial"/>
          <w:b/>
          <w:sz w:val="22"/>
          <w:szCs w:val="22"/>
        </w:rPr>
      </w:pPr>
    </w:p>
    <w:tbl>
      <w:tblPr>
        <w:tblStyle w:val="Grilledutableau"/>
        <w:tblW w:w="975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59"/>
        <w:gridCol w:w="7198"/>
      </w:tblGrid>
      <w:tr w:rsidR="003F6C5F" w14:paraId="098ABC69" w14:textId="77777777" w:rsidTr="003F6C5F">
        <w:trPr>
          <w:trHeight w:val="274"/>
        </w:trPr>
        <w:tc>
          <w:tcPr>
            <w:tcW w:w="2559" w:type="dxa"/>
            <w:tcBorders>
              <w:top w:val="single" w:sz="2" w:space="0" w:color="auto"/>
              <w:left w:val="single" w:sz="2" w:space="0" w:color="auto"/>
              <w:bottom w:val="single" w:sz="2" w:space="0" w:color="auto"/>
              <w:right w:val="single" w:sz="2" w:space="0" w:color="auto"/>
            </w:tcBorders>
            <w:vAlign w:val="center"/>
            <w:hideMark/>
          </w:tcPr>
          <w:p w14:paraId="28DEB005" w14:textId="77777777" w:rsidR="003F6C5F" w:rsidRDefault="003F6C5F" w:rsidP="008C553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Montant de l’acompte</w:t>
            </w:r>
          </w:p>
        </w:tc>
        <w:tc>
          <w:tcPr>
            <w:tcW w:w="7198" w:type="dxa"/>
            <w:tcBorders>
              <w:top w:val="single" w:sz="2" w:space="0" w:color="auto"/>
              <w:left w:val="single" w:sz="2" w:space="0" w:color="auto"/>
              <w:bottom w:val="single" w:sz="2" w:space="0" w:color="auto"/>
              <w:right w:val="single" w:sz="2" w:space="0" w:color="auto"/>
            </w:tcBorders>
            <w:vAlign w:val="center"/>
            <w:hideMark/>
          </w:tcPr>
          <w:p w14:paraId="424FC6CF" w14:textId="77777777" w:rsidR="003F6C5F" w:rsidRDefault="003F6C5F" w:rsidP="008C553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Déclenchement à la validation des livrables associés</w:t>
            </w:r>
          </w:p>
        </w:tc>
      </w:tr>
      <w:tr w:rsidR="003F6C5F" w14:paraId="18E38FB8"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hideMark/>
          </w:tcPr>
          <w:p w14:paraId="2A6ABE05" w14:textId="03F71F77" w:rsidR="003F6C5F" w:rsidRPr="008D3554" w:rsidRDefault="00DE04BD" w:rsidP="008C553F">
            <w:pPr>
              <w:pStyle w:val="u"/>
              <w:widowControl w:val="0"/>
              <w:numPr>
                <w:ilvl w:val="12"/>
                <w:numId w:val="0"/>
              </w:numPr>
              <w:jc w:val="center"/>
              <w:rPr>
                <w:rFonts w:asciiTheme="minorHAnsi" w:hAnsiTheme="minorHAnsi" w:cs="Arial"/>
                <w:szCs w:val="22"/>
              </w:rPr>
            </w:pPr>
            <w:r>
              <w:rPr>
                <w:rFonts w:asciiTheme="minorHAnsi" w:hAnsiTheme="minorHAnsi" w:cs="Arial"/>
                <w:szCs w:val="22"/>
              </w:rPr>
              <w:t>35</w:t>
            </w:r>
            <w:r w:rsidR="007A7647" w:rsidRPr="008D3554">
              <w:rPr>
                <w:rFonts w:asciiTheme="minorHAnsi" w:hAnsiTheme="minorHAnsi" w:cs="Arial"/>
                <w:szCs w:val="22"/>
              </w:rPr>
              <w:t>%</w:t>
            </w:r>
          </w:p>
          <w:p w14:paraId="5C08904B" w14:textId="77777777" w:rsidR="003F6C5F" w:rsidRPr="008D3554" w:rsidRDefault="003F6C5F" w:rsidP="008C553F">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hideMark/>
          </w:tcPr>
          <w:p w14:paraId="0E6E2433" w14:textId="77777777" w:rsidR="003F6C5F" w:rsidRPr="00FC0C21" w:rsidRDefault="003F6C5F" w:rsidP="008C553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1 </w:t>
            </w:r>
          </w:p>
          <w:p w14:paraId="326F6051" w14:textId="452888EB" w:rsidR="003F6C5F" w:rsidRDefault="007A7647" w:rsidP="008C553F">
            <w:pPr>
              <w:pStyle w:val="u"/>
              <w:widowControl w:val="0"/>
              <w:ind w:left="0"/>
              <w:rPr>
                <w:rFonts w:asciiTheme="minorHAnsi" w:hAnsiTheme="minorHAnsi" w:cs="Arial"/>
                <w:szCs w:val="22"/>
              </w:rPr>
            </w:pPr>
            <w:r>
              <w:rPr>
                <w:rFonts w:asciiTheme="minorHAnsi" w:hAnsiTheme="minorHAnsi" w:cs="Arial"/>
                <w:szCs w:val="22"/>
              </w:rPr>
              <w:t>Rapport</w:t>
            </w:r>
            <w:r w:rsidR="003F6C5F" w:rsidRPr="00FC0C21">
              <w:rPr>
                <w:rFonts w:asciiTheme="minorHAnsi" w:hAnsiTheme="minorHAnsi" w:cs="Arial"/>
                <w:szCs w:val="22"/>
              </w:rPr>
              <w:t xml:space="preserve"> de cadrage</w:t>
            </w:r>
            <w:r w:rsidR="003F6C5F">
              <w:rPr>
                <w:rFonts w:asciiTheme="minorHAnsi" w:hAnsiTheme="minorHAnsi" w:cs="Arial"/>
                <w:szCs w:val="22"/>
              </w:rPr>
              <w:t> </w:t>
            </w:r>
          </w:p>
          <w:p w14:paraId="75CEC835" w14:textId="77777777" w:rsidR="003F6C5F" w:rsidRPr="0089409D" w:rsidRDefault="003F6C5F" w:rsidP="008C553F">
            <w:pPr>
              <w:pStyle w:val="u"/>
              <w:widowControl w:val="0"/>
              <w:ind w:left="0"/>
              <w:rPr>
                <w:rFonts w:asciiTheme="minorHAnsi" w:hAnsiTheme="minorHAnsi" w:cs="Arial"/>
                <w:szCs w:val="22"/>
              </w:rPr>
            </w:pPr>
          </w:p>
        </w:tc>
      </w:tr>
      <w:tr w:rsidR="007A7647" w14:paraId="433382E7"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tcPr>
          <w:p w14:paraId="3A2EA10B" w14:textId="77777777" w:rsidR="007A7647" w:rsidRPr="008D3554" w:rsidRDefault="007A7647" w:rsidP="007A7647">
            <w:pPr>
              <w:pStyle w:val="u"/>
              <w:widowControl w:val="0"/>
              <w:numPr>
                <w:ilvl w:val="12"/>
                <w:numId w:val="0"/>
              </w:numPr>
              <w:jc w:val="center"/>
              <w:rPr>
                <w:rFonts w:asciiTheme="minorHAnsi" w:hAnsiTheme="minorHAnsi" w:cs="Arial"/>
                <w:szCs w:val="22"/>
              </w:rPr>
            </w:pPr>
          </w:p>
          <w:p w14:paraId="7254950E" w14:textId="2B34A921" w:rsidR="007A7647" w:rsidRPr="008D3554" w:rsidRDefault="00DE04BD" w:rsidP="007A7647">
            <w:pPr>
              <w:pStyle w:val="u"/>
              <w:widowControl w:val="0"/>
              <w:numPr>
                <w:ilvl w:val="12"/>
                <w:numId w:val="0"/>
              </w:numPr>
              <w:jc w:val="center"/>
              <w:rPr>
                <w:rFonts w:asciiTheme="minorHAnsi" w:hAnsiTheme="minorHAnsi" w:cs="Arial"/>
                <w:szCs w:val="22"/>
              </w:rPr>
            </w:pPr>
            <w:r>
              <w:rPr>
                <w:rFonts w:asciiTheme="minorHAnsi" w:hAnsiTheme="minorHAnsi" w:cs="Arial"/>
                <w:szCs w:val="22"/>
              </w:rPr>
              <w:t>25</w:t>
            </w:r>
            <w:r w:rsidR="007A7647" w:rsidRPr="008D3554">
              <w:rPr>
                <w:rFonts w:asciiTheme="minorHAnsi" w:hAnsiTheme="minorHAnsi" w:cs="Arial"/>
                <w:szCs w:val="22"/>
              </w:rPr>
              <w:t>%</w:t>
            </w:r>
          </w:p>
          <w:p w14:paraId="6A1E977F" w14:textId="77777777" w:rsidR="007A7647" w:rsidRPr="008D3554" w:rsidRDefault="007A7647" w:rsidP="008C553F">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tcPr>
          <w:p w14:paraId="34C27847" w14:textId="69D61E70" w:rsidR="007A7647" w:rsidRPr="00FC0C21" w:rsidRDefault="007A7647" w:rsidP="007A7647">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2</w:t>
            </w:r>
          </w:p>
          <w:p w14:paraId="32A6C72B" w14:textId="1C92E797" w:rsidR="007A7647" w:rsidRPr="007A7647" w:rsidRDefault="007A7647" w:rsidP="008C553F">
            <w:pPr>
              <w:pStyle w:val="u"/>
              <w:widowControl w:val="0"/>
              <w:ind w:left="0"/>
              <w:rPr>
                <w:rFonts w:asciiTheme="minorHAnsi" w:hAnsiTheme="minorHAnsi" w:cs="Arial"/>
                <w:szCs w:val="22"/>
              </w:rPr>
            </w:pPr>
            <w:r>
              <w:rPr>
                <w:rFonts w:asciiTheme="minorHAnsi" w:hAnsiTheme="minorHAnsi" w:cs="Arial"/>
                <w:szCs w:val="22"/>
              </w:rPr>
              <w:t>Rapport intermédiaire dont rapports pays</w:t>
            </w:r>
          </w:p>
        </w:tc>
      </w:tr>
      <w:tr w:rsidR="007A7647" w14:paraId="0997E432"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tcPr>
          <w:p w14:paraId="3F16F895" w14:textId="77777777" w:rsidR="008D3554" w:rsidRPr="008D3554" w:rsidRDefault="008D3554" w:rsidP="008D3554">
            <w:pPr>
              <w:pStyle w:val="u"/>
              <w:widowControl w:val="0"/>
              <w:numPr>
                <w:ilvl w:val="12"/>
                <w:numId w:val="0"/>
              </w:numPr>
              <w:jc w:val="center"/>
              <w:rPr>
                <w:rFonts w:asciiTheme="minorHAnsi" w:hAnsiTheme="minorHAnsi" w:cs="Arial"/>
                <w:szCs w:val="22"/>
              </w:rPr>
            </w:pPr>
          </w:p>
          <w:p w14:paraId="6410AF46" w14:textId="1E491DDF" w:rsidR="008D3554" w:rsidRPr="008D3554" w:rsidRDefault="00DE04BD" w:rsidP="008D3554">
            <w:pPr>
              <w:pStyle w:val="u"/>
              <w:widowControl w:val="0"/>
              <w:numPr>
                <w:ilvl w:val="12"/>
                <w:numId w:val="0"/>
              </w:numPr>
              <w:jc w:val="center"/>
              <w:rPr>
                <w:rFonts w:asciiTheme="minorHAnsi" w:hAnsiTheme="minorHAnsi" w:cs="Arial"/>
                <w:szCs w:val="22"/>
              </w:rPr>
            </w:pPr>
            <w:r>
              <w:rPr>
                <w:rFonts w:asciiTheme="minorHAnsi" w:hAnsiTheme="minorHAnsi" w:cs="Arial"/>
                <w:szCs w:val="22"/>
              </w:rPr>
              <w:t>20</w:t>
            </w:r>
            <w:r w:rsidR="008D3554" w:rsidRPr="008D3554">
              <w:rPr>
                <w:rFonts w:asciiTheme="minorHAnsi" w:hAnsiTheme="minorHAnsi" w:cs="Arial"/>
                <w:szCs w:val="22"/>
              </w:rPr>
              <w:t>%</w:t>
            </w:r>
          </w:p>
          <w:p w14:paraId="451A379E" w14:textId="77777777" w:rsidR="007A7647" w:rsidRPr="008D3554" w:rsidRDefault="007A7647" w:rsidP="007A7647">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tcPr>
          <w:p w14:paraId="6661DE1A" w14:textId="67016EC4" w:rsidR="007A7647" w:rsidRPr="00FC0C21" w:rsidRDefault="007A7647" w:rsidP="007A7647">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sidR="008D3554">
              <w:rPr>
                <w:rFonts w:asciiTheme="minorHAnsi" w:hAnsiTheme="minorHAnsi" w:cs="Arial"/>
                <w:b/>
                <w:bCs/>
                <w:i/>
                <w:iCs/>
                <w:szCs w:val="22"/>
                <w:u w:val="single"/>
              </w:rPr>
              <w:t>3</w:t>
            </w:r>
          </w:p>
          <w:p w14:paraId="19D488FC" w14:textId="78ACD321" w:rsidR="007A7647" w:rsidRPr="00FC0C21" w:rsidRDefault="008D3554" w:rsidP="007A7647">
            <w:pPr>
              <w:pStyle w:val="u"/>
              <w:widowControl w:val="0"/>
              <w:ind w:left="0"/>
              <w:rPr>
                <w:rFonts w:asciiTheme="minorHAnsi" w:hAnsiTheme="minorHAnsi" w:cs="Arial"/>
                <w:b/>
                <w:bCs/>
                <w:i/>
                <w:iCs/>
                <w:szCs w:val="22"/>
                <w:u w:val="single"/>
              </w:rPr>
            </w:pPr>
            <w:r>
              <w:rPr>
                <w:rFonts w:asciiTheme="minorHAnsi" w:hAnsiTheme="minorHAnsi" w:cs="Arial"/>
                <w:szCs w:val="22"/>
              </w:rPr>
              <w:t>Analyse comparative</w:t>
            </w:r>
          </w:p>
        </w:tc>
      </w:tr>
      <w:tr w:rsidR="008D3554" w14:paraId="5E6E5404"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tcPr>
          <w:p w14:paraId="3335CA62" w14:textId="77777777" w:rsidR="008D3554" w:rsidRPr="008D3554" w:rsidRDefault="008D3554" w:rsidP="008D3554">
            <w:pPr>
              <w:pStyle w:val="u"/>
              <w:widowControl w:val="0"/>
              <w:numPr>
                <w:ilvl w:val="12"/>
                <w:numId w:val="0"/>
              </w:numPr>
              <w:jc w:val="center"/>
              <w:rPr>
                <w:rFonts w:asciiTheme="minorHAnsi" w:hAnsiTheme="minorHAnsi" w:cs="Arial"/>
                <w:szCs w:val="22"/>
              </w:rPr>
            </w:pPr>
          </w:p>
          <w:p w14:paraId="6F20EF70" w14:textId="5B8D6326" w:rsidR="008D3554" w:rsidRPr="008D3554" w:rsidRDefault="008D3554" w:rsidP="008D3554">
            <w:pPr>
              <w:pStyle w:val="u"/>
              <w:widowControl w:val="0"/>
              <w:numPr>
                <w:ilvl w:val="12"/>
                <w:numId w:val="0"/>
              </w:numPr>
              <w:jc w:val="center"/>
              <w:rPr>
                <w:rFonts w:asciiTheme="minorHAnsi" w:hAnsiTheme="minorHAnsi" w:cs="Arial"/>
                <w:szCs w:val="22"/>
              </w:rPr>
            </w:pPr>
            <w:r w:rsidRPr="008D3554">
              <w:rPr>
                <w:rFonts w:asciiTheme="minorHAnsi" w:hAnsiTheme="minorHAnsi" w:cs="Arial"/>
                <w:szCs w:val="22"/>
              </w:rPr>
              <w:t>20%</w:t>
            </w:r>
          </w:p>
          <w:p w14:paraId="5715792D" w14:textId="77777777" w:rsidR="008D3554" w:rsidRPr="008D3554" w:rsidRDefault="008D3554" w:rsidP="007A7647">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tcPr>
          <w:p w14:paraId="4154F88F" w14:textId="0D150658" w:rsidR="008D3554" w:rsidRPr="00FC0C21" w:rsidRDefault="008D3554" w:rsidP="008D3554">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4</w:t>
            </w:r>
          </w:p>
          <w:p w14:paraId="6DD6A469" w14:textId="763385B3" w:rsidR="008D3554" w:rsidRPr="00FC0C21" w:rsidRDefault="008D3554" w:rsidP="008D3554">
            <w:pPr>
              <w:pStyle w:val="u"/>
              <w:widowControl w:val="0"/>
              <w:ind w:left="0"/>
              <w:rPr>
                <w:rFonts w:asciiTheme="minorHAnsi" w:hAnsiTheme="minorHAnsi" w:cs="Arial"/>
                <w:b/>
                <w:bCs/>
                <w:i/>
                <w:iCs/>
                <w:szCs w:val="22"/>
                <w:u w:val="single"/>
              </w:rPr>
            </w:pPr>
            <w:r>
              <w:rPr>
                <w:rFonts w:asciiTheme="minorHAnsi" w:hAnsiTheme="minorHAnsi" w:cs="Arial"/>
                <w:szCs w:val="22"/>
              </w:rPr>
              <w:t>Rapport final</w:t>
            </w:r>
          </w:p>
        </w:tc>
      </w:tr>
    </w:tbl>
    <w:p w14:paraId="00920416" w14:textId="4D33E9CA" w:rsidR="009F54A4" w:rsidRDefault="009F54A4">
      <w:pPr>
        <w:spacing w:line="240" w:lineRule="auto"/>
        <w:rPr>
          <w:rFonts w:asciiTheme="minorHAnsi" w:eastAsia="Times New Roman" w:hAnsiTheme="minorHAnsi" w:cs="Arial"/>
          <w:b/>
          <w:sz w:val="22"/>
          <w:szCs w:val="22"/>
        </w:rPr>
      </w:pPr>
    </w:p>
    <w:p w14:paraId="28CF8D47" w14:textId="77777777" w:rsidR="00AE5AB9" w:rsidRPr="00AE5AB9" w:rsidRDefault="00AE5AB9" w:rsidP="00AE5AB9">
      <w:pPr>
        <w:widowControl w:val="0"/>
        <w:numPr>
          <w:ilvl w:val="0"/>
          <w:numId w:val="67"/>
        </w:numPr>
        <w:overflowPunct w:val="0"/>
        <w:autoSpaceDE w:val="0"/>
        <w:autoSpaceDN w:val="0"/>
        <w:adjustRightInd w:val="0"/>
        <w:spacing w:line="240" w:lineRule="auto"/>
        <w:ind w:left="567" w:hanging="283"/>
        <w:jc w:val="both"/>
        <w:rPr>
          <w:rFonts w:ascii="Calibri" w:eastAsia="Times New Roman" w:hAnsi="Calibri" w:cs="Arial"/>
          <w:b/>
          <w:sz w:val="22"/>
        </w:rPr>
      </w:pPr>
      <w:r w:rsidRPr="00AE5AB9">
        <w:rPr>
          <w:rFonts w:ascii="Calibri" w:eastAsia="Times New Roman" w:hAnsi="Calibri" w:cs="Arial"/>
          <w:b/>
          <w:sz w:val="22"/>
        </w:rPr>
        <w:t>Paiements partiels définitifs/solde</w:t>
      </w:r>
    </w:p>
    <w:p w14:paraId="6B5DBA64" w14:textId="1471AE39" w:rsidR="00AE5AB9" w:rsidRPr="000E04E9" w:rsidRDefault="00AE5AB9" w:rsidP="000E04E9">
      <w:pPr>
        <w:widowControl w:val="0"/>
        <w:overflowPunct w:val="0"/>
        <w:autoSpaceDE w:val="0"/>
        <w:autoSpaceDN w:val="0"/>
        <w:adjustRightInd w:val="0"/>
        <w:spacing w:after="120" w:line="240" w:lineRule="auto"/>
        <w:ind w:left="561"/>
        <w:jc w:val="both"/>
        <w:rPr>
          <w:rFonts w:ascii="Calibri" w:eastAsia="Times New Roman" w:hAnsi="Calibri" w:cs="Arial"/>
          <w:sz w:val="22"/>
        </w:rPr>
      </w:pPr>
      <w:r w:rsidRPr="00AE5AB9">
        <w:rPr>
          <w:rFonts w:ascii="Calibri" w:eastAsia="Times New Roman" w:hAnsi="Calibri" w:cs="Arial"/>
          <w:sz w:val="22"/>
        </w:rPr>
        <w:t>Chaque poste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55FC01C3"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3515EC"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proofErr w:type="gramStart"/>
      <w:r w:rsidR="00554974" w:rsidRPr="00A86E43">
        <w:rPr>
          <w:rFonts w:asciiTheme="minorHAnsi" w:hAnsiTheme="minorHAnsi" w:cs="Arial"/>
        </w:rPr>
        <w:t>suivants</w:t>
      </w:r>
      <w:r w:rsidRPr="00A86E43">
        <w:rPr>
          <w:rFonts w:asciiTheme="minorHAnsi" w:hAnsiTheme="minorHAnsi" w:cs="Arial"/>
        </w:rPr>
        <w:t xml:space="preserve"> relatif</w:t>
      </w:r>
      <w:proofErr w:type="gramEnd"/>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416423F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 xml:space="preserve">Point de </w:t>
      </w:r>
      <w:r w:rsidR="00297B31" w:rsidRPr="00297B31">
        <w:rPr>
          <w:rFonts w:asciiTheme="minorHAnsi" w:eastAsia="Times New Roman" w:hAnsiTheme="minorHAnsi" w:cs="Arial"/>
          <w:sz w:val="22"/>
        </w:rPr>
        <w:lastRenderedPageBreak/>
        <w:t>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43557175">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CD3E62E"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0E7819A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D01E13">
        <w:rPr>
          <w:rFonts w:asciiTheme="minorHAnsi" w:hAnsiTheme="minorHAnsi" w:cstheme="minorHAnsi"/>
          <w:szCs w:val="22"/>
        </w:rPr>
        <w:t>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9F94035" w14:textId="1379A5A3" w:rsidR="00D01E13" w:rsidRPr="00CB3BAC" w:rsidRDefault="008D3554" w:rsidP="00D01E13">
      <w:pPr>
        <w:pStyle w:val="u"/>
        <w:widowControl w:val="0"/>
        <w:numPr>
          <w:ilvl w:val="0"/>
          <w:numId w:val="11"/>
        </w:numPr>
        <w:ind w:left="1428"/>
        <w:rPr>
          <w:rFonts w:asciiTheme="minorHAnsi" w:hAnsiTheme="minorHAnsi" w:cstheme="minorHAnsi"/>
          <w:szCs w:val="22"/>
        </w:rPr>
      </w:pPr>
      <w:bookmarkStart w:id="33" w:name="_Toc390691470"/>
      <w:bookmarkStart w:id="34" w:name="_Toc392669641"/>
      <w:bookmarkStart w:id="35" w:name="_Toc126921989"/>
      <w:r w:rsidRPr="008D3554">
        <w:rPr>
          <w:rFonts w:asciiTheme="minorHAnsi" w:hAnsiTheme="minorHAnsi" w:cstheme="minorHAnsi"/>
          <w:b/>
          <w:bCs/>
          <w:szCs w:val="22"/>
        </w:rPr>
        <w:t xml:space="preserve">Bamadi SANOKHO </w:t>
      </w:r>
      <w:r w:rsidR="00D01E13" w:rsidRPr="00CB3BAC">
        <w:rPr>
          <w:rFonts w:asciiTheme="minorHAnsi" w:hAnsiTheme="minorHAnsi" w:cstheme="minorHAnsi"/>
          <w:szCs w:val="22"/>
        </w:rPr>
        <w:t>– Chef de Projet</w:t>
      </w:r>
      <w:r>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1942013F" w14:textId="77777777" w:rsidR="00D01E13" w:rsidRPr="006C6565" w:rsidRDefault="00D01E13" w:rsidP="00D01E1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Pr>
          <w:rFonts w:asciiTheme="minorHAnsi" w:hAnsiTheme="minorHAnsi" w:cstheme="minorHAnsi"/>
          <w:szCs w:val="22"/>
        </w:rPr>
        <w:t>29</w:t>
      </w:r>
      <w:r w:rsidRPr="00A86E43">
        <w:rPr>
          <w:rFonts w:asciiTheme="minorHAnsi" w:hAnsiTheme="minorHAnsi" w:cstheme="minorHAnsi"/>
          <w:szCs w:val="22"/>
        </w:rPr>
        <w:t xml:space="preserve"> du CCAG-PI, les décisions d’admission des prestations et des fournitures pourront être prononcées par :</w:t>
      </w:r>
    </w:p>
    <w:p w14:paraId="7ADB3078" w14:textId="77777777" w:rsidR="008D3554" w:rsidRPr="00CB3BAC" w:rsidRDefault="008D3554" w:rsidP="008D3554">
      <w:pPr>
        <w:pStyle w:val="u"/>
        <w:widowControl w:val="0"/>
        <w:numPr>
          <w:ilvl w:val="0"/>
          <w:numId w:val="11"/>
        </w:numPr>
        <w:ind w:left="1428"/>
        <w:rPr>
          <w:rFonts w:asciiTheme="minorHAnsi" w:hAnsiTheme="minorHAnsi" w:cstheme="minorHAnsi"/>
          <w:szCs w:val="22"/>
        </w:rPr>
      </w:pPr>
      <w:r w:rsidRPr="008D3554">
        <w:rPr>
          <w:rFonts w:asciiTheme="minorHAnsi" w:hAnsiTheme="minorHAnsi" w:cstheme="minorHAnsi"/>
          <w:b/>
          <w:bCs/>
          <w:szCs w:val="22"/>
        </w:rPr>
        <w:t xml:space="preserve">Bamadi SANOKHO </w:t>
      </w:r>
      <w:r w:rsidRPr="00CB3BAC">
        <w:rPr>
          <w:rFonts w:asciiTheme="minorHAnsi" w:hAnsiTheme="minorHAnsi" w:cstheme="minorHAnsi"/>
          <w:szCs w:val="22"/>
        </w:rPr>
        <w:t>– Chef de Projet</w:t>
      </w:r>
      <w:r>
        <w:rPr>
          <w:rFonts w:asciiTheme="minorHAnsi" w:hAnsiTheme="minorHAnsi" w:cstheme="minorHAnsi"/>
          <w:szCs w:val="22"/>
        </w:rPr>
        <w:t>.</w:t>
      </w:r>
    </w:p>
    <w:p w14:paraId="3D6F3473" w14:textId="3360B013"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w:t>
      </w:r>
      <w:r w:rsidR="008D3554">
        <w:rPr>
          <w:rFonts w:asciiTheme="minorHAnsi" w:hAnsiTheme="minorHAnsi" w:cstheme="minorHAnsi"/>
          <w:szCs w:val="22"/>
        </w:rPr>
        <w:t>’</w:t>
      </w:r>
      <w:r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 xml:space="preserve">Expertise </w:t>
      </w:r>
      <w:r w:rsidR="008D3554">
        <w:rPr>
          <w:rFonts w:asciiTheme="minorHAnsi" w:hAnsiTheme="minorHAnsi" w:cstheme="minorHAnsi"/>
          <w:smallCaps/>
          <w:szCs w:val="22"/>
        </w:rPr>
        <w:t>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1F4F9A34" w:rsidR="002251EE" w:rsidRPr="00A86E43" w:rsidRDefault="008D3554"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Pr>
          <w:rFonts w:asciiTheme="minorHAnsi" w:hAnsiTheme="minorHAnsi"/>
          <w:b/>
          <w:caps/>
          <w:sz w:val="24"/>
          <w:u w:val="single"/>
        </w:rPr>
        <w:t> </w:t>
      </w:r>
      <w:r w:rsidR="00A362B6" w:rsidRPr="00A86E43">
        <w:rPr>
          <w:rFonts w:asciiTheme="minorHAnsi" w:hAnsiTheme="minorHAnsi"/>
          <w:b/>
          <w:caps/>
          <w:sz w:val="24"/>
          <w:u w:val="single"/>
        </w:rPr>
        <w:t>Modalit</w:t>
      </w:r>
      <w:r w:rsidR="00A362B6">
        <w:rPr>
          <w:rFonts w:asciiTheme="minorHAnsi" w:hAnsiTheme="minorHAnsi"/>
          <w:b/>
          <w:caps/>
          <w:sz w:val="24"/>
          <w:u w:val="single"/>
        </w:rPr>
        <w:t>É</w:t>
      </w:r>
      <w:r w:rsidR="00A362B6" w:rsidRPr="00A86E43">
        <w:rPr>
          <w:rFonts w:asciiTheme="minorHAnsi" w:hAnsiTheme="minorHAnsi"/>
          <w:b/>
          <w:caps/>
          <w:sz w:val="24"/>
          <w:u w:val="single"/>
        </w:rPr>
        <w:t>s sp</w:t>
      </w:r>
      <w:r w:rsidR="00A362B6">
        <w:rPr>
          <w:rFonts w:asciiTheme="minorHAnsi" w:hAnsiTheme="minorHAnsi"/>
          <w:b/>
          <w:caps/>
          <w:sz w:val="24"/>
          <w:u w:val="single"/>
        </w:rPr>
        <w:t>É</w:t>
      </w:r>
      <w:r w:rsidR="00A362B6"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1A88FF5F"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9599" w:type="dxa"/>
        <w:tblInd w:w="137" w:type="dxa"/>
        <w:tblLook w:val="04A0" w:firstRow="1" w:lastRow="0" w:firstColumn="1" w:lastColumn="0" w:noHBand="0" w:noVBand="1"/>
      </w:tblPr>
      <w:tblGrid>
        <w:gridCol w:w="5103"/>
        <w:gridCol w:w="4496"/>
      </w:tblGrid>
      <w:tr w:rsidR="008D3554" w14:paraId="3B4CC1E2" w14:textId="3AD66686" w:rsidTr="002D6E65">
        <w:trPr>
          <w:trHeight w:val="249"/>
        </w:trPr>
        <w:tc>
          <w:tcPr>
            <w:tcW w:w="9599" w:type="dxa"/>
            <w:gridSpan w:val="2"/>
          </w:tcPr>
          <w:p w14:paraId="4E27FED7" w14:textId="6B486DFE" w:rsidR="008D3554" w:rsidRPr="006775F6" w:rsidRDefault="008D3554" w:rsidP="005E7E52">
            <w:pPr>
              <w:jc w:val="both"/>
              <w:rPr>
                <w:rFonts w:ascii="Calibri" w:eastAsia="Arial Unicode MS" w:hAnsi="Calibri" w:cs="Arial Unicode MS"/>
                <w:b/>
                <w:bCs/>
                <w:i/>
                <w:iCs/>
                <w:sz w:val="22"/>
                <w:szCs w:val="22"/>
                <w:lang w:eastAsia="en-US"/>
              </w:rPr>
            </w:pPr>
            <w:bookmarkStart w:id="39" w:name="_Toc392669642"/>
            <w:bookmarkStart w:id="40" w:name="_Toc126921992"/>
            <w:bookmarkStart w:id="41" w:name="_Toc392669644"/>
            <w:bookmarkEnd w:id="38"/>
            <w:r w:rsidRPr="006775F6">
              <w:rPr>
                <w:rFonts w:ascii="Calibri" w:eastAsia="Arial Unicode MS" w:hAnsi="Calibri" w:cs="Arial Unicode MS"/>
                <w:b/>
                <w:bCs/>
                <w:i/>
                <w:iCs/>
                <w:sz w:val="22"/>
                <w:szCs w:val="22"/>
                <w:lang w:eastAsia="en-US"/>
              </w:rPr>
              <w:t>Livrables finaux</w:t>
            </w:r>
          </w:p>
        </w:tc>
      </w:tr>
      <w:tr w:rsidR="008D3554" w14:paraId="2B76E7F2" w14:textId="77777777" w:rsidTr="00E528E3">
        <w:trPr>
          <w:trHeight w:val="249"/>
        </w:trPr>
        <w:tc>
          <w:tcPr>
            <w:tcW w:w="5103" w:type="dxa"/>
          </w:tcPr>
          <w:p w14:paraId="4F66D101" w14:textId="77777777" w:rsidR="008D3554" w:rsidRDefault="008D3554" w:rsidP="008D3554">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Intitulé du livrable</w:t>
            </w:r>
          </w:p>
        </w:tc>
        <w:tc>
          <w:tcPr>
            <w:tcW w:w="4496" w:type="dxa"/>
            <w:tcBorders>
              <w:top w:val="single" w:sz="4" w:space="0" w:color="auto"/>
              <w:left w:val="single" w:sz="4" w:space="0" w:color="auto"/>
              <w:bottom w:val="single" w:sz="4" w:space="0" w:color="auto"/>
              <w:right w:val="single" w:sz="4" w:space="0" w:color="auto"/>
            </w:tcBorders>
          </w:tcPr>
          <w:p w14:paraId="4A514954" w14:textId="48E9044C" w:rsidR="008D3554" w:rsidRDefault="008D3554" w:rsidP="008D3554">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 de livraison</w:t>
            </w:r>
          </w:p>
        </w:tc>
      </w:tr>
      <w:tr w:rsidR="008D3554" w14:paraId="22E0358D" w14:textId="6F6867FA" w:rsidTr="00E528E3">
        <w:trPr>
          <w:trHeight w:val="265"/>
        </w:trPr>
        <w:tc>
          <w:tcPr>
            <w:tcW w:w="5103" w:type="dxa"/>
          </w:tcPr>
          <w:p w14:paraId="0AB6D398" w14:textId="77777777" w:rsidR="008D3554" w:rsidRPr="000630CD" w:rsidRDefault="008D355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de cadrage </w:t>
            </w:r>
          </w:p>
        </w:tc>
        <w:tc>
          <w:tcPr>
            <w:tcW w:w="4496" w:type="dxa"/>
            <w:tcBorders>
              <w:top w:val="single" w:sz="4" w:space="0" w:color="auto"/>
              <w:left w:val="single" w:sz="4" w:space="0" w:color="auto"/>
              <w:bottom w:val="single" w:sz="4" w:space="0" w:color="auto"/>
              <w:right w:val="single" w:sz="4" w:space="0" w:color="auto"/>
            </w:tcBorders>
          </w:tcPr>
          <w:p w14:paraId="1369D4EA" w14:textId="4A8D06CD" w:rsidR="008D3554" w:rsidRPr="008D3554" w:rsidRDefault="008D3554" w:rsidP="008D3554">
            <w:pPr>
              <w:spacing w:line="240" w:lineRule="auto"/>
              <w:ind w:left="360"/>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       T0 + </w:t>
            </w:r>
            <w:r w:rsidR="00DE04BD">
              <w:rPr>
                <w:rFonts w:ascii="Calibri" w:eastAsia="Arial Unicode MS" w:hAnsi="Calibri" w:cs="Arial Unicode MS"/>
                <w:sz w:val="22"/>
                <w:szCs w:val="22"/>
                <w:lang w:eastAsia="en-US"/>
              </w:rPr>
              <w:t xml:space="preserve">01 </w:t>
            </w:r>
            <w:r>
              <w:rPr>
                <w:rFonts w:ascii="Calibri" w:eastAsia="Arial Unicode MS" w:hAnsi="Calibri" w:cs="Arial Unicode MS"/>
                <w:sz w:val="22"/>
                <w:szCs w:val="22"/>
                <w:lang w:eastAsia="en-US"/>
              </w:rPr>
              <w:t>mois</w:t>
            </w:r>
          </w:p>
        </w:tc>
      </w:tr>
      <w:tr w:rsidR="008D3554" w14:paraId="756108A8" w14:textId="5E19C87B" w:rsidTr="00E528E3">
        <w:trPr>
          <w:trHeight w:val="249"/>
        </w:trPr>
        <w:tc>
          <w:tcPr>
            <w:tcW w:w="5103" w:type="dxa"/>
          </w:tcPr>
          <w:p w14:paraId="0E733911" w14:textId="77777777" w:rsidR="008D3554" w:rsidRPr="000630CD" w:rsidRDefault="008D355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intermédiaire dont rapports pays </w:t>
            </w:r>
          </w:p>
        </w:tc>
        <w:tc>
          <w:tcPr>
            <w:tcW w:w="4496" w:type="dxa"/>
            <w:tcBorders>
              <w:top w:val="single" w:sz="4" w:space="0" w:color="auto"/>
              <w:left w:val="single" w:sz="4" w:space="0" w:color="auto"/>
              <w:bottom w:val="single" w:sz="4" w:space="0" w:color="auto"/>
              <w:right w:val="single" w:sz="4" w:space="0" w:color="auto"/>
            </w:tcBorders>
          </w:tcPr>
          <w:p w14:paraId="1E2D0EB9" w14:textId="01661952" w:rsidR="008D3554" w:rsidRDefault="008D3554" w:rsidP="008D3554">
            <w:pPr>
              <w:pStyle w:val="Paragraphedeliste"/>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DE04BD">
              <w:rPr>
                <w:rFonts w:ascii="Calibri" w:eastAsia="Arial Unicode MS" w:hAnsi="Calibri" w:cs="Arial Unicode MS"/>
                <w:sz w:val="22"/>
                <w:szCs w:val="22"/>
                <w:lang w:eastAsia="en-US"/>
              </w:rPr>
              <w:t xml:space="preserve">06 </w:t>
            </w:r>
            <w:r>
              <w:rPr>
                <w:rFonts w:ascii="Calibri" w:eastAsia="Arial Unicode MS" w:hAnsi="Calibri" w:cs="Arial Unicode MS"/>
                <w:sz w:val="22"/>
                <w:szCs w:val="22"/>
                <w:lang w:eastAsia="en-US"/>
              </w:rPr>
              <w:t>mois</w:t>
            </w:r>
          </w:p>
        </w:tc>
      </w:tr>
      <w:tr w:rsidR="008D3554" w14:paraId="629D5FE0" w14:textId="419A823C" w:rsidTr="00E528E3">
        <w:trPr>
          <w:trHeight w:val="265"/>
        </w:trPr>
        <w:tc>
          <w:tcPr>
            <w:tcW w:w="5103" w:type="dxa"/>
          </w:tcPr>
          <w:p w14:paraId="2695F9D0" w14:textId="77777777" w:rsidR="008D3554" w:rsidRDefault="008D355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Analyse comparative   </w:t>
            </w:r>
          </w:p>
        </w:tc>
        <w:tc>
          <w:tcPr>
            <w:tcW w:w="4496" w:type="dxa"/>
            <w:tcBorders>
              <w:top w:val="single" w:sz="4" w:space="0" w:color="auto"/>
              <w:left w:val="single" w:sz="4" w:space="0" w:color="auto"/>
              <w:bottom w:val="single" w:sz="4" w:space="0" w:color="auto"/>
              <w:right w:val="single" w:sz="4" w:space="0" w:color="auto"/>
            </w:tcBorders>
          </w:tcPr>
          <w:p w14:paraId="5F830605" w14:textId="4446B2D0" w:rsidR="008D3554" w:rsidRDefault="008D3554" w:rsidP="008D3554">
            <w:pPr>
              <w:pStyle w:val="Paragraphedeliste"/>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DE04BD">
              <w:rPr>
                <w:rFonts w:ascii="Calibri" w:eastAsia="Arial Unicode MS" w:hAnsi="Calibri" w:cs="Arial Unicode MS"/>
                <w:sz w:val="22"/>
                <w:szCs w:val="22"/>
                <w:lang w:eastAsia="en-US"/>
              </w:rPr>
              <w:t xml:space="preserve">07 </w:t>
            </w:r>
            <w:r>
              <w:rPr>
                <w:rFonts w:ascii="Calibri" w:eastAsia="Arial Unicode MS" w:hAnsi="Calibri" w:cs="Arial Unicode MS"/>
                <w:sz w:val="22"/>
                <w:szCs w:val="22"/>
                <w:lang w:eastAsia="en-US"/>
              </w:rPr>
              <w:t>mois</w:t>
            </w:r>
          </w:p>
        </w:tc>
      </w:tr>
      <w:tr w:rsidR="008D3554" w14:paraId="5F524573" w14:textId="408ADFEF" w:rsidTr="00E528E3">
        <w:trPr>
          <w:trHeight w:val="249"/>
        </w:trPr>
        <w:tc>
          <w:tcPr>
            <w:tcW w:w="5103" w:type="dxa"/>
          </w:tcPr>
          <w:p w14:paraId="4A7400DF" w14:textId="77777777" w:rsidR="008D3554" w:rsidRDefault="008D355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final  </w:t>
            </w:r>
          </w:p>
        </w:tc>
        <w:tc>
          <w:tcPr>
            <w:tcW w:w="4496" w:type="dxa"/>
            <w:tcBorders>
              <w:top w:val="single" w:sz="4" w:space="0" w:color="auto"/>
              <w:left w:val="single" w:sz="4" w:space="0" w:color="auto"/>
              <w:bottom w:val="single" w:sz="4" w:space="0" w:color="auto"/>
              <w:right w:val="single" w:sz="4" w:space="0" w:color="auto"/>
            </w:tcBorders>
          </w:tcPr>
          <w:p w14:paraId="2ABD9FCE" w14:textId="2FB3F3CC" w:rsidR="008D3554" w:rsidRDefault="008D3554" w:rsidP="008D3554">
            <w:pPr>
              <w:pStyle w:val="Paragraphedeliste"/>
              <w:spacing w:line="240" w:lineRule="auto"/>
              <w:jc w:val="both"/>
              <w:rPr>
                <w:rFonts w:ascii="Calibri" w:eastAsia="Arial Unicode MS" w:hAnsi="Calibri" w:cs="Arial Unicode MS"/>
                <w:sz w:val="22"/>
                <w:szCs w:val="22"/>
                <w:lang w:eastAsia="en-US"/>
              </w:rPr>
            </w:pPr>
            <w:r w:rsidRPr="00B26D1D">
              <w:rPr>
                <w:rFonts w:ascii="Calibri" w:eastAsia="Arial Unicode MS" w:hAnsi="Calibri" w:cs="Arial Unicode MS"/>
                <w:sz w:val="22"/>
                <w:szCs w:val="22"/>
                <w:lang w:eastAsia="en-US"/>
              </w:rPr>
              <w:t xml:space="preserve">T0 + </w:t>
            </w:r>
            <w:r w:rsidR="00DE04BD" w:rsidRPr="00B26D1D">
              <w:rPr>
                <w:rFonts w:ascii="Calibri" w:eastAsia="Arial Unicode MS" w:hAnsi="Calibri" w:cs="Arial Unicode MS"/>
                <w:sz w:val="22"/>
                <w:szCs w:val="22"/>
                <w:lang w:eastAsia="en-US"/>
              </w:rPr>
              <w:t>09</w:t>
            </w:r>
            <w:r w:rsidRPr="00B26D1D">
              <w:rPr>
                <w:rFonts w:ascii="Calibri" w:eastAsia="Arial Unicode MS" w:hAnsi="Calibri" w:cs="Arial Unicode MS"/>
                <w:sz w:val="22"/>
                <w:szCs w:val="22"/>
                <w:lang w:eastAsia="en-US"/>
              </w:rPr>
              <w:t xml:space="preserve"> mois</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56F47F69" w14:textId="77777777" w:rsidR="00AE5AB9" w:rsidRPr="00A86E43" w:rsidRDefault="00AE5AB9" w:rsidP="00A1761D">
      <w:pPr>
        <w:pStyle w:val="v"/>
        <w:widowControl w:val="0"/>
        <w:spacing w:before="120"/>
        <w:ind w:left="556" w:firstLine="0"/>
        <w:rPr>
          <w:rFonts w:asciiTheme="minorHAnsi" w:hAnsiTheme="minorHAnsi" w:cstheme="minorHAnsi"/>
          <w:szCs w:val="22"/>
        </w:rPr>
      </w:pP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26921993"/>
      <w:r w:rsidRPr="00A86E43">
        <w:rPr>
          <w:rFonts w:asciiTheme="minorHAnsi" w:hAnsiTheme="minorHAnsi" w:cstheme="minorHAnsi"/>
          <w:sz w:val="22"/>
          <w:szCs w:val="22"/>
        </w:rPr>
        <w:lastRenderedPageBreak/>
        <w:t>Lieu d’exécution</w:t>
      </w:r>
      <w:bookmarkEnd w:id="41"/>
      <w:bookmarkEnd w:id="42"/>
    </w:p>
    <w:p w14:paraId="211EA0ED" w14:textId="084D258A"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8D3554">
        <w:rPr>
          <w:rFonts w:asciiTheme="minorHAnsi" w:hAnsiTheme="minorHAnsi" w:cstheme="minorHAnsi"/>
          <w:szCs w:val="22"/>
        </w:rPr>
        <w:t>dans les pays suivants, couverts par le projet CRPM2 :</w:t>
      </w:r>
      <w:r w:rsidR="00A05710">
        <w:rPr>
          <w:rFonts w:asciiTheme="minorHAnsi" w:hAnsiTheme="minorHAnsi" w:cstheme="minorHAnsi"/>
          <w:szCs w:val="22"/>
        </w:rPr>
        <w:t xml:space="preserve"> </w:t>
      </w:r>
      <w:r w:rsidR="008D3554" w:rsidRPr="008D3554">
        <w:rPr>
          <w:rFonts w:asciiTheme="minorHAnsi" w:hAnsiTheme="minorHAnsi" w:cstheme="minorHAnsi"/>
          <w:szCs w:val="22"/>
        </w:rPr>
        <w:t>Cameroun, Côte d’Ivoire, Guinée, Madagascar</w:t>
      </w:r>
      <w:r w:rsidR="00DE04BD">
        <w:rPr>
          <w:rFonts w:asciiTheme="minorHAnsi" w:hAnsiTheme="minorHAnsi" w:cstheme="minorHAnsi"/>
          <w:szCs w:val="22"/>
        </w:rPr>
        <w:t xml:space="preserve">, </w:t>
      </w:r>
      <w:r w:rsidR="008D3554" w:rsidRPr="008D3554">
        <w:rPr>
          <w:rFonts w:asciiTheme="minorHAnsi" w:hAnsiTheme="minorHAnsi" w:cstheme="minorHAnsi"/>
          <w:szCs w:val="22"/>
        </w:rPr>
        <w:t>Sénégal</w:t>
      </w:r>
      <w:r w:rsidR="00DE04BD">
        <w:rPr>
          <w:rFonts w:asciiTheme="minorHAnsi" w:hAnsiTheme="minorHAnsi" w:cstheme="minorHAnsi"/>
          <w:szCs w:val="22"/>
        </w:rPr>
        <w:t xml:space="preserve"> et France</w:t>
      </w:r>
      <w:r w:rsidR="008D3554">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53E7770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503C5119" w14:textId="77777777" w:rsidR="00A05710" w:rsidRPr="00A86E43" w:rsidRDefault="00A05710" w:rsidP="00A05710">
      <w:pPr>
        <w:pStyle w:val="u"/>
        <w:widowControl w:val="0"/>
        <w:numPr>
          <w:ilvl w:val="12"/>
          <w:numId w:val="0"/>
        </w:numPr>
        <w:ind w:left="567"/>
        <w:rPr>
          <w:rFonts w:asciiTheme="minorHAnsi" w:hAnsiTheme="minorHAnsi" w:cstheme="minorHAnsi"/>
          <w:szCs w:val="22"/>
        </w:rPr>
      </w:pPr>
      <w:bookmarkStart w:id="50" w:name="_Toc392669649"/>
      <w:bookmarkStart w:id="51" w:name="_Toc126922000"/>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veillera à ce que le</w:t>
      </w:r>
      <w:r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dispose en temps utile des documents (décrits ci-dessous) nécessaires à la réalisation des prestations :</w:t>
      </w:r>
    </w:p>
    <w:p w14:paraId="34FFFE9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cahier des charges ;</w:t>
      </w:r>
    </w:p>
    <w:p w14:paraId="5BD64D1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 xml:space="preserve">Le règlement de de la consultation ; </w:t>
      </w:r>
    </w:p>
    <w:p w14:paraId="4757E5E3"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formulaire de candidature ;</w:t>
      </w:r>
    </w:p>
    <w:p w14:paraId="121B0557"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La Décomposition d</w:t>
      </w:r>
      <w:r>
        <w:rPr>
          <w:rFonts w:asciiTheme="minorHAnsi" w:hAnsiTheme="minorHAnsi" w:cstheme="minorHAnsi"/>
          <w:szCs w:val="22"/>
        </w:rPr>
        <w:t>u</w:t>
      </w:r>
      <w:r w:rsidRPr="004A7483">
        <w:rPr>
          <w:rFonts w:asciiTheme="minorHAnsi" w:hAnsiTheme="minorHAnsi" w:cstheme="minorHAnsi"/>
          <w:szCs w:val="22"/>
        </w:rPr>
        <w:t xml:space="preserve"> prix Glob</w:t>
      </w:r>
      <w:r>
        <w:rPr>
          <w:rFonts w:asciiTheme="minorHAnsi" w:hAnsiTheme="minorHAnsi" w:cstheme="minorHAnsi"/>
          <w:szCs w:val="22"/>
        </w:rPr>
        <w:t>al</w:t>
      </w:r>
      <w:r w:rsidRPr="004A7483">
        <w:rPr>
          <w:rFonts w:asciiTheme="minorHAnsi" w:hAnsiTheme="minorHAnsi" w:cstheme="minorHAnsi"/>
          <w:szCs w:val="22"/>
        </w:rPr>
        <w:t xml:space="preserve"> et Forfaitaire.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63CAD148" w14:textId="77777777" w:rsidR="008D3554" w:rsidRDefault="008D3554"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8E4B3CB" w14:textId="00969E79" w:rsidR="00A05710" w:rsidRPr="00451FF4" w:rsidRDefault="006775F6" w:rsidP="00A05710">
            <w:pPr>
              <w:widowControl w:val="0"/>
              <w:numPr>
                <w:ilvl w:val="12"/>
                <w:numId w:val="0"/>
              </w:numPr>
              <w:spacing w:line="240" w:lineRule="auto"/>
              <w:jc w:val="both"/>
              <w:rPr>
                <w:rFonts w:asciiTheme="minorHAnsi" w:hAnsiTheme="minorHAnsi" w:cstheme="minorHAnsi"/>
                <w:sz w:val="22"/>
                <w:szCs w:val="22"/>
              </w:rPr>
            </w:pPr>
            <w:r w:rsidRPr="006775F6">
              <w:rPr>
                <w:rFonts w:asciiTheme="minorHAnsi" w:hAnsiTheme="minorHAnsi" w:cstheme="minorHAnsi"/>
                <w:b/>
                <w:bCs/>
                <w:sz w:val="22"/>
                <w:szCs w:val="22"/>
              </w:rPr>
              <w:t>Bamadi</w:t>
            </w:r>
            <w:r>
              <w:rPr>
                <w:rFonts w:asciiTheme="minorHAnsi" w:hAnsiTheme="minorHAnsi" w:cstheme="minorHAnsi"/>
                <w:sz w:val="22"/>
                <w:szCs w:val="22"/>
              </w:rPr>
              <w:t xml:space="preserve"> </w:t>
            </w:r>
            <w:r w:rsidRPr="006775F6">
              <w:rPr>
                <w:rFonts w:asciiTheme="minorHAnsi" w:hAnsiTheme="minorHAnsi" w:cstheme="minorHAnsi"/>
                <w:b/>
                <w:bCs/>
                <w:sz w:val="22"/>
                <w:szCs w:val="22"/>
              </w:rPr>
              <w:t>SANOKHO</w:t>
            </w:r>
          </w:p>
          <w:p w14:paraId="28D2635D" w14:textId="6F0D2D5E" w:rsidR="00A05710" w:rsidRPr="005723D2" w:rsidRDefault="00A05710" w:rsidP="00A05710">
            <w:pPr>
              <w:widowControl w:val="0"/>
              <w:numPr>
                <w:ilvl w:val="12"/>
                <w:numId w:val="0"/>
              </w:numPr>
              <w:spacing w:line="240" w:lineRule="auto"/>
              <w:jc w:val="both"/>
              <w:rPr>
                <w:rFonts w:asciiTheme="minorHAnsi" w:hAnsiTheme="minorHAnsi" w:cstheme="minorHAnsi"/>
                <w:b/>
                <w:bCs/>
                <w:sz w:val="22"/>
                <w:szCs w:val="22"/>
              </w:rPr>
            </w:pPr>
            <w:r w:rsidRPr="005723D2">
              <w:rPr>
                <w:rFonts w:asciiTheme="minorHAnsi" w:hAnsiTheme="minorHAnsi" w:cstheme="minorHAnsi"/>
                <w:b/>
                <w:bCs/>
                <w:sz w:val="22"/>
                <w:szCs w:val="22"/>
              </w:rPr>
              <w:t>Chef de Projet</w:t>
            </w:r>
            <w:r w:rsidR="006775F6">
              <w:rPr>
                <w:rFonts w:asciiTheme="minorHAnsi" w:hAnsiTheme="minorHAnsi" w:cstheme="minorHAnsi"/>
                <w:b/>
                <w:bCs/>
                <w:sz w:val="22"/>
                <w:szCs w:val="22"/>
              </w:rPr>
              <w:t xml:space="preserve"> CRPM2</w:t>
            </w:r>
          </w:p>
          <w:p w14:paraId="2A3AC0DA"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2B052B69"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011F9325" w14:textId="005F282D" w:rsidR="00D07897" w:rsidRPr="00A86E43" w:rsidRDefault="00A05710" w:rsidP="00A05710">
            <w:pPr>
              <w:widowControl w:val="0"/>
              <w:numPr>
                <w:ilvl w:val="12"/>
                <w:numId w:val="0"/>
              </w:numPr>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05710">
              <w:rPr>
                <w:rFonts w:asciiTheme="minorHAnsi" w:eastAsia="Calibri" w:hAnsiTheme="minorHAnsi" w:cstheme="minorHAnsi"/>
                <w:szCs w:val="22"/>
                <w:highlight w:val="yellow"/>
              </w:rPr>
              <w:t xml:space="preserve">A renseigner par le </w:t>
            </w:r>
            <w:r w:rsidR="00100109" w:rsidRPr="00A05710">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5" w:name="_Toc126922002"/>
      <w:r>
        <w:rPr>
          <w:rFonts w:asciiTheme="minorHAnsi" w:hAnsiTheme="minorHAnsi" w:cstheme="minorHAnsi"/>
          <w:sz w:val="22"/>
          <w:szCs w:val="22"/>
        </w:rPr>
        <w:t>Engagement contre la déforestation</w:t>
      </w:r>
      <w:bookmarkEnd w:id="5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3"/>
      <w:r w:rsidRPr="00A86E43">
        <w:rPr>
          <w:rFonts w:asciiTheme="minorHAnsi" w:hAnsiTheme="minorHAnsi"/>
          <w:b/>
          <w:caps/>
          <w:sz w:val="24"/>
          <w:u w:val="single"/>
        </w:rPr>
        <w:t>Clause de réexamen</w:t>
      </w:r>
      <w:bookmarkEnd w:id="56"/>
    </w:p>
    <w:p w14:paraId="70205E28" w14:textId="77777777" w:rsidR="00A05710" w:rsidRPr="00A86E43" w:rsidRDefault="00A05710" w:rsidP="00A05710">
      <w:pPr>
        <w:pStyle w:val="u"/>
        <w:widowControl w:val="0"/>
        <w:numPr>
          <w:ilvl w:val="12"/>
          <w:numId w:val="0"/>
        </w:numPr>
        <w:spacing w:before="120"/>
        <w:ind w:left="561"/>
        <w:rPr>
          <w:rFonts w:asciiTheme="minorHAnsi" w:hAnsiTheme="minorHAnsi" w:cs="Arial"/>
          <w:szCs w:val="22"/>
        </w:rPr>
      </w:pPr>
      <w:bookmarkStart w:id="57" w:name="_Toc70411395"/>
      <w:bookmarkStart w:id="58"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24C9191F" w14:textId="77777777" w:rsidR="00A05710" w:rsidRPr="00EC36A6" w:rsidRDefault="00A05710" w:rsidP="00A05710">
      <w:pPr>
        <w:pStyle w:val="u"/>
        <w:widowControl w:val="0"/>
        <w:numPr>
          <w:ilvl w:val="0"/>
          <w:numId w:val="51"/>
        </w:numPr>
        <w:spacing w:before="120"/>
        <w:textAlignment w:val="auto"/>
        <w:rPr>
          <w:rFonts w:asciiTheme="minorHAnsi" w:hAnsiTheme="minorHAnsi" w:cs="Arial"/>
          <w:szCs w:val="22"/>
        </w:rPr>
      </w:pPr>
      <w:r w:rsidRPr="00EC36A6">
        <w:rPr>
          <w:rFonts w:asciiTheme="minorHAnsi" w:hAnsiTheme="minorHAnsi" w:cs="Arial"/>
          <w:szCs w:val="22"/>
        </w:rPr>
        <w:t>La mise à jour d’éléments concernant les livrables.</w:t>
      </w:r>
    </w:p>
    <w:p w14:paraId="51D58603" w14:textId="77777777" w:rsidR="00A05710" w:rsidRDefault="00A05710" w:rsidP="00A05710">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w:t>
      </w:r>
      <w:r>
        <w:rPr>
          <w:rFonts w:asciiTheme="minorHAnsi" w:hAnsiTheme="minorHAnsi" w:cs="Arial"/>
          <w:szCs w:val="22"/>
        </w:rPr>
        <w:lastRenderedPageBreak/>
        <w:t xml:space="preserve">des échanges. Les mises à jour majeures feront l’objet d’un avenant </w:t>
      </w:r>
      <w:r w:rsidRPr="00EC36A6">
        <w:rPr>
          <w:rFonts w:asciiTheme="minorHAnsi" w:hAnsiTheme="minorHAnsi" w:cs="Arial"/>
          <w:i/>
          <w:iCs/>
          <w:szCs w:val="22"/>
        </w:rPr>
        <w:t>(délais,</w:t>
      </w:r>
      <w:r>
        <w:rPr>
          <w:rFonts w:asciiTheme="minorHAnsi" w:hAnsiTheme="minorHAnsi" w:cs="Arial"/>
          <w:i/>
          <w:iCs/>
          <w:szCs w:val="22"/>
        </w:rPr>
        <w:t xml:space="preserve"> nature des livrables,</w:t>
      </w:r>
      <w:r w:rsidRPr="00EC36A6">
        <w:rPr>
          <w:rFonts w:asciiTheme="minorHAnsi" w:hAnsiTheme="minorHAnsi" w:cs="Arial"/>
          <w:i/>
          <w:iCs/>
          <w:szCs w:val="22"/>
        </w:rPr>
        <w:t xml:space="preserve"> suppression ou ajout de prestation)</w:t>
      </w:r>
      <w:r>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7"/>
      <w:bookmarkEnd w:id="58"/>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FFB16BB"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A05710">
        <w:rPr>
          <w:rFonts w:asciiTheme="minorHAnsi" w:hAnsiTheme="minorHAnsi" w:cs="Arial"/>
          <w:szCs w:val="22"/>
        </w:rPr>
        <w:t>-PI (article 14)</w:t>
      </w:r>
      <w:r w:rsidRPr="00A86E43">
        <w:rPr>
          <w:rFonts w:asciiTheme="minorHAnsi" w:hAnsiTheme="minorHAnsi" w:cs="Arial"/>
          <w:szCs w:val="22"/>
        </w:rPr>
        <w:t>,</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lastRenderedPageBreak/>
        <w:t>Droits à l’image</w:t>
      </w:r>
      <w:bookmarkEnd w:id="68"/>
      <w:r w:rsidRPr="00A86E43">
        <w:rPr>
          <w:rFonts w:asciiTheme="minorHAnsi" w:hAnsiTheme="minorHAnsi"/>
          <w:sz w:val="22"/>
          <w:szCs w:val="22"/>
        </w:rPr>
        <w:t xml:space="preserve"> </w:t>
      </w:r>
    </w:p>
    <w:p w14:paraId="077203E9" w14:textId="50D03FD4" w:rsidR="00A05710" w:rsidRDefault="00897529" w:rsidP="008D3554">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1F803F83" w14:textId="77777777" w:rsidR="00DC224A" w:rsidRPr="00A86E43" w:rsidRDefault="00DC224A" w:rsidP="00DC224A">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Pr>
          <w:rFonts w:asciiTheme="minorHAnsi" w:hAnsiTheme="minorHAnsi" w:cstheme="minorHAnsi"/>
          <w:sz w:val="22"/>
          <w:szCs w:val="22"/>
        </w:rPr>
        <w:t xml:space="preserve">36 </w:t>
      </w:r>
      <w:r w:rsidRPr="00A86E43">
        <w:rPr>
          <w:rFonts w:asciiTheme="minorHAnsi" w:hAnsiTheme="minorHAnsi" w:cstheme="minorHAnsi"/>
          <w:sz w:val="22"/>
          <w:szCs w:val="22"/>
        </w:rPr>
        <w:t xml:space="preserve">à </w:t>
      </w:r>
      <w:r>
        <w:rPr>
          <w:rFonts w:asciiTheme="minorHAnsi" w:hAnsiTheme="minorHAnsi" w:cstheme="minorHAnsi"/>
          <w:sz w:val="22"/>
          <w:szCs w:val="22"/>
        </w:rPr>
        <w:t>42</w:t>
      </w:r>
      <w:r w:rsidRPr="00A86E43">
        <w:rPr>
          <w:rFonts w:asciiTheme="minorHAnsi" w:hAnsiTheme="minorHAnsi" w:cstheme="minorHAnsi"/>
          <w:sz w:val="22"/>
          <w:szCs w:val="22"/>
        </w:rPr>
        <w:t xml:space="preserve"> du CCAG</w:t>
      </w:r>
      <w:r>
        <w:rPr>
          <w:rFonts w:asciiTheme="minorHAnsi" w:hAnsiTheme="minorHAnsi" w:cstheme="minorHAnsi"/>
          <w:sz w:val="22"/>
          <w:szCs w:val="22"/>
        </w:rPr>
        <w:t>-</w:t>
      </w:r>
      <w:r w:rsidRPr="00A86E43">
        <w:rPr>
          <w:rFonts w:asciiTheme="minorHAnsi" w:hAnsiTheme="minorHAnsi" w:cstheme="minorHAnsi"/>
          <w:sz w:val="22"/>
          <w:szCs w:val="22"/>
        </w:rPr>
        <w:t>PI.</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37A8D6F"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DC224A">
        <w:rPr>
          <w:rFonts w:asciiTheme="minorHAnsi" w:hAnsiTheme="minorHAnsi" w:cstheme="minorHAnsi"/>
          <w:sz w:val="22"/>
          <w:szCs w:val="22"/>
        </w:rPr>
        <w:t>40 du CCAG PI</w:t>
      </w:r>
      <w:r>
        <w:rPr>
          <w:rFonts w:asciiTheme="minorHAnsi" w:hAnsiTheme="minorHAnsi" w:cstheme="minorHAnsi"/>
          <w:sz w:val="22"/>
          <w:szCs w:val="22"/>
        </w:rPr>
        <w:t xml:space="preserve">, la résiliation pour motif d’intérêt général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lastRenderedPageBreak/>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A7F96FD" w14:textId="77777777" w:rsidR="00BB1239" w:rsidRDefault="00BB1239" w:rsidP="00BB123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3BD04ABE" w14:textId="77777777" w:rsidR="00BB1239" w:rsidRDefault="00BB1239" w:rsidP="00BB123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40D024E7"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finalité(s) qui fait/font l’objet du présent contrat, telles qu’elles sont précisées dans l’annexe portant sur la collecte des données personnelles (sous-traitant RGPD) ;</w:t>
      </w:r>
    </w:p>
    <w:p w14:paraId="0C248F82"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71A21CAE"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733330B9"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0DE1309B"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1312667B" w14:textId="77777777"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43F22AB1" w14:textId="09B0CDA6" w:rsidR="00BB1239" w:rsidRDefault="00BB1239" w:rsidP="00BB1239">
      <w:pPr>
        <w:widowControl w:val="0"/>
        <w:numPr>
          <w:ilvl w:val="0"/>
          <w:numId w:val="69"/>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à la disposition d’</w:t>
      </w:r>
      <w:r>
        <w:rPr>
          <w:rFonts w:asciiTheme="minorHAnsi" w:hAnsiTheme="minorHAnsi" w:cs="Arial"/>
          <w:smallCaps/>
          <w:szCs w:val="22"/>
        </w:rPr>
        <w:t>Expertise France</w:t>
      </w:r>
      <w:r>
        <w:rPr>
          <w:rFonts w:asciiTheme="minorHAnsi" w:eastAsia="Times New Roman" w:hAnsiTheme="minorHAnsi" w:cstheme="minorHAnsi"/>
          <w:sz w:val="22"/>
        </w:rPr>
        <w:t xml:space="preserve"> toutes les informations nécessaires pour démontrer le respect des obligations prévues au présent article et permettre la réalisation d’audits par elle ou toute autre personne qu’il a mandatée.</w:t>
      </w:r>
    </w:p>
    <w:p w14:paraId="3C5C9002" w14:textId="77777777" w:rsidR="00BB1239" w:rsidRDefault="00BB1239" w:rsidP="00BB1239">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w:t>
      </w:r>
      <w:r>
        <w:rPr>
          <w:rFonts w:asciiTheme="minorHAnsi" w:eastAsia="Times New Roman" w:hAnsiTheme="minorHAnsi" w:cstheme="minorHAnsi"/>
          <w:sz w:val="22"/>
        </w:rPr>
        <w:lastRenderedPageBreak/>
        <w:t xml:space="preserve">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460D700C" w14:textId="77777777" w:rsidR="00BB1239" w:rsidRDefault="00BB1239" w:rsidP="00BB1239">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mêmes obligations en matière de protection des données que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0C90559A" w14:textId="12324A1D" w:rsidR="00BB1239" w:rsidRDefault="00BB1239" w:rsidP="00BB1239">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67BCE1EA"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29</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D3366B3"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-PI</w:t>
      </w:r>
      <w:r w:rsidR="00000B60">
        <w:rPr>
          <w:rFonts w:asciiTheme="minorHAnsi" w:eastAsia="Times New Roman" w:hAnsiTheme="minorHAnsi" w:cstheme="minorHAnsi"/>
          <w:sz w:val="22"/>
          <w:szCs w:val="22"/>
        </w:rPr>
        <w:t> ;</w:t>
      </w:r>
    </w:p>
    <w:p w14:paraId="06FF1A5B" w14:textId="486AC7C7" w:rsidR="00000B60" w:rsidRPr="00822D98" w:rsidRDefault="00000B6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4"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lastRenderedPageBreak/>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26922022"/>
      <w:r w:rsidRPr="00A86E43">
        <w:rPr>
          <w:rFonts w:asciiTheme="minorHAnsi" w:hAnsiTheme="minorHAnsi"/>
          <w:b/>
          <w:caps/>
          <w:sz w:val="24"/>
          <w:u w:val="single"/>
        </w:rPr>
        <w:t>RÈglement des litiges - DROIT Français APPLICABLE</w:t>
      </w:r>
      <w:bookmarkEnd w:id="125"/>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00F66B55" w:rsidR="005C157F" w:rsidRPr="00000B60" w:rsidRDefault="005C157F" w:rsidP="00000B60">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A86E43">
        <w:rPr>
          <w:rFonts w:asciiTheme="minorHAnsi" w:hAnsiTheme="minorHAnsi"/>
          <w:sz w:val="22"/>
          <w:szCs w:val="22"/>
        </w:rPr>
        <w:t>Déclaration</w:t>
      </w:r>
      <w:bookmarkEnd w:id="126"/>
      <w:bookmarkEnd w:id="127"/>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8"/>
    </w:p>
    <w:p w14:paraId="6F3D8015" w14:textId="77777777" w:rsidR="00656639" w:rsidRPr="001B5605" w:rsidRDefault="00656639">
      <w:pPr>
        <w:pStyle w:val="Corpsdetexte"/>
        <w:jc w:val="left"/>
        <w:rPr>
          <w:rFonts w:asciiTheme="minorHAnsi" w:hAnsiTheme="minorHAnsi"/>
          <w:sz w:val="20"/>
        </w:rPr>
      </w:pPr>
    </w:p>
    <w:p w14:paraId="256795A6" w14:textId="62B395EE"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0CDB1FA2" w14:textId="77777777" w:rsidR="00DC224A" w:rsidRPr="0084229C" w:rsidRDefault="00DC224A" w:rsidP="00DC224A">
      <w:pPr>
        <w:pStyle w:val="v"/>
        <w:widowControl w:val="0"/>
        <w:spacing w:before="600" w:after="240"/>
        <w:ind w:left="426" w:firstLine="0"/>
        <w:jc w:val="left"/>
        <w:outlineLvl w:val="0"/>
        <w:rPr>
          <w:rFonts w:asciiTheme="minorHAnsi" w:hAnsiTheme="minorHAnsi"/>
          <w:b/>
          <w:caps/>
          <w:sz w:val="28"/>
        </w:rPr>
      </w:pPr>
      <w:r w:rsidRPr="0084229C">
        <w:rPr>
          <w:rFonts w:asciiTheme="minorHAnsi" w:hAnsiTheme="minorHAnsi"/>
          <w:b/>
          <w:caps/>
          <w:sz w:val="28"/>
        </w:rPr>
        <w:lastRenderedPageBreak/>
        <w:t>annexe 2 : CCAG - PI</w:t>
      </w:r>
    </w:p>
    <w:p w14:paraId="4D59415F" w14:textId="77777777" w:rsidR="00DC224A" w:rsidRPr="0084229C" w:rsidRDefault="00DC224A" w:rsidP="00DC224A">
      <w:pPr>
        <w:pStyle w:val="v"/>
        <w:widowControl w:val="0"/>
        <w:spacing w:after="240"/>
        <w:ind w:left="767" w:hanging="205"/>
        <w:jc w:val="left"/>
        <w:outlineLvl w:val="0"/>
        <w:rPr>
          <w:rFonts w:asciiTheme="minorHAnsi" w:hAnsiTheme="minorHAnsi" w:cstheme="minorHAnsi"/>
          <w:color w:val="4F81BD" w:themeColor="accent1"/>
          <w:sz w:val="24"/>
        </w:rPr>
      </w:pPr>
      <w:hyperlink r:id="rId28" w:history="1">
        <w:r w:rsidRPr="0084229C">
          <w:rPr>
            <w:rStyle w:val="Lienhypertexte"/>
            <w:rFonts w:asciiTheme="minorHAnsi" w:hAnsiTheme="minorHAnsi" w:cstheme="minorHAnsi"/>
            <w:color w:val="4F81BD" w:themeColor="accent1"/>
            <w:sz w:val="24"/>
          </w:rPr>
          <w:t>CCAG-PI 2021 prestations intellectuelles ECOM2106874A (marche-public.fr)</w:t>
        </w:r>
      </w:hyperlink>
    </w:p>
    <w:p w14:paraId="1E8BAE4B" w14:textId="383E6C60"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522FBBC5" w14:textId="77777777"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 xml:space="preserve">ANNEXE 3 :  </w:t>
      </w:r>
      <w:r>
        <w:rPr>
          <w:rFonts w:asciiTheme="minorHAnsi" w:hAnsiTheme="minorHAnsi"/>
          <w:b/>
          <w:caps/>
          <w:sz w:val="28"/>
        </w:rPr>
        <w:t>offre</w:t>
      </w:r>
      <w:r w:rsidRPr="0084229C">
        <w:rPr>
          <w:rFonts w:asciiTheme="minorHAnsi" w:hAnsiTheme="minorHAnsi"/>
          <w:b/>
          <w:caps/>
          <w:sz w:val="28"/>
        </w:rPr>
        <w:t xml:space="preserve"> du contractant</w:t>
      </w:r>
    </w:p>
    <w:p w14:paraId="4DD0818E" w14:textId="273A8134"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3D83623" w14:textId="4F90C4D0"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annexe 4 : decomposition des prix globaux et forfaitaire (DPGF)</w:t>
      </w:r>
    </w:p>
    <w:p w14:paraId="0A7B6689"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4E65" w14:textId="77777777" w:rsidR="00C605AC" w:rsidRDefault="00C605AC">
      <w:r>
        <w:separator/>
      </w:r>
    </w:p>
  </w:endnote>
  <w:endnote w:type="continuationSeparator" w:id="0">
    <w:p w14:paraId="2DD4DDD1" w14:textId="77777777" w:rsidR="00C605AC" w:rsidRDefault="00C6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2207EE" w:rsidRDefault="002207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207EE" w:rsidRDefault="002207E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1CE64A67" w:rsidR="002207EE" w:rsidRDefault="002207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56B4C">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56B4C">
              <w:rPr>
                <w:rFonts w:asciiTheme="minorHAnsi" w:hAnsiTheme="minorHAnsi"/>
                <w:b/>
                <w:bCs/>
                <w:noProof/>
                <w:sz w:val="22"/>
                <w:szCs w:val="22"/>
              </w:rPr>
              <w:t>25</w:t>
            </w:r>
            <w:r>
              <w:rPr>
                <w:rFonts w:asciiTheme="minorHAnsi" w:hAnsiTheme="minorHAnsi"/>
                <w:sz w:val="22"/>
                <w:szCs w:val="22"/>
              </w:rPr>
              <w:fldChar w:fldCharType="end"/>
            </w:r>
          </w:p>
        </w:sdtContent>
      </w:sdt>
      <w:p w14:paraId="0482806B" w14:textId="77777777" w:rsidR="002207EE"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207EE" w:rsidRDefault="002207E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E54B7F6" w:rsidR="002207EE" w:rsidRDefault="002207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56B4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56B4C">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2207EE" w:rsidRDefault="002207E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207EE" w:rsidRDefault="002207E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2207EE" w:rsidRPr="00065565" w:rsidRDefault="002207E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207EE" w:rsidRDefault="002207E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207EE" w:rsidRPr="00EE0FDD" w:rsidRDefault="002207E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164E894" w:rsidR="002207EE" w:rsidRPr="00FF1F8E" w:rsidRDefault="002207E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56B4C">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56B4C">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01D4B" w14:textId="77777777" w:rsidR="00C605AC" w:rsidRDefault="00C605AC">
      <w:r>
        <w:separator/>
      </w:r>
    </w:p>
  </w:footnote>
  <w:footnote w:type="continuationSeparator" w:id="0">
    <w:p w14:paraId="357064FB" w14:textId="77777777" w:rsidR="00C605AC" w:rsidRDefault="00C605AC">
      <w:r>
        <w:continuationSeparator/>
      </w:r>
    </w:p>
  </w:footnote>
  <w:footnote w:id="1">
    <w:p w14:paraId="32CE47F5" w14:textId="77777777" w:rsidR="002207EE" w:rsidRPr="005E2563" w:rsidRDefault="002207EE" w:rsidP="002207EE">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2EAB52A1" w14:textId="77777777" w:rsidR="002207EE" w:rsidRPr="00A86E43" w:rsidRDefault="002207EE" w:rsidP="002207EE">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207EE" w:rsidRPr="00B21564" w:rsidRDefault="002207E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207EE" w:rsidRPr="00A86E43" w:rsidRDefault="002207E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207EE" w:rsidRDefault="002207E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2207EE" w:rsidRDefault="002207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207EE" w:rsidRPr="00707B69" w:rsidRDefault="002207E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207EE" w:rsidRPr="00AC48DD" w:rsidRDefault="002207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207EE" w:rsidRDefault="002207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207EE" w:rsidRPr="00AC48DD" w:rsidRDefault="002207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207EE" w:rsidRDefault="002207E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207EE" w:rsidRDefault="002207E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207EE" w:rsidRPr="00707B69" w:rsidRDefault="002207E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207EE" w:rsidRPr="00AC48DD" w:rsidRDefault="002207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207EE" w:rsidRDefault="002207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207EE" w:rsidRPr="00AC48DD" w:rsidRDefault="002207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207EE" w:rsidRPr="00707B69" w:rsidRDefault="002207E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207EE" w:rsidRPr="00AC48DD" w:rsidRDefault="002207E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207EE" w:rsidRDefault="002207E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207EE" w:rsidRPr="00996FEA" w:rsidRDefault="002207E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DA6972"/>
    <w:multiLevelType w:val="multilevel"/>
    <w:tmpl w:val="F30251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D366E4"/>
    <w:multiLevelType w:val="multilevel"/>
    <w:tmpl w:val="FFBA0E28"/>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720125909">
    <w:abstractNumId w:val="0"/>
  </w:num>
  <w:num w:numId="2" w16cid:durableId="121503887">
    <w:abstractNumId w:val="11"/>
  </w:num>
  <w:num w:numId="3" w16cid:durableId="741410536">
    <w:abstractNumId w:val="8"/>
  </w:num>
  <w:num w:numId="4" w16cid:durableId="41559734">
    <w:abstractNumId w:val="42"/>
  </w:num>
  <w:num w:numId="5" w16cid:durableId="448862082">
    <w:abstractNumId w:val="7"/>
  </w:num>
  <w:num w:numId="6" w16cid:durableId="2140954529">
    <w:abstractNumId w:val="49"/>
  </w:num>
  <w:num w:numId="7" w16cid:durableId="528296118">
    <w:abstractNumId w:val="18"/>
  </w:num>
  <w:num w:numId="8" w16cid:durableId="477188427">
    <w:abstractNumId w:val="30"/>
  </w:num>
  <w:num w:numId="9" w16cid:durableId="163126509">
    <w:abstractNumId w:val="15"/>
  </w:num>
  <w:num w:numId="10" w16cid:durableId="1020352028">
    <w:abstractNumId w:val="21"/>
  </w:num>
  <w:num w:numId="11" w16cid:durableId="1858036308">
    <w:abstractNumId w:val="25"/>
  </w:num>
  <w:num w:numId="12" w16cid:durableId="1558515161">
    <w:abstractNumId w:val="20"/>
  </w:num>
  <w:num w:numId="13" w16cid:durableId="939145386">
    <w:abstractNumId w:val="48"/>
  </w:num>
  <w:num w:numId="14" w16cid:durableId="2099717782">
    <w:abstractNumId w:val="12"/>
  </w:num>
  <w:num w:numId="15" w16cid:durableId="1659844273">
    <w:abstractNumId w:val="52"/>
  </w:num>
  <w:num w:numId="16" w16cid:durableId="1424565234">
    <w:abstractNumId w:val="34"/>
  </w:num>
  <w:num w:numId="17" w16cid:durableId="1405179764">
    <w:abstractNumId w:val="57"/>
  </w:num>
  <w:num w:numId="18" w16cid:durableId="2123375119">
    <w:abstractNumId w:val="0"/>
    <w:lvlOverride w:ilvl="0">
      <w:startOverride w:val="1"/>
    </w:lvlOverride>
  </w:num>
  <w:num w:numId="19" w16cid:durableId="827019789">
    <w:abstractNumId w:val="36"/>
  </w:num>
  <w:num w:numId="20" w16cid:durableId="1996109903">
    <w:abstractNumId w:val="1"/>
  </w:num>
  <w:num w:numId="21" w16cid:durableId="1456290177">
    <w:abstractNumId w:val="59"/>
  </w:num>
  <w:num w:numId="22" w16cid:durableId="478811941">
    <w:abstractNumId w:val="58"/>
  </w:num>
  <w:num w:numId="23" w16cid:durableId="1037242035">
    <w:abstractNumId w:val="37"/>
  </w:num>
  <w:num w:numId="24" w16cid:durableId="734665918">
    <w:abstractNumId w:val="46"/>
  </w:num>
  <w:num w:numId="25" w16cid:durableId="543565291">
    <w:abstractNumId w:val="17"/>
  </w:num>
  <w:num w:numId="26" w16cid:durableId="1893493723">
    <w:abstractNumId w:val="35"/>
  </w:num>
  <w:num w:numId="27" w16cid:durableId="1178697319">
    <w:abstractNumId w:val="56"/>
  </w:num>
  <w:num w:numId="28" w16cid:durableId="1549802973">
    <w:abstractNumId w:val="14"/>
  </w:num>
  <w:num w:numId="29" w16cid:durableId="1892380064">
    <w:abstractNumId w:val="11"/>
  </w:num>
  <w:num w:numId="30" w16cid:durableId="1951426651">
    <w:abstractNumId w:val="13"/>
  </w:num>
  <w:num w:numId="31" w16cid:durableId="74939254">
    <w:abstractNumId w:val="2"/>
  </w:num>
  <w:num w:numId="32" w16cid:durableId="1352612636">
    <w:abstractNumId w:val="22"/>
  </w:num>
  <w:num w:numId="33" w16cid:durableId="928192780">
    <w:abstractNumId w:val="23"/>
  </w:num>
  <w:num w:numId="34" w16cid:durableId="1935698092">
    <w:abstractNumId w:val="27"/>
  </w:num>
  <w:num w:numId="35" w16cid:durableId="938441443">
    <w:abstractNumId w:val="47"/>
  </w:num>
  <w:num w:numId="36" w16cid:durableId="1905793697">
    <w:abstractNumId w:val="19"/>
  </w:num>
  <w:num w:numId="37" w16cid:durableId="12268145">
    <w:abstractNumId w:val="40"/>
  </w:num>
  <w:num w:numId="38" w16cid:durableId="1261528061">
    <w:abstractNumId w:val="4"/>
  </w:num>
  <w:num w:numId="39" w16cid:durableId="87819286">
    <w:abstractNumId w:val="55"/>
  </w:num>
  <w:num w:numId="40" w16cid:durableId="323514092">
    <w:abstractNumId w:val="53"/>
  </w:num>
  <w:num w:numId="41" w16cid:durableId="1770276462">
    <w:abstractNumId w:val="50"/>
  </w:num>
  <w:num w:numId="42" w16cid:durableId="596325689">
    <w:abstractNumId w:val="38"/>
  </w:num>
  <w:num w:numId="43" w16cid:durableId="1959339794">
    <w:abstractNumId w:val="10"/>
  </w:num>
  <w:num w:numId="44" w16cid:durableId="369689779">
    <w:abstractNumId w:val="44"/>
  </w:num>
  <w:num w:numId="45" w16cid:durableId="548956392">
    <w:abstractNumId w:val="11"/>
  </w:num>
  <w:num w:numId="46" w16cid:durableId="1312177076">
    <w:abstractNumId w:val="11"/>
  </w:num>
  <w:num w:numId="47" w16cid:durableId="1144393117">
    <w:abstractNumId w:val="45"/>
  </w:num>
  <w:num w:numId="48" w16cid:durableId="73665753">
    <w:abstractNumId w:val="3"/>
  </w:num>
  <w:num w:numId="49" w16cid:durableId="678429105">
    <w:abstractNumId w:val="33"/>
  </w:num>
  <w:num w:numId="50" w16cid:durableId="702172668">
    <w:abstractNumId w:val="39"/>
  </w:num>
  <w:num w:numId="51" w16cid:durableId="1698577897">
    <w:abstractNumId w:val="16"/>
  </w:num>
  <w:num w:numId="52" w16cid:durableId="899560399">
    <w:abstractNumId w:val="9"/>
  </w:num>
  <w:num w:numId="53" w16cid:durableId="1663854117">
    <w:abstractNumId w:val="28"/>
  </w:num>
  <w:num w:numId="54" w16cid:durableId="442922352">
    <w:abstractNumId w:val="51"/>
  </w:num>
  <w:num w:numId="55" w16cid:durableId="1590889522">
    <w:abstractNumId w:val="24"/>
  </w:num>
  <w:num w:numId="56" w16cid:durableId="1255047133">
    <w:abstractNumId w:val="29"/>
  </w:num>
  <w:num w:numId="57" w16cid:durableId="1185291055">
    <w:abstractNumId w:val="32"/>
  </w:num>
  <w:num w:numId="58" w16cid:durableId="823398579">
    <w:abstractNumId w:val="24"/>
  </w:num>
  <w:num w:numId="59" w16cid:durableId="1183320353">
    <w:abstractNumId w:val="26"/>
  </w:num>
  <w:num w:numId="60" w16cid:durableId="1508053222">
    <w:abstractNumId w:val="24"/>
  </w:num>
  <w:num w:numId="61" w16cid:durableId="2023509023">
    <w:abstractNumId w:val="41"/>
  </w:num>
  <w:num w:numId="62" w16cid:durableId="2071689660">
    <w:abstractNumId w:val="54"/>
  </w:num>
  <w:num w:numId="63" w16cid:durableId="2133741806">
    <w:abstractNumId w:val="6"/>
  </w:num>
  <w:num w:numId="64" w16cid:durableId="1612861837">
    <w:abstractNumId w:val="59"/>
  </w:num>
  <w:num w:numId="65" w16cid:durableId="1919319838">
    <w:abstractNumId w:val="59"/>
  </w:num>
  <w:num w:numId="66" w16cid:durableId="1687945515">
    <w:abstractNumId w:val="5"/>
  </w:num>
  <w:num w:numId="67" w16cid:durableId="2020615270">
    <w:abstractNumId w:val="51"/>
  </w:num>
  <w:num w:numId="68" w16cid:durableId="862405685">
    <w:abstractNumId w:val="43"/>
  </w:num>
  <w:num w:numId="69" w16cid:durableId="1548254755">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B60"/>
    <w:rsid w:val="00000FA5"/>
    <w:rsid w:val="00004AE6"/>
    <w:rsid w:val="0000635E"/>
    <w:rsid w:val="000243D6"/>
    <w:rsid w:val="00024709"/>
    <w:rsid w:val="00032B65"/>
    <w:rsid w:val="0003445A"/>
    <w:rsid w:val="00037915"/>
    <w:rsid w:val="00043222"/>
    <w:rsid w:val="000455A6"/>
    <w:rsid w:val="000458C9"/>
    <w:rsid w:val="000461BD"/>
    <w:rsid w:val="00051787"/>
    <w:rsid w:val="00053E76"/>
    <w:rsid w:val="000569A8"/>
    <w:rsid w:val="000605E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03C0"/>
    <w:rsid w:val="000A4C31"/>
    <w:rsid w:val="000A6914"/>
    <w:rsid w:val="000A6D39"/>
    <w:rsid w:val="000A6E96"/>
    <w:rsid w:val="000A764F"/>
    <w:rsid w:val="000B4CA7"/>
    <w:rsid w:val="000B5260"/>
    <w:rsid w:val="000C096F"/>
    <w:rsid w:val="000C0B75"/>
    <w:rsid w:val="000C358D"/>
    <w:rsid w:val="000C3A2A"/>
    <w:rsid w:val="000C4A41"/>
    <w:rsid w:val="000C5E22"/>
    <w:rsid w:val="000C75D3"/>
    <w:rsid w:val="000C7D83"/>
    <w:rsid w:val="000D1A0F"/>
    <w:rsid w:val="000D3533"/>
    <w:rsid w:val="000D4E94"/>
    <w:rsid w:val="000E04E9"/>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200D"/>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0FA"/>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7DD"/>
    <w:rsid w:val="001B6DF5"/>
    <w:rsid w:val="001C136A"/>
    <w:rsid w:val="001C6281"/>
    <w:rsid w:val="001C7353"/>
    <w:rsid w:val="001C7BE2"/>
    <w:rsid w:val="001D458E"/>
    <w:rsid w:val="001D4CA1"/>
    <w:rsid w:val="001D7448"/>
    <w:rsid w:val="001E008E"/>
    <w:rsid w:val="001E12A9"/>
    <w:rsid w:val="001E2FD5"/>
    <w:rsid w:val="001E311F"/>
    <w:rsid w:val="001E4CCB"/>
    <w:rsid w:val="001F7664"/>
    <w:rsid w:val="0020187E"/>
    <w:rsid w:val="00202F63"/>
    <w:rsid w:val="002034EE"/>
    <w:rsid w:val="002049D5"/>
    <w:rsid w:val="00204CC9"/>
    <w:rsid w:val="00205BDE"/>
    <w:rsid w:val="002078FF"/>
    <w:rsid w:val="002128C2"/>
    <w:rsid w:val="0021293C"/>
    <w:rsid w:val="002129B8"/>
    <w:rsid w:val="00217B4E"/>
    <w:rsid w:val="002207E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4E7D"/>
    <w:rsid w:val="002D597F"/>
    <w:rsid w:val="002D5EDB"/>
    <w:rsid w:val="002E3CF6"/>
    <w:rsid w:val="002E47F9"/>
    <w:rsid w:val="002E7338"/>
    <w:rsid w:val="002F0361"/>
    <w:rsid w:val="002F072C"/>
    <w:rsid w:val="002F2D1F"/>
    <w:rsid w:val="002F7076"/>
    <w:rsid w:val="003009BE"/>
    <w:rsid w:val="003027A4"/>
    <w:rsid w:val="003061E8"/>
    <w:rsid w:val="00306A21"/>
    <w:rsid w:val="00307CED"/>
    <w:rsid w:val="0031042D"/>
    <w:rsid w:val="00312220"/>
    <w:rsid w:val="00315687"/>
    <w:rsid w:val="003231C9"/>
    <w:rsid w:val="003245D7"/>
    <w:rsid w:val="00326135"/>
    <w:rsid w:val="00330230"/>
    <w:rsid w:val="003318E8"/>
    <w:rsid w:val="0033197D"/>
    <w:rsid w:val="003335AC"/>
    <w:rsid w:val="00335591"/>
    <w:rsid w:val="003410C6"/>
    <w:rsid w:val="0034115E"/>
    <w:rsid w:val="00341850"/>
    <w:rsid w:val="00343978"/>
    <w:rsid w:val="00345172"/>
    <w:rsid w:val="003455DD"/>
    <w:rsid w:val="00345AEE"/>
    <w:rsid w:val="00347846"/>
    <w:rsid w:val="00347D93"/>
    <w:rsid w:val="003515EC"/>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4CB0"/>
    <w:rsid w:val="003E5AA6"/>
    <w:rsid w:val="003E7602"/>
    <w:rsid w:val="003F06DE"/>
    <w:rsid w:val="003F36C1"/>
    <w:rsid w:val="003F6C5F"/>
    <w:rsid w:val="004073C5"/>
    <w:rsid w:val="0040763A"/>
    <w:rsid w:val="00413542"/>
    <w:rsid w:val="0041382E"/>
    <w:rsid w:val="00416A7A"/>
    <w:rsid w:val="00422F59"/>
    <w:rsid w:val="0042438D"/>
    <w:rsid w:val="0043112E"/>
    <w:rsid w:val="004315ED"/>
    <w:rsid w:val="0043352D"/>
    <w:rsid w:val="00436E95"/>
    <w:rsid w:val="00441FC3"/>
    <w:rsid w:val="0044275E"/>
    <w:rsid w:val="004441AD"/>
    <w:rsid w:val="004529E5"/>
    <w:rsid w:val="004537EA"/>
    <w:rsid w:val="00454B53"/>
    <w:rsid w:val="00456853"/>
    <w:rsid w:val="0045693E"/>
    <w:rsid w:val="00456DBD"/>
    <w:rsid w:val="00464549"/>
    <w:rsid w:val="00466A20"/>
    <w:rsid w:val="004709C6"/>
    <w:rsid w:val="0048479B"/>
    <w:rsid w:val="00484CB6"/>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5F6A"/>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77FAF"/>
    <w:rsid w:val="00580C7F"/>
    <w:rsid w:val="00582257"/>
    <w:rsid w:val="00583154"/>
    <w:rsid w:val="00584F07"/>
    <w:rsid w:val="005851B5"/>
    <w:rsid w:val="00590224"/>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5F7570"/>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1D37"/>
    <w:rsid w:val="00641EC6"/>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5F6"/>
    <w:rsid w:val="006778B7"/>
    <w:rsid w:val="0068279C"/>
    <w:rsid w:val="006836B1"/>
    <w:rsid w:val="00684E75"/>
    <w:rsid w:val="0068693A"/>
    <w:rsid w:val="00691170"/>
    <w:rsid w:val="00694851"/>
    <w:rsid w:val="00694A01"/>
    <w:rsid w:val="00694D61"/>
    <w:rsid w:val="00695CFD"/>
    <w:rsid w:val="00697C5F"/>
    <w:rsid w:val="006A21B3"/>
    <w:rsid w:val="006A6224"/>
    <w:rsid w:val="006B1D0B"/>
    <w:rsid w:val="006B41D2"/>
    <w:rsid w:val="006B60B4"/>
    <w:rsid w:val="006B620A"/>
    <w:rsid w:val="006C52FD"/>
    <w:rsid w:val="006C5B6D"/>
    <w:rsid w:val="006D0BFE"/>
    <w:rsid w:val="006D3BE8"/>
    <w:rsid w:val="006E0586"/>
    <w:rsid w:val="006E2006"/>
    <w:rsid w:val="006E2037"/>
    <w:rsid w:val="006E2A49"/>
    <w:rsid w:val="006E576B"/>
    <w:rsid w:val="006E57FD"/>
    <w:rsid w:val="006F21F0"/>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2E9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3095"/>
    <w:rsid w:val="00775808"/>
    <w:rsid w:val="00781982"/>
    <w:rsid w:val="00782242"/>
    <w:rsid w:val="00783DE8"/>
    <w:rsid w:val="00787AE4"/>
    <w:rsid w:val="007925B5"/>
    <w:rsid w:val="00794721"/>
    <w:rsid w:val="00796758"/>
    <w:rsid w:val="007979DB"/>
    <w:rsid w:val="007A19E1"/>
    <w:rsid w:val="007A7647"/>
    <w:rsid w:val="007B112F"/>
    <w:rsid w:val="007B473C"/>
    <w:rsid w:val="007B538C"/>
    <w:rsid w:val="007C0BDB"/>
    <w:rsid w:val="007C128F"/>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2538"/>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0205"/>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3CB"/>
    <w:rsid w:val="008C6F83"/>
    <w:rsid w:val="008C7451"/>
    <w:rsid w:val="008D0EE4"/>
    <w:rsid w:val="008D1257"/>
    <w:rsid w:val="008D127E"/>
    <w:rsid w:val="008D2C3F"/>
    <w:rsid w:val="008D3554"/>
    <w:rsid w:val="008E6CCE"/>
    <w:rsid w:val="008E7987"/>
    <w:rsid w:val="008F1BF6"/>
    <w:rsid w:val="009011FA"/>
    <w:rsid w:val="00902863"/>
    <w:rsid w:val="009033BD"/>
    <w:rsid w:val="00903A5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3788"/>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62D8"/>
    <w:rsid w:val="009E4891"/>
    <w:rsid w:val="009F0612"/>
    <w:rsid w:val="009F3B5B"/>
    <w:rsid w:val="009F3ED9"/>
    <w:rsid w:val="009F49E3"/>
    <w:rsid w:val="009F54A4"/>
    <w:rsid w:val="00A0090D"/>
    <w:rsid w:val="00A04B43"/>
    <w:rsid w:val="00A05710"/>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E5AB9"/>
    <w:rsid w:val="00AF0502"/>
    <w:rsid w:val="00AF228F"/>
    <w:rsid w:val="00AF33C4"/>
    <w:rsid w:val="00B04123"/>
    <w:rsid w:val="00B0514B"/>
    <w:rsid w:val="00B0601E"/>
    <w:rsid w:val="00B07BCD"/>
    <w:rsid w:val="00B142A2"/>
    <w:rsid w:val="00B15A37"/>
    <w:rsid w:val="00B263F2"/>
    <w:rsid w:val="00B266B0"/>
    <w:rsid w:val="00B2699E"/>
    <w:rsid w:val="00B26D1D"/>
    <w:rsid w:val="00B2733D"/>
    <w:rsid w:val="00B30BC2"/>
    <w:rsid w:val="00B33DB8"/>
    <w:rsid w:val="00B340A9"/>
    <w:rsid w:val="00B35BCC"/>
    <w:rsid w:val="00B35D41"/>
    <w:rsid w:val="00B36ADB"/>
    <w:rsid w:val="00B374AA"/>
    <w:rsid w:val="00B37A44"/>
    <w:rsid w:val="00B37CBB"/>
    <w:rsid w:val="00B42FD0"/>
    <w:rsid w:val="00B554D7"/>
    <w:rsid w:val="00B55D7E"/>
    <w:rsid w:val="00B56B4C"/>
    <w:rsid w:val="00B56D55"/>
    <w:rsid w:val="00B703D2"/>
    <w:rsid w:val="00B71839"/>
    <w:rsid w:val="00B723A0"/>
    <w:rsid w:val="00B73974"/>
    <w:rsid w:val="00B7423B"/>
    <w:rsid w:val="00B747C5"/>
    <w:rsid w:val="00B75D63"/>
    <w:rsid w:val="00B813FE"/>
    <w:rsid w:val="00B84B64"/>
    <w:rsid w:val="00B860A9"/>
    <w:rsid w:val="00B9111A"/>
    <w:rsid w:val="00B9134E"/>
    <w:rsid w:val="00B91D12"/>
    <w:rsid w:val="00B92C04"/>
    <w:rsid w:val="00B94A6D"/>
    <w:rsid w:val="00B95BD7"/>
    <w:rsid w:val="00BA2323"/>
    <w:rsid w:val="00BA344D"/>
    <w:rsid w:val="00BA76D5"/>
    <w:rsid w:val="00BB05A5"/>
    <w:rsid w:val="00BB07E5"/>
    <w:rsid w:val="00BB1239"/>
    <w:rsid w:val="00BB1B18"/>
    <w:rsid w:val="00BB519D"/>
    <w:rsid w:val="00BB55D6"/>
    <w:rsid w:val="00BB7DD0"/>
    <w:rsid w:val="00BC2A22"/>
    <w:rsid w:val="00BC4CC2"/>
    <w:rsid w:val="00BC5A69"/>
    <w:rsid w:val="00BD0D40"/>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2EEF"/>
    <w:rsid w:val="00C3308A"/>
    <w:rsid w:val="00C3644B"/>
    <w:rsid w:val="00C424F0"/>
    <w:rsid w:val="00C54C14"/>
    <w:rsid w:val="00C605AC"/>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62B"/>
    <w:rsid w:val="00C9690C"/>
    <w:rsid w:val="00C973C2"/>
    <w:rsid w:val="00CA11A4"/>
    <w:rsid w:val="00CA1669"/>
    <w:rsid w:val="00CA1ECC"/>
    <w:rsid w:val="00CA225A"/>
    <w:rsid w:val="00CA27AC"/>
    <w:rsid w:val="00CA4550"/>
    <w:rsid w:val="00CA568F"/>
    <w:rsid w:val="00CA7460"/>
    <w:rsid w:val="00CB26D7"/>
    <w:rsid w:val="00CB3840"/>
    <w:rsid w:val="00CB6E0F"/>
    <w:rsid w:val="00CC15CE"/>
    <w:rsid w:val="00CC23F0"/>
    <w:rsid w:val="00CC625E"/>
    <w:rsid w:val="00CC7912"/>
    <w:rsid w:val="00CD3DFE"/>
    <w:rsid w:val="00CD6CD2"/>
    <w:rsid w:val="00CE23B6"/>
    <w:rsid w:val="00CE4511"/>
    <w:rsid w:val="00CE4EA4"/>
    <w:rsid w:val="00CE73DB"/>
    <w:rsid w:val="00CF023E"/>
    <w:rsid w:val="00CF1B4C"/>
    <w:rsid w:val="00CF297A"/>
    <w:rsid w:val="00CF4169"/>
    <w:rsid w:val="00CF443E"/>
    <w:rsid w:val="00CF56E8"/>
    <w:rsid w:val="00CF7430"/>
    <w:rsid w:val="00D00B3A"/>
    <w:rsid w:val="00D01E13"/>
    <w:rsid w:val="00D044BB"/>
    <w:rsid w:val="00D069BC"/>
    <w:rsid w:val="00D07897"/>
    <w:rsid w:val="00D10387"/>
    <w:rsid w:val="00D1129B"/>
    <w:rsid w:val="00D11F49"/>
    <w:rsid w:val="00D127A4"/>
    <w:rsid w:val="00D143FE"/>
    <w:rsid w:val="00D23E07"/>
    <w:rsid w:val="00D25794"/>
    <w:rsid w:val="00D26361"/>
    <w:rsid w:val="00D307D0"/>
    <w:rsid w:val="00D3292F"/>
    <w:rsid w:val="00D4761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224A"/>
    <w:rsid w:val="00DD169A"/>
    <w:rsid w:val="00DD54AC"/>
    <w:rsid w:val="00DD6625"/>
    <w:rsid w:val="00DE04BD"/>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0A9A"/>
    <w:rsid w:val="00E9264A"/>
    <w:rsid w:val="00E950C6"/>
    <w:rsid w:val="00E953FE"/>
    <w:rsid w:val="00E956EE"/>
    <w:rsid w:val="00EA1301"/>
    <w:rsid w:val="00EA38D1"/>
    <w:rsid w:val="00EA527C"/>
    <w:rsid w:val="00EA640A"/>
    <w:rsid w:val="00EB13E2"/>
    <w:rsid w:val="00EB4258"/>
    <w:rsid w:val="00EB6F85"/>
    <w:rsid w:val="00EC0294"/>
    <w:rsid w:val="00EC08C6"/>
    <w:rsid w:val="00EC1B9C"/>
    <w:rsid w:val="00ED3029"/>
    <w:rsid w:val="00ED37FE"/>
    <w:rsid w:val="00ED6301"/>
    <w:rsid w:val="00EE1C0C"/>
    <w:rsid w:val="00EF0894"/>
    <w:rsid w:val="00EF0C16"/>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54FE"/>
    <w:rsid w:val="00F7095D"/>
    <w:rsid w:val="00F70BD0"/>
    <w:rsid w:val="00F71519"/>
    <w:rsid w:val="00F72033"/>
    <w:rsid w:val="00F766D6"/>
    <w:rsid w:val="00F812F5"/>
    <w:rsid w:val="00F838D4"/>
    <w:rsid w:val="00F843EC"/>
    <w:rsid w:val="00F87ABD"/>
    <w:rsid w:val="00F906E3"/>
    <w:rsid w:val="00F91CD6"/>
    <w:rsid w:val="00F92D77"/>
    <w:rsid w:val="00F94043"/>
    <w:rsid w:val="00F952FE"/>
    <w:rsid w:val="00F97562"/>
    <w:rsid w:val="00FA2790"/>
    <w:rsid w:val="00FA2CCB"/>
    <w:rsid w:val="00FA457B"/>
    <w:rsid w:val="00FA47CD"/>
    <w:rsid w:val="00FA4897"/>
    <w:rsid w:val="00FA6986"/>
    <w:rsid w:val="00FA742D"/>
    <w:rsid w:val="00FB4BDD"/>
    <w:rsid w:val="00FC102B"/>
    <w:rsid w:val="00FC23CC"/>
    <w:rsid w:val="00FC3A2A"/>
    <w:rsid w:val="00FC5A71"/>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En tête 1,List Paragraph1,Bullets,Medium Grid 1 - Accent 21,References,List Paragraph (numbered (a)),Use Case List Paragraph,List Paragraph Char Char Char,Bullet para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En tête 1 Car,List Paragraph1 Car,Bullets Car,Medium Grid 1 - Accent 21 Car,References Car,List Paragraph (numbered (a)) Car,Bullet para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5101098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33742269">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21297723">
      <w:bodyDiv w:val="1"/>
      <w:marLeft w:val="0"/>
      <w:marRight w:val="0"/>
      <w:marTop w:val="0"/>
      <w:marBottom w:val="0"/>
      <w:divBdr>
        <w:top w:val="none" w:sz="0" w:space="0" w:color="auto"/>
        <w:left w:val="none" w:sz="0" w:space="0" w:color="auto"/>
        <w:bottom w:val="none" w:sz="0" w:space="0" w:color="auto"/>
        <w:right w:val="none" w:sz="0" w:space="0" w:color="auto"/>
      </w:divBdr>
    </w:div>
    <w:div w:id="164754200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marche-public.fr/CCAG-PI-2021/CCAG-PI-2021-Plan.htm" TargetMode="Externa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4AC91-B97C-4474-9571-0E5C18AF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94</TotalTime>
  <Pages>1</Pages>
  <Words>6883</Words>
  <Characters>37858</Characters>
  <Application>Microsoft Office Word</Application>
  <DocSecurity>0</DocSecurity>
  <Lines>315</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44652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21</cp:revision>
  <cp:lastPrinted>2014-11-19T14:39:00Z</cp:lastPrinted>
  <dcterms:created xsi:type="dcterms:W3CDTF">2024-10-31T09:45:00Z</dcterms:created>
  <dcterms:modified xsi:type="dcterms:W3CDTF">2025-02-06T09:14:00Z</dcterms:modified>
</cp:coreProperties>
</file>