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C5" w:rsidRDefault="006454C5" w:rsidP="006454C5">
      <w:pPr>
        <w:jc w:val="center"/>
        <w:rPr>
          <w:rFonts w:ascii="Times New Roman" w:hAnsi="Times New Roman"/>
          <w:bCs/>
        </w:rPr>
      </w:pPr>
      <w:r>
        <w:rPr>
          <w:noProof/>
          <w:lang w:eastAsia="fr-FR"/>
        </w:rPr>
        <w:drawing>
          <wp:inline distT="0" distB="0" distL="0" distR="0" wp14:anchorId="61FC147C" wp14:editId="1EAAB570">
            <wp:extent cx="1628775" cy="19812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FD" w:rsidRPr="00204378" w:rsidRDefault="00A21FFD" w:rsidP="00A21FFD">
      <w:pPr>
        <w:pStyle w:val="En-tte"/>
        <w:tabs>
          <w:tab w:val="clear" w:pos="4536"/>
          <w:tab w:val="clear" w:pos="9072"/>
        </w:tabs>
        <w:ind w:left="-284"/>
        <w:jc w:val="center"/>
        <w:rPr>
          <w:rFonts w:ascii="Calibri" w:hAnsi="Calibri" w:cs="Calibri"/>
        </w:rPr>
      </w:pPr>
    </w:p>
    <w:p w:rsidR="00A21FFD" w:rsidRPr="00204378" w:rsidRDefault="00A21FFD" w:rsidP="00A21FFD">
      <w:pPr>
        <w:pStyle w:val="En-tte"/>
        <w:tabs>
          <w:tab w:val="clear" w:pos="4536"/>
          <w:tab w:val="clear" w:pos="9072"/>
        </w:tabs>
        <w:ind w:left="-284"/>
        <w:jc w:val="center"/>
        <w:rPr>
          <w:rFonts w:ascii="Calibri" w:hAnsi="Calibri" w:cs="Calibri"/>
        </w:rPr>
      </w:pPr>
    </w:p>
    <w:p w:rsidR="00A21FFD" w:rsidRP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u w:val="single"/>
        </w:rPr>
      </w:pPr>
    </w:p>
    <w:p w:rsid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sz w:val="44"/>
          <w:u w:val="single"/>
        </w:rPr>
      </w:pPr>
      <w:r w:rsidRPr="00A21FFD">
        <w:rPr>
          <w:rFonts w:ascii="Calibri" w:hAnsi="Calibri" w:cs="Calibri"/>
          <w:b/>
          <w:sz w:val="44"/>
          <w:u w:val="single"/>
        </w:rPr>
        <w:t>CADRE DE REPONSES</w:t>
      </w:r>
    </w:p>
    <w:p w:rsidR="00A21FFD" w:rsidRP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sz w:val="28"/>
          <w:u w:val="single"/>
        </w:rPr>
      </w:pPr>
    </w:p>
    <w:p w:rsidR="00A21FFD" w:rsidRP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color w:val="0070C0"/>
          <w:sz w:val="32"/>
          <w:szCs w:val="28"/>
        </w:rPr>
      </w:pPr>
      <w:r w:rsidRPr="00A21FFD">
        <w:rPr>
          <w:rFonts w:ascii="Calibri" w:hAnsi="Calibri" w:cs="Calibri"/>
          <w:b/>
          <w:color w:val="0070C0"/>
          <w:sz w:val="32"/>
          <w:szCs w:val="28"/>
        </w:rPr>
        <w:t>MAPA</w:t>
      </w:r>
    </w:p>
    <w:p w:rsidR="00A21FFD" w:rsidRP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color w:val="0070C0"/>
          <w:sz w:val="32"/>
          <w:szCs w:val="28"/>
        </w:rPr>
      </w:pPr>
      <w:r w:rsidRPr="00A21FFD">
        <w:rPr>
          <w:rFonts w:ascii="Calibri" w:hAnsi="Calibri" w:cs="Calibri"/>
          <w:b/>
          <w:color w:val="0070C0"/>
          <w:sz w:val="32"/>
          <w:szCs w:val="28"/>
        </w:rPr>
        <w:t>Marché de travaux</w:t>
      </w:r>
    </w:p>
    <w:p w:rsidR="00A21FFD" w:rsidRP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bCs/>
          <w:color w:val="0070C0"/>
          <w:sz w:val="32"/>
          <w:szCs w:val="28"/>
        </w:rPr>
      </w:pPr>
      <w:r w:rsidRPr="00A21FFD">
        <w:rPr>
          <w:rFonts w:ascii="Calibri" w:hAnsi="Calibri" w:cs="Calibri"/>
          <w:b/>
          <w:bCs/>
          <w:color w:val="0070C0"/>
          <w:sz w:val="32"/>
          <w:szCs w:val="28"/>
        </w:rPr>
        <w:t>N°01-2025</w:t>
      </w:r>
    </w:p>
    <w:p w:rsid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sz w:val="32"/>
          <w:szCs w:val="28"/>
        </w:rPr>
      </w:pPr>
      <w:r w:rsidRPr="00A21FFD">
        <w:rPr>
          <w:rFonts w:ascii="Calibri" w:hAnsi="Calibri" w:cs="Calibri"/>
          <w:b/>
          <w:sz w:val="32"/>
          <w:szCs w:val="28"/>
        </w:rPr>
        <w:t xml:space="preserve">« MARCHE DE FOURNITURE ET POSE </w:t>
      </w:r>
    </w:p>
    <w:p w:rsidR="00A21FFD" w:rsidRPr="00A21FFD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  <w:sz w:val="32"/>
          <w:szCs w:val="28"/>
        </w:rPr>
      </w:pPr>
      <w:r w:rsidRPr="00A21FFD">
        <w:rPr>
          <w:rFonts w:ascii="Calibri" w:hAnsi="Calibri" w:cs="Calibri"/>
          <w:b/>
          <w:sz w:val="32"/>
          <w:szCs w:val="28"/>
        </w:rPr>
        <w:t>DE MENUISERIES INTÉRIEURES ET FAUX PLAFONDS »</w:t>
      </w:r>
    </w:p>
    <w:p w:rsidR="00A21FFD" w:rsidRPr="00204378" w:rsidRDefault="00A21FFD" w:rsidP="00A21FFD">
      <w:pPr>
        <w:pBdr>
          <w:top w:val="single" w:sz="24" w:space="1" w:color="000080"/>
          <w:left w:val="single" w:sz="24" w:space="4" w:color="000080"/>
          <w:bottom w:val="single" w:sz="24" w:space="1" w:color="000080"/>
          <w:right w:val="single" w:sz="24" w:space="4" w:color="000080"/>
        </w:pBdr>
        <w:ind w:left="-284"/>
        <w:jc w:val="center"/>
        <w:rPr>
          <w:rFonts w:ascii="Calibri" w:hAnsi="Calibri" w:cs="Calibri"/>
          <w:b/>
        </w:rPr>
      </w:pPr>
    </w:p>
    <w:p w:rsidR="00A21FFD" w:rsidRPr="00204378" w:rsidRDefault="00A21FFD" w:rsidP="00A21FFD">
      <w:pPr>
        <w:ind w:left="-284"/>
        <w:jc w:val="center"/>
        <w:rPr>
          <w:rFonts w:ascii="Calibri" w:hAnsi="Calibri" w:cs="Calibri"/>
          <w:bCs/>
          <w:sz w:val="20"/>
        </w:rPr>
      </w:pPr>
    </w:p>
    <w:p w:rsidR="00BB783B" w:rsidRDefault="00BB783B" w:rsidP="00A21FFD">
      <w:pPr>
        <w:jc w:val="center"/>
        <w:rPr>
          <w:rFonts w:ascii="Calibri" w:eastAsia="Calibri" w:hAnsi="Calibri" w:cs="Times New Roman"/>
          <w:b/>
          <w:color w:val="0070C0"/>
          <w:sz w:val="28"/>
          <w:szCs w:val="24"/>
        </w:rPr>
      </w:pPr>
    </w:p>
    <w:p w:rsidR="00BB783B" w:rsidRPr="00BB783B" w:rsidRDefault="00BB783B" w:rsidP="00A21FFD">
      <w:pPr>
        <w:jc w:val="center"/>
        <w:rPr>
          <w:rFonts w:ascii="Calibri" w:eastAsia="Calibri" w:hAnsi="Calibri" w:cs="Times New Roman"/>
          <w:b/>
          <w:color w:val="0070C0"/>
          <w:sz w:val="28"/>
          <w:szCs w:val="24"/>
        </w:rPr>
      </w:pPr>
      <w:r w:rsidRPr="00BB783B">
        <w:rPr>
          <w:rFonts w:ascii="Calibri" w:eastAsia="Calibri" w:hAnsi="Calibri" w:cs="Times New Roman"/>
          <w:b/>
          <w:color w:val="0070C0"/>
          <w:sz w:val="28"/>
          <w:szCs w:val="24"/>
        </w:rPr>
        <w:t xml:space="preserve">Ce cadre </w:t>
      </w:r>
      <w:r w:rsidRPr="00BB783B">
        <w:rPr>
          <w:rFonts w:ascii="Calibri" w:eastAsia="Calibri" w:hAnsi="Calibri" w:cs="Times New Roman"/>
          <w:b/>
          <w:color w:val="0070C0"/>
          <w:sz w:val="28"/>
          <w:szCs w:val="24"/>
          <w:u w:val="single"/>
        </w:rPr>
        <w:t>est à remplir impérativement</w:t>
      </w:r>
      <w:r w:rsidRPr="00BB783B">
        <w:rPr>
          <w:rFonts w:ascii="Calibri" w:eastAsia="Calibri" w:hAnsi="Calibri" w:cs="Times New Roman"/>
          <w:b/>
          <w:color w:val="0070C0"/>
          <w:sz w:val="28"/>
          <w:szCs w:val="24"/>
        </w:rPr>
        <w:t xml:space="preserve"> pour la notation des critères.</w:t>
      </w:r>
    </w:p>
    <w:p w:rsidR="00BB783B" w:rsidRPr="00A21FFD" w:rsidRDefault="00BB783B" w:rsidP="00A21FFD">
      <w:pPr>
        <w:jc w:val="center"/>
        <w:rPr>
          <w:rFonts w:ascii="Calibri" w:eastAsia="Calibri" w:hAnsi="Calibri" w:cs="Times New Roman"/>
          <w:b/>
          <w:color w:val="FF0000"/>
          <w:sz w:val="28"/>
          <w:szCs w:val="24"/>
        </w:rPr>
      </w:pPr>
      <w:r w:rsidRPr="00A21FFD">
        <w:rPr>
          <w:rFonts w:ascii="Calibri" w:eastAsia="Calibri" w:hAnsi="Calibri" w:cs="Times New Roman"/>
          <w:b/>
          <w:color w:val="FF0000"/>
          <w:sz w:val="28"/>
          <w:szCs w:val="24"/>
        </w:rPr>
        <w:t xml:space="preserve">Tout mémoire ou note méthodologique remis hors de ce cadre ne sera pas pris en compte pour la notation de ces critères et </w:t>
      </w:r>
      <w:r w:rsidRPr="00A21FFD">
        <w:rPr>
          <w:rFonts w:ascii="Calibri" w:eastAsia="Calibri" w:hAnsi="Calibri" w:cs="Times New Roman"/>
          <w:b/>
          <w:color w:val="FF0000"/>
          <w:sz w:val="28"/>
          <w:szCs w:val="24"/>
          <w:u w:val="single"/>
        </w:rPr>
        <w:t>obtiendra la note de 0.</w:t>
      </w:r>
    </w:p>
    <w:p w:rsidR="00BB783B" w:rsidRDefault="00BB783B" w:rsidP="00911379">
      <w:pPr>
        <w:rPr>
          <w:b/>
          <w:sz w:val="28"/>
          <w:szCs w:val="28"/>
          <w:u w:val="single"/>
        </w:rPr>
      </w:pPr>
    </w:p>
    <w:p w:rsidR="00BB783B" w:rsidRDefault="00BB783B" w:rsidP="00911379">
      <w:pPr>
        <w:rPr>
          <w:b/>
          <w:sz w:val="28"/>
          <w:szCs w:val="28"/>
          <w:u w:val="single"/>
        </w:rPr>
      </w:pPr>
    </w:p>
    <w:p w:rsidR="00BB783B" w:rsidRDefault="00BB783B" w:rsidP="00911379">
      <w:pPr>
        <w:rPr>
          <w:b/>
          <w:sz w:val="28"/>
          <w:szCs w:val="28"/>
          <w:u w:val="single"/>
        </w:rPr>
      </w:pPr>
    </w:p>
    <w:p w:rsidR="00BB783B" w:rsidRDefault="00BB783B" w:rsidP="00911379">
      <w:pPr>
        <w:rPr>
          <w:b/>
          <w:sz w:val="28"/>
          <w:szCs w:val="2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048C" w:rsidTr="00B15790">
        <w:trPr>
          <w:trHeight w:val="3118"/>
        </w:trPr>
        <w:tc>
          <w:tcPr>
            <w:tcW w:w="9286" w:type="dxa"/>
          </w:tcPr>
          <w:p w:rsidR="005A0F38" w:rsidRPr="005A0F38" w:rsidRDefault="001954DC" w:rsidP="005A0F38">
            <w:pPr>
              <w:pStyle w:val="Paragraphedeliste"/>
              <w:numPr>
                <w:ilvl w:val="0"/>
                <w:numId w:val="15"/>
              </w:num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Prix : 36</w:t>
            </w:r>
            <w:r w:rsidR="005A0F38" w:rsidRPr="005A0F38">
              <w:rPr>
                <w:b/>
                <w:sz w:val="28"/>
                <w:szCs w:val="28"/>
                <w:u w:val="single"/>
              </w:rPr>
              <w:t xml:space="preserve"> point</w:t>
            </w:r>
            <w:r w:rsidR="005A0F38">
              <w:rPr>
                <w:b/>
                <w:sz w:val="28"/>
                <w:szCs w:val="28"/>
                <w:u w:val="single"/>
              </w:rPr>
              <w:t>s</w:t>
            </w:r>
            <w:r w:rsidR="005A0F38" w:rsidRPr="005A0F38">
              <w:rPr>
                <w:b/>
                <w:sz w:val="28"/>
                <w:szCs w:val="28"/>
              </w:rPr>
              <w:t xml:space="preserve"> : </w:t>
            </w:r>
            <w:r w:rsidR="005A0F38" w:rsidRPr="005A0F38">
              <w:rPr>
                <w:b/>
                <w:szCs w:val="28"/>
              </w:rPr>
              <w:t>à dé</w:t>
            </w:r>
            <w:r w:rsidR="005A0F38">
              <w:rPr>
                <w:b/>
                <w:szCs w:val="28"/>
              </w:rPr>
              <w:t>tailler sur l’annexe financière</w:t>
            </w:r>
          </w:p>
          <w:p w:rsidR="00B15790" w:rsidRPr="005A0F38" w:rsidRDefault="005A0F38" w:rsidP="005A0F38">
            <w:pPr>
              <w:pStyle w:val="Paragraphedeliste"/>
              <w:numPr>
                <w:ilvl w:val="0"/>
                <w:numId w:val="15"/>
              </w:numPr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VALEUR</w:t>
            </w:r>
            <w:r w:rsidR="001F135A" w:rsidRPr="005A0F38">
              <w:rPr>
                <w:b/>
                <w:sz w:val="28"/>
                <w:szCs w:val="28"/>
                <w:u w:val="single"/>
              </w:rPr>
              <w:t xml:space="preserve"> TECHNIQUE</w:t>
            </w:r>
            <w:r w:rsidR="004017E7" w:rsidRPr="005A0F38">
              <w:rPr>
                <w:b/>
                <w:sz w:val="28"/>
                <w:szCs w:val="28"/>
                <w:u w:val="single"/>
              </w:rPr>
              <w:t xml:space="preserve"> : </w:t>
            </w:r>
            <w:r w:rsidR="004017E7" w:rsidRPr="005A0F38">
              <w:rPr>
                <w:b/>
                <w:u w:val="single"/>
              </w:rPr>
              <w:t>(</w:t>
            </w:r>
            <w:r w:rsidR="009D23BF" w:rsidRPr="005A0F38">
              <w:rPr>
                <w:b/>
                <w:sz w:val="28"/>
                <w:szCs w:val="28"/>
                <w:u w:val="single"/>
              </w:rPr>
              <w:t>6</w:t>
            </w:r>
            <w:r w:rsidR="00513E64">
              <w:rPr>
                <w:b/>
                <w:sz w:val="28"/>
                <w:szCs w:val="28"/>
                <w:u w:val="single"/>
              </w:rPr>
              <w:t>0</w:t>
            </w:r>
            <w:r w:rsidR="004017E7" w:rsidRPr="005A0F38">
              <w:rPr>
                <w:b/>
                <w:u w:val="single"/>
              </w:rPr>
              <w:t xml:space="preserve"> </w:t>
            </w:r>
            <w:r w:rsidR="004017E7" w:rsidRPr="005A0F38">
              <w:rPr>
                <w:b/>
                <w:sz w:val="28"/>
                <w:szCs w:val="28"/>
                <w:u w:val="single"/>
              </w:rPr>
              <w:t>points</w:t>
            </w:r>
            <w:r w:rsidR="004017E7" w:rsidRPr="005A0F38">
              <w:rPr>
                <w:b/>
                <w:u w:val="single"/>
              </w:rPr>
              <w:t>)</w:t>
            </w:r>
          </w:p>
          <w:p w:rsidR="007C2763" w:rsidRDefault="007C2763" w:rsidP="009D23BF">
            <w:pPr>
              <w:rPr>
                <w:b/>
                <w:u w:val="single"/>
              </w:rPr>
            </w:pPr>
          </w:p>
          <w:p w:rsidR="007C2763" w:rsidRPr="00DF5ACC" w:rsidRDefault="007C2763" w:rsidP="007C2763">
            <w:pPr>
              <w:ind w:left="284" w:right="566"/>
              <w:jc w:val="both"/>
              <w:rPr>
                <w:rFonts w:ascii="Calibri" w:hAnsi="Calibri" w:cs="Calibri"/>
                <w:b/>
                <w:sz w:val="24"/>
              </w:rPr>
            </w:pPr>
            <w:r w:rsidRPr="00DF5ACC">
              <w:rPr>
                <w:rFonts w:ascii="Calibri" w:hAnsi="Calibri" w:cs="Calibri"/>
                <w:b/>
                <w:sz w:val="24"/>
              </w:rPr>
              <w:t xml:space="preserve">Les critères relatifs à la valeur technique sont à transmettre par le candidat </w:t>
            </w:r>
            <w:r w:rsidR="00DF5ACC">
              <w:rPr>
                <w:rFonts w:ascii="Calibri" w:hAnsi="Calibri" w:cs="Calibri"/>
                <w:b/>
                <w:sz w:val="24"/>
              </w:rPr>
              <w:t>en se basant sur le</w:t>
            </w:r>
            <w:r w:rsidRPr="00DF5ACC">
              <w:rPr>
                <w:rFonts w:ascii="Calibri" w:hAnsi="Calibri" w:cs="Calibri"/>
                <w:b/>
                <w:sz w:val="24"/>
              </w:rPr>
              <w:t xml:space="preserve"> plan type de travaux portant sur 2 plateaux d</w:t>
            </w:r>
            <w:r w:rsidR="00DF5ACC">
              <w:rPr>
                <w:rFonts w:ascii="Calibri" w:hAnsi="Calibri" w:cs="Calibri"/>
                <w:b/>
                <w:sz w:val="24"/>
              </w:rPr>
              <w:t xml:space="preserve">e bureaux et 1 palier attenant, </w:t>
            </w:r>
            <w:r w:rsidR="00DF5ACC" w:rsidRPr="00DF5ACC">
              <w:rPr>
                <w:rFonts w:ascii="Calibri" w:hAnsi="Calibri" w:cs="Calibri"/>
                <w:b/>
                <w:color w:val="FF0000"/>
                <w:sz w:val="24"/>
                <w:u w:val="single"/>
              </w:rPr>
              <w:t>selon</w:t>
            </w:r>
            <w:r w:rsidRPr="00DF5ACC">
              <w:rPr>
                <w:rFonts w:ascii="Calibri" w:hAnsi="Calibri" w:cs="Calibri"/>
                <w:b/>
                <w:color w:val="FF0000"/>
                <w:sz w:val="24"/>
                <w:u w:val="single"/>
              </w:rPr>
              <w:t xml:space="preserve"> plan </w:t>
            </w:r>
            <w:r w:rsidR="00DF5ACC" w:rsidRPr="00DF5ACC">
              <w:rPr>
                <w:rFonts w:ascii="Calibri" w:hAnsi="Calibri" w:cs="Calibri"/>
                <w:b/>
                <w:color w:val="FF0000"/>
                <w:sz w:val="24"/>
                <w:u w:val="single"/>
              </w:rPr>
              <w:t>type</w:t>
            </w:r>
            <w:r w:rsidR="00DF5ACC" w:rsidRPr="00DF5ACC">
              <w:rPr>
                <w:rFonts w:ascii="Calibri" w:hAnsi="Calibri" w:cs="Calibri"/>
                <w:b/>
                <w:color w:val="FF0000"/>
                <w:sz w:val="24"/>
              </w:rPr>
              <w:t xml:space="preserve"> </w:t>
            </w:r>
            <w:r w:rsidRPr="00DF5ACC">
              <w:rPr>
                <w:rFonts w:ascii="Calibri" w:hAnsi="Calibri" w:cs="Calibri"/>
                <w:b/>
                <w:sz w:val="24"/>
              </w:rPr>
              <w:t>transmis en annexe intitulé « </w:t>
            </w:r>
            <w:r w:rsidR="00DF5ACC" w:rsidRPr="00DF5ACC">
              <w:rPr>
                <w:rFonts w:ascii="Calibri" w:hAnsi="Calibri" w:cs="Calibri"/>
                <w:b/>
                <w:sz w:val="24"/>
              </w:rPr>
              <w:t>02-02-CCP-annexe n°5-Plan Type_01-2025_UIOSS</w:t>
            </w:r>
            <w:r w:rsidR="00DF5ACC">
              <w:rPr>
                <w:rFonts w:ascii="Calibri" w:hAnsi="Calibri" w:cs="Calibri"/>
                <w:b/>
                <w:sz w:val="24"/>
              </w:rPr>
              <w:t xml:space="preserve"> ».</w:t>
            </w:r>
          </w:p>
          <w:p w:rsidR="007C2763" w:rsidRDefault="007C2763" w:rsidP="009D23BF">
            <w:pPr>
              <w:rPr>
                <w:b/>
                <w:u w:val="single"/>
              </w:rPr>
            </w:pPr>
          </w:p>
          <w:p w:rsidR="00513E64" w:rsidRDefault="009D23BF" w:rsidP="009D23B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Sous-critère</w:t>
            </w:r>
            <w:r w:rsidRPr="00911379">
              <w:rPr>
                <w:b/>
                <w:sz w:val="28"/>
                <w:szCs w:val="28"/>
                <w:u w:val="single"/>
              </w:rPr>
              <w:t> </w:t>
            </w:r>
            <w:r>
              <w:rPr>
                <w:b/>
                <w:sz w:val="28"/>
                <w:szCs w:val="28"/>
                <w:u w:val="single"/>
              </w:rPr>
              <w:t xml:space="preserve">1 </w:t>
            </w:r>
            <w:r w:rsidRPr="005A0F38">
              <w:rPr>
                <w:b/>
                <w:sz w:val="28"/>
                <w:szCs w:val="28"/>
              </w:rPr>
              <w:t>:</w:t>
            </w:r>
            <w:r w:rsidR="000B3EA7" w:rsidRPr="005A0F38">
              <w:rPr>
                <w:b/>
                <w:sz w:val="28"/>
                <w:szCs w:val="28"/>
              </w:rPr>
              <w:t xml:space="preserve"> </w:t>
            </w:r>
            <w:r w:rsidR="007C2763" w:rsidRPr="005A0F38">
              <w:rPr>
                <w:b/>
                <w:sz w:val="28"/>
                <w:szCs w:val="28"/>
              </w:rPr>
              <w:t>L</w:t>
            </w:r>
            <w:r w:rsidR="000B3EA7" w:rsidRPr="005A0F38">
              <w:rPr>
                <w:b/>
                <w:sz w:val="28"/>
                <w:szCs w:val="28"/>
              </w:rPr>
              <w:t xml:space="preserve">es moyens humains et matériels </w:t>
            </w:r>
            <w:r w:rsidRPr="005A0F38">
              <w:rPr>
                <w:b/>
                <w:sz w:val="28"/>
                <w:szCs w:val="28"/>
              </w:rPr>
              <w:t xml:space="preserve">mis en œuvre </w:t>
            </w:r>
            <w:r w:rsidR="007C2763" w:rsidRPr="005A0F38">
              <w:rPr>
                <w:b/>
                <w:sz w:val="28"/>
                <w:szCs w:val="28"/>
              </w:rPr>
              <w:t>dans le cadre de la réalisation des travaux selon le plan type</w:t>
            </w:r>
          </w:p>
          <w:p w:rsidR="009D23BF" w:rsidRPr="008114FD" w:rsidRDefault="00BB783B" w:rsidP="009D23BF">
            <w:pPr>
              <w:rPr>
                <w:b/>
                <w:sz w:val="28"/>
                <w:szCs w:val="28"/>
                <w:u w:val="single"/>
              </w:rPr>
            </w:pPr>
            <w:r w:rsidRPr="005A0F38">
              <w:rPr>
                <w:rFonts w:ascii="Calibri" w:eastAsia="Calibri" w:hAnsi="Calibri" w:cs="Times New Roman"/>
                <w:b/>
                <w:color w:val="00B0F0"/>
                <w:sz w:val="28"/>
                <w:szCs w:val="24"/>
              </w:rPr>
              <w:t>(</w:t>
            </w:r>
            <w:r w:rsidR="00AF356F">
              <w:rPr>
                <w:rFonts w:ascii="Calibri" w:eastAsia="Calibri" w:hAnsi="Calibri" w:cs="Times New Roman"/>
                <w:b/>
                <w:color w:val="00B0F0"/>
                <w:sz w:val="28"/>
                <w:szCs w:val="24"/>
              </w:rPr>
              <w:t>28</w:t>
            </w:r>
            <w:r w:rsidR="009D23BF" w:rsidRPr="005A0F38">
              <w:rPr>
                <w:rFonts w:ascii="Calibri" w:eastAsia="Calibri" w:hAnsi="Calibri" w:cs="Times New Roman"/>
                <w:b/>
                <w:color w:val="00B0F0"/>
                <w:sz w:val="28"/>
                <w:szCs w:val="24"/>
              </w:rPr>
              <w:t xml:space="preserve"> points</w:t>
            </w:r>
            <w:r w:rsidR="009D23BF" w:rsidRPr="00841426">
              <w:rPr>
                <w:rFonts w:ascii="Calibri" w:eastAsia="Calibri" w:hAnsi="Calibri" w:cs="Times New Roman"/>
                <w:b/>
                <w:color w:val="00B0F0"/>
                <w:sz w:val="28"/>
                <w:szCs w:val="24"/>
              </w:rPr>
              <w:t>)</w:t>
            </w:r>
          </w:p>
          <w:p w:rsidR="007C2763" w:rsidRDefault="009D23BF" w:rsidP="00CE308E">
            <w:pPr>
              <w:jc w:val="both"/>
            </w:pPr>
            <w:r>
              <w:t>Le candidat définit</w:t>
            </w:r>
            <w:r w:rsidR="007C2763">
              <w:t>, p</w:t>
            </w:r>
            <w:r w:rsidR="00DF5ACC">
              <w:t>our la réalisation des travaux en se basant sur</w:t>
            </w:r>
            <w:r w:rsidR="007C2763">
              <w:t xml:space="preserve"> le plan type :</w:t>
            </w:r>
          </w:p>
          <w:p w:rsidR="007C2763" w:rsidRDefault="007C2763" w:rsidP="007C2763">
            <w:pPr>
              <w:pStyle w:val="Paragraphedeliste"/>
              <w:numPr>
                <w:ilvl w:val="0"/>
                <w:numId w:val="10"/>
              </w:numPr>
              <w:jc w:val="both"/>
            </w:pPr>
            <w:r>
              <w:t>le nombre de personnel déployé  et la composition de l’équipe mise en place (chef d’équipe,</w:t>
            </w:r>
            <w:r w:rsidR="006D46C4">
              <w:t xml:space="preserve"> le conducteur de travaux,</w:t>
            </w:r>
            <w:r>
              <w:t xml:space="preserve"> ouvrier qualifié ...) ;</w:t>
            </w:r>
          </w:p>
          <w:p w:rsidR="006D46C4" w:rsidRDefault="006D46C4" w:rsidP="007C2763">
            <w:pPr>
              <w:pStyle w:val="Paragraphedeliste"/>
              <w:numPr>
                <w:ilvl w:val="0"/>
                <w:numId w:val="10"/>
              </w:numPr>
              <w:jc w:val="both"/>
            </w:pPr>
            <w:r>
              <w:t xml:space="preserve">la composition de l’équipe habilitée à intervenir en sous-section 4 amiante </w:t>
            </w:r>
            <w:r w:rsidRPr="006D46C4">
              <w:rPr>
                <w:b/>
                <w:u w:val="single"/>
              </w:rPr>
              <w:t>et</w:t>
            </w:r>
            <w:r>
              <w:t xml:space="preserve"> joindre les attestations de compétences amiante (encadrant technique et opérateur de chantier) ;</w:t>
            </w:r>
          </w:p>
          <w:p w:rsidR="007C2763" w:rsidRDefault="007C2763" w:rsidP="007C2763">
            <w:pPr>
              <w:pStyle w:val="Paragraphedeliste"/>
              <w:numPr>
                <w:ilvl w:val="0"/>
                <w:numId w:val="10"/>
              </w:numPr>
              <w:jc w:val="both"/>
            </w:pPr>
            <w:r>
              <w:t>l</w:t>
            </w:r>
            <w:r w:rsidR="006D46C4">
              <w:t>a liste du</w:t>
            </w:r>
            <w:r>
              <w:t xml:space="preserve"> matériel </w:t>
            </w:r>
            <w:r w:rsidR="006D46C4">
              <w:t>mis à disposition pour la réalisation du chantier.</w:t>
            </w:r>
          </w:p>
          <w:p w:rsidR="00B57116" w:rsidRDefault="00A9737D" w:rsidP="00911379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214E0" w:rsidRDefault="00F214E0" w:rsidP="00F214E0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D46C4" w:rsidRDefault="006D46C4" w:rsidP="006D46C4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D46C4" w:rsidRDefault="006D46C4" w:rsidP="006D46C4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173FB" w:rsidRDefault="00A173FB" w:rsidP="006D46C4"/>
          <w:p w:rsidR="00A173FB" w:rsidRDefault="00A173FB" w:rsidP="006D46C4"/>
          <w:p w:rsidR="00A173FB" w:rsidRDefault="00A173FB" w:rsidP="006D46C4"/>
          <w:p w:rsidR="00A173FB" w:rsidRDefault="00A173FB" w:rsidP="006D46C4"/>
          <w:p w:rsidR="00A173FB" w:rsidRDefault="00A173FB" w:rsidP="006D46C4">
            <w:bookmarkStart w:id="0" w:name="_GoBack"/>
            <w:bookmarkEnd w:id="0"/>
          </w:p>
          <w:p w:rsidR="006D46C4" w:rsidRDefault="006D46C4" w:rsidP="00911379"/>
          <w:p w:rsidR="00513E64" w:rsidRDefault="00466349" w:rsidP="0046634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Sous-critère</w:t>
            </w:r>
            <w:r w:rsidRPr="00911379">
              <w:rPr>
                <w:b/>
                <w:sz w:val="28"/>
                <w:szCs w:val="28"/>
                <w:u w:val="single"/>
              </w:rPr>
              <w:t> </w:t>
            </w:r>
            <w:r w:rsidR="006D46C4">
              <w:rPr>
                <w:b/>
                <w:sz w:val="28"/>
                <w:szCs w:val="28"/>
                <w:u w:val="single"/>
              </w:rPr>
              <w:t>2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5A0F38">
              <w:rPr>
                <w:b/>
                <w:sz w:val="28"/>
                <w:szCs w:val="28"/>
              </w:rPr>
              <w:t xml:space="preserve">: </w:t>
            </w:r>
            <w:r w:rsidR="006D46C4" w:rsidRPr="005A0F38">
              <w:rPr>
                <w:b/>
                <w:sz w:val="28"/>
                <w:szCs w:val="28"/>
              </w:rPr>
              <w:t>Délais d’intervention et d</w:t>
            </w:r>
            <w:r w:rsidR="0050732A" w:rsidRPr="005A0F38">
              <w:rPr>
                <w:b/>
                <w:sz w:val="28"/>
                <w:szCs w:val="28"/>
              </w:rPr>
              <w:t>urée</w:t>
            </w:r>
            <w:r w:rsidR="006D46C4" w:rsidRPr="005A0F38">
              <w:rPr>
                <w:b/>
                <w:sz w:val="28"/>
                <w:szCs w:val="28"/>
              </w:rPr>
              <w:t xml:space="preserve"> de réalisation des travaux </w:t>
            </w:r>
          </w:p>
          <w:p w:rsidR="00466349" w:rsidRDefault="006D46C4" w:rsidP="00466349">
            <w:pPr>
              <w:rPr>
                <w:rFonts w:ascii="Calibri" w:eastAsia="Calibri" w:hAnsi="Calibri" w:cs="Times New Roman"/>
                <w:b/>
                <w:color w:val="00B0F0"/>
                <w:sz w:val="28"/>
                <w:szCs w:val="24"/>
              </w:rPr>
            </w:pPr>
            <w:r w:rsidRPr="00513E64">
              <w:rPr>
                <w:b/>
                <w:color w:val="00B0F0"/>
                <w:sz w:val="28"/>
                <w:szCs w:val="28"/>
              </w:rPr>
              <w:t>(</w:t>
            </w:r>
            <w:r w:rsidR="00E3610D">
              <w:rPr>
                <w:b/>
                <w:color w:val="00B0F0"/>
                <w:sz w:val="28"/>
                <w:szCs w:val="28"/>
              </w:rPr>
              <w:t>32</w:t>
            </w:r>
            <w:r w:rsidR="00466349" w:rsidRPr="00513E64">
              <w:rPr>
                <w:rFonts w:ascii="Calibri" w:eastAsia="Calibri" w:hAnsi="Calibri" w:cs="Times New Roman"/>
                <w:b/>
                <w:color w:val="00B0F0"/>
                <w:sz w:val="28"/>
                <w:szCs w:val="24"/>
              </w:rPr>
              <w:t xml:space="preserve"> points)</w:t>
            </w:r>
          </w:p>
          <w:p w:rsidR="00513E64" w:rsidRDefault="00513E64" w:rsidP="00466349">
            <w:r>
              <w:t>a/ Délais entre la réception de l’ordre de service et le démarrage de la période de préparation de chantier selon plan type (</w:t>
            </w:r>
            <w:r w:rsidR="00E3610D">
              <w:t>4</w:t>
            </w:r>
            <w:r>
              <w:t xml:space="preserve"> points)</w:t>
            </w:r>
          </w:p>
          <w:p w:rsidR="00513E64" w:rsidRDefault="00513E64" w:rsidP="00466349">
            <w:r>
              <w:t>b/ Durée de la préparation de chantier dont l’étude d’exécution, commande des matériaux, PPSPS … selon plan type</w:t>
            </w:r>
            <w:r w:rsidR="00E3610D">
              <w:t xml:space="preserve"> (8</w:t>
            </w:r>
            <w:r>
              <w:t xml:space="preserve"> points)</w:t>
            </w:r>
          </w:p>
          <w:p w:rsidR="00513E64" w:rsidRDefault="00513E64" w:rsidP="00466349">
            <w:r>
              <w:t>c/ Durée de réalisation des travaux selon plan type</w:t>
            </w:r>
            <w:r w:rsidR="00E3610D">
              <w:t xml:space="preserve"> (20</w:t>
            </w:r>
            <w:r>
              <w:t xml:space="preserve"> points)</w:t>
            </w:r>
          </w:p>
          <w:p w:rsidR="00513E64" w:rsidRPr="00513E64" w:rsidRDefault="00513E64" w:rsidP="00466349">
            <w:pPr>
              <w:rPr>
                <w:b/>
                <w:color w:val="00B0F0"/>
                <w:sz w:val="28"/>
                <w:szCs w:val="28"/>
              </w:rPr>
            </w:pPr>
          </w:p>
          <w:p w:rsidR="007F7934" w:rsidRDefault="006D46C4" w:rsidP="006D46C4">
            <w:pPr>
              <w:jc w:val="both"/>
            </w:pPr>
            <w:r>
              <w:t xml:space="preserve">Le candidat indique les délais d’intervention et délais de réalisation pour la réalisation des travaux </w:t>
            </w:r>
            <w:r w:rsidRPr="001330A7">
              <w:rPr>
                <w:b/>
                <w:u w:val="single"/>
              </w:rPr>
              <w:t>selon le plan type</w:t>
            </w:r>
            <w:r>
              <w:t> :</w:t>
            </w:r>
          </w:p>
          <w:p w:rsidR="00DF5ACC" w:rsidRDefault="00DF5ACC" w:rsidP="006D46C4">
            <w:pPr>
              <w:jc w:val="both"/>
            </w:pPr>
          </w:p>
          <w:p w:rsidR="0050732A" w:rsidRDefault="0050732A" w:rsidP="006D46C4">
            <w:pPr>
              <w:jc w:val="both"/>
            </w:pPr>
          </w:p>
          <w:p w:rsidR="0050732A" w:rsidRPr="00C722A2" w:rsidRDefault="0050732A" w:rsidP="0050732A">
            <w:pPr>
              <w:pStyle w:val="Default"/>
              <w:rPr>
                <w:sz w:val="22"/>
                <w:szCs w:val="22"/>
                <w:u w:val="single"/>
              </w:rPr>
            </w:pPr>
            <w:r w:rsidRPr="00C722A2">
              <w:rPr>
                <w:sz w:val="22"/>
                <w:szCs w:val="22"/>
                <w:u w:val="single"/>
              </w:rPr>
              <w:t xml:space="preserve">Les délais sont à exprimer </w:t>
            </w:r>
            <w:r w:rsidRPr="001330A7">
              <w:rPr>
                <w:b/>
                <w:sz w:val="22"/>
                <w:szCs w:val="22"/>
                <w:u w:val="single"/>
              </w:rPr>
              <w:t>en jours ouvrés</w:t>
            </w:r>
            <w:r w:rsidRPr="00C722A2">
              <w:rPr>
                <w:sz w:val="22"/>
                <w:szCs w:val="22"/>
                <w:u w:val="single"/>
              </w:rPr>
              <w:t xml:space="preserve"> (du lundi au vendredi hors jours fériés).</w:t>
            </w:r>
          </w:p>
          <w:p w:rsidR="0050732A" w:rsidRDefault="0050732A" w:rsidP="006D46C4">
            <w:pPr>
              <w:jc w:val="both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859"/>
              <w:gridCol w:w="2033"/>
              <w:gridCol w:w="2942"/>
            </w:tblGrid>
            <w:tr w:rsidR="0050732A" w:rsidTr="00212976">
              <w:trPr>
                <w:jc w:val="center"/>
              </w:trPr>
              <w:tc>
                <w:tcPr>
                  <w:tcW w:w="3962" w:type="dxa"/>
                  <w:vAlign w:val="center"/>
                </w:tcPr>
                <w:p w:rsidR="0050732A" w:rsidRPr="0050732A" w:rsidRDefault="0050732A" w:rsidP="0050732A">
                  <w:pPr>
                    <w:jc w:val="center"/>
                    <w:rPr>
                      <w:b/>
                    </w:rPr>
                  </w:pPr>
                  <w:r w:rsidRPr="0050732A">
                    <w:rPr>
                      <w:b/>
                    </w:rPr>
                    <w:t>Intitulé délais</w:t>
                  </w:r>
                  <w:r w:rsidR="001330A7">
                    <w:rPr>
                      <w:b/>
                    </w:rPr>
                    <w:t xml:space="preserve"> - </w:t>
                  </w:r>
                  <w:r w:rsidR="001330A7" w:rsidRPr="001330A7">
                    <w:rPr>
                      <w:u w:val="single"/>
                    </w:rPr>
                    <w:t>selon plan type</w:t>
                  </w:r>
                </w:p>
              </w:tc>
              <w:tc>
                <w:tcPr>
                  <w:tcW w:w="2074" w:type="dxa"/>
                  <w:vAlign w:val="center"/>
                </w:tcPr>
                <w:p w:rsidR="0050732A" w:rsidRPr="0050732A" w:rsidRDefault="0050732A" w:rsidP="00212976">
                  <w:pPr>
                    <w:jc w:val="center"/>
                    <w:rPr>
                      <w:b/>
                    </w:rPr>
                  </w:pPr>
                  <w:r w:rsidRPr="0050732A">
                    <w:rPr>
                      <w:b/>
                    </w:rPr>
                    <w:t>Délais attendus par le MOA</w:t>
                  </w:r>
                </w:p>
              </w:tc>
              <w:tc>
                <w:tcPr>
                  <w:tcW w:w="3019" w:type="dxa"/>
                  <w:vAlign w:val="center"/>
                </w:tcPr>
                <w:p w:rsidR="0050732A" w:rsidRPr="0050732A" w:rsidRDefault="0050732A" w:rsidP="0050732A">
                  <w:pPr>
                    <w:jc w:val="center"/>
                    <w:rPr>
                      <w:b/>
                    </w:rPr>
                  </w:pPr>
                  <w:r w:rsidRPr="0050732A">
                    <w:rPr>
                      <w:b/>
                    </w:rPr>
                    <w:t>Délais proposé</w:t>
                  </w:r>
                  <w:r>
                    <w:rPr>
                      <w:b/>
                    </w:rPr>
                    <w:t>s</w:t>
                  </w:r>
                  <w:r w:rsidRPr="0050732A">
                    <w:rPr>
                      <w:b/>
                    </w:rPr>
                    <w:t xml:space="preserve"> par le candidat</w:t>
                  </w:r>
                </w:p>
              </w:tc>
            </w:tr>
            <w:tr w:rsidR="0050732A" w:rsidTr="00212976">
              <w:trPr>
                <w:jc w:val="center"/>
              </w:trPr>
              <w:tc>
                <w:tcPr>
                  <w:tcW w:w="3962" w:type="dxa"/>
                  <w:vAlign w:val="center"/>
                </w:tcPr>
                <w:p w:rsidR="0050732A" w:rsidRDefault="00212976" w:rsidP="0050732A">
                  <w:pPr>
                    <w:jc w:val="both"/>
                  </w:pPr>
                  <w:r>
                    <w:t xml:space="preserve">a/ </w:t>
                  </w:r>
                  <w:r w:rsidR="0050732A">
                    <w:t xml:space="preserve">Délais entre la réception de l’ordre de service et le démarrage de la période de préparation de chantier </w:t>
                  </w:r>
                  <w:r w:rsidR="001330A7">
                    <w:t>selon plan type</w:t>
                  </w:r>
                </w:p>
              </w:tc>
              <w:tc>
                <w:tcPr>
                  <w:tcW w:w="2074" w:type="dxa"/>
                  <w:vAlign w:val="center"/>
                </w:tcPr>
                <w:p w:rsidR="0050732A" w:rsidRPr="00212976" w:rsidRDefault="0050732A" w:rsidP="00212976">
                  <w:pPr>
                    <w:jc w:val="center"/>
                    <w:rPr>
                      <w:b/>
                    </w:rPr>
                  </w:pPr>
                  <w:r w:rsidRPr="00212976">
                    <w:rPr>
                      <w:b/>
                    </w:rPr>
                    <w:t>5 jours</w:t>
                  </w:r>
                </w:p>
              </w:tc>
              <w:tc>
                <w:tcPr>
                  <w:tcW w:w="3019" w:type="dxa"/>
                  <w:vAlign w:val="center"/>
                </w:tcPr>
                <w:p w:rsidR="0050732A" w:rsidRDefault="0050732A" w:rsidP="0050732A">
                  <w:pPr>
                    <w:jc w:val="both"/>
                  </w:pPr>
                </w:p>
              </w:tc>
            </w:tr>
            <w:tr w:rsidR="0050732A" w:rsidTr="00212976">
              <w:trPr>
                <w:jc w:val="center"/>
              </w:trPr>
              <w:tc>
                <w:tcPr>
                  <w:tcW w:w="3962" w:type="dxa"/>
                  <w:vAlign w:val="center"/>
                </w:tcPr>
                <w:p w:rsidR="0050732A" w:rsidRDefault="00212976" w:rsidP="0050732A">
                  <w:pPr>
                    <w:jc w:val="both"/>
                  </w:pPr>
                  <w:r>
                    <w:t xml:space="preserve">b/ </w:t>
                  </w:r>
                  <w:r w:rsidR="0050732A">
                    <w:t>Durée de la préparation de chantier dont l’étude d’exécution, commande des matériaux, PPSPS …</w:t>
                  </w:r>
                  <w:r w:rsidR="001330A7">
                    <w:t xml:space="preserve"> selon plan type</w:t>
                  </w:r>
                </w:p>
              </w:tc>
              <w:tc>
                <w:tcPr>
                  <w:tcW w:w="2074" w:type="dxa"/>
                  <w:vAlign w:val="center"/>
                </w:tcPr>
                <w:p w:rsidR="0050732A" w:rsidRPr="00212976" w:rsidRDefault="0050732A" w:rsidP="00212976">
                  <w:pPr>
                    <w:jc w:val="center"/>
                    <w:rPr>
                      <w:b/>
                    </w:rPr>
                  </w:pPr>
                  <w:r w:rsidRPr="00212976">
                    <w:rPr>
                      <w:b/>
                    </w:rPr>
                    <w:t>30 jours</w:t>
                  </w:r>
                </w:p>
              </w:tc>
              <w:tc>
                <w:tcPr>
                  <w:tcW w:w="3019" w:type="dxa"/>
                  <w:vAlign w:val="center"/>
                </w:tcPr>
                <w:p w:rsidR="0050732A" w:rsidRDefault="0050732A" w:rsidP="0050732A">
                  <w:pPr>
                    <w:jc w:val="both"/>
                  </w:pPr>
                </w:p>
              </w:tc>
            </w:tr>
            <w:tr w:rsidR="0050732A" w:rsidTr="00212976">
              <w:trPr>
                <w:trHeight w:val="1084"/>
                <w:jc w:val="center"/>
              </w:trPr>
              <w:tc>
                <w:tcPr>
                  <w:tcW w:w="3962" w:type="dxa"/>
                  <w:vAlign w:val="center"/>
                </w:tcPr>
                <w:p w:rsidR="0050732A" w:rsidRDefault="00212976" w:rsidP="0050732A">
                  <w:pPr>
                    <w:jc w:val="both"/>
                  </w:pPr>
                  <w:r>
                    <w:t xml:space="preserve">c/ </w:t>
                  </w:r>
                  <w:r w:rsidR="001330A7">
                    <w:t>Durée de réalisation des travaux selon plan type</w:t>
                  </w:r>
                </w:p>
              </w:tc>
              <w:tc>
                <w:tcPr>
                  <w:tcW w:w="2074" w:type="dxa"/>
                  <w:vAlign w:val="center"/>
                </w:tcPr>
                <w:p w:rsidR="0050732A" w:rsidRPr="00212976" w:rsidRDefault="00212976" w:rsidP="00212976">
                  <w:pPr>
                    <w:jc w:val="center"/>
                    <w:rPr>
                      <w:b/>
                    </w:rPr>
                  </w:pPr>
                  <w:r w:rsidRPr="00212976">
                    <w:rPr>
                      <w:b/>
                    </w:rPr>
                    <w:t>70 jours</w:t>
                  </w:r>
                </w:p>
              </w:tc>
              <w:tc>
                <w:tcPr>
                  <w:tcW w:w="3019" w:type="dxa"/>
                  <w:vAlign w:val="center"/>
                </w:tcPr>
                <w:p w:rsidR="0050732A" w:rsidRDefault="0050732A" w:rsidP="0050732A">
                  <w:pPr>
                    <w:jc w:val="both"/>
                  </w:pPr>
                </w:p>
              </w:tc>
            </w:tr>
          </w:tbl>
          <w:p w:rsidR="0050732A" w:rsidRDefault="0050732A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0B1A20" w:rsidRDefault="000B1A20" w:rsidP="0050732A">
            <w:pPr>
              <w:jc w:val="both"/>
            </w:pPr>
          </w:p>
          <w:p w:rsidR="00841426" w:rsidRDefault="00841426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DF5ACC" w:rsidRDefault="00DF5ACC" w:rsidP="00841426">
            <w:pPr>
              <w:jc w:val="both"/>
            </w:pPr>
          </w:p>
          <w:p w:rsidR="00841426" w:rsidRPr="00841426" w:rsidRDefault="005A0F38" w:rsidP="00841426">
            <w:pPr>
              <w:rPr>
                <w:b/>
                <w:color w:val="00B0F0"/>
                <w:sz w:val="28"/>
                <w:szCs w:val="28"/>
                <w:u w:val="single"/>
              </w:rPr>
            </w:pPr>
            <w:r w:rsidRPr="001954DC">
              <w:rPr>
                <w:b/>
                <w:sz w:val="28"/>
                <w:szCs w:val="28"/>
              </w:rPr>
              <w:t>3</w:t>
            </w:r>
            <w:r w:rsidR="00841426" w:rsidRPr="001954DC">
              <w:rPr>
                <w:b/>
                <w:sz w:val="28"/>
                <w:szCs w:val="28"/>
              </w:rPr>
              <w:t xml:space="preserve"> </w:t>
            </w:r>
            <w:r w:rsidR="00513E64" w:rsidRPr="001954DC">
              <w:rPr>
                <w:b/>
                <w:sz w:val="28"/>
                <w:szCs w:val="28"/>
              </w:rPr>
              <w:t>–</w:t>
            </w:r>
            <w:r w:rsidR="00513E64">
              <w:rPr>
                <w:b/>
                <w:sz w:val="28"/>
                <w:szCs w:val="28"/>
                <w:u w:val="single"/>
              </w:rPr>
              <w:t xml:space="preserve"> </w:t>
            </w:r>
            <w:r w:rsidR="00513E64" w:rsidRPr="00513E64">
              <w:rPr>
                <w:b/>
                <w:sz w:val="28"/>
                <w:szCs w:val="28"/>
              </w:rPr>
              <w:t xml:space="preserve">Note exposant </w:t>
            </w:r>
            <w:r w:rsidR="00841426" w:rsidRPr="00513E64">
              <w:rPr>
                <w:b/>
                <w:sz w:val="28"/>
                <w:szCs w:val="28"/>
              </w:rPr>
              <w:t>l’organisation et la gestion du tri des déchets de chantie</w:t>
            </w:r>
            <w:r w:rsidR="00856078" w:rsidRPr="00513E64">
              <w:rPr>
                <w:b/>
                <w:sz w:val="28"/>
                <w:szCs w:val="28"/>
              </w:rPr>
              <w:t xml:space="preserve">r, l’hygiène </w:t>
            </w:r>
            <w:r w:rsidR="00841426" w:rsidRPr="00513E64">
              <w:rPr>
                <w:b/>
                <w:sz w:val="28"/>
                <w:szCs w:val="28"/>
              </w:rPr>
              <w:t>et la sécurité</w:t>
            </w:r>
            <w:r w:rsidR="006E549C">
              <w:rPr>
                <w:b/>
                <w:sz w:val="28"/>
                <w:szCs w:val="28"/>
              </w:rPr>
              <w:t xml:space="preserve"> </w:t>
            </w:r>
            <w:r w:rsidR="00513E64">
              <w:rPr>
                <w:b/>
                <w:sz w:val="28"/>
                <w:szCs w:val="28"/>
              </w:rPr>
              <w:t xml:space="preserve">sur le chantier </w:t>
            </w:r>
            <w:r w:rsidR="001954DC">
              <w:rPr>
                <w:b/>
                <w:color w:val="00B0F0"/>
                <w:sz w:val="28"/>
                <w:szCs w:val="28"/>
                <w:u w:val="single"/>
              </w:rPr>
              <w:t>(4</w:t>
            </w:r>
            <w:r w:rsidR="00841426" w:rsidRPr="00841426">
              <w:rPr>
                <w:b/>
                <w:color w:val="00B0F0"/>
                <w:sz w:val="28"/>
                <w:szCs w:val="28"/>
                <w:u w:val="single"/>
              </w:rPr>
              <w:t xml:space="preserve"> points)</w:t>
            </w:r>
          </w:p>
          <w:p w:rsidR="00856078" w:rsidRDefault="00856078" w:rsidP="00841426">
            <w:pPr>
              <w:jc w:val="both"/>
            </w:pPr>
            <w:r>
              <w:t>a/</w:t>
            </w:r>
            <w:r w:rsidR="00841426">
              <w:t xml:space="preserve"> </w:t>
            </w:r>
            <w:r>
              <w:t>Indiquer et décrire la m</w:t>
            </w:r>
            <w:r w:rsidR="00841426">
              <w:t>éthodologie d</w:t>
            </w:r>
            <w:r>
              <w:t>e</w:t>
            </w:r>
            <w:r w:rsidR="00841426">
              <w:t xml:space="preserve"> traitement des déchets de chantier classiques et pollués dans le cadre de travaux en SS4 (exemple : poches de gel pour percement amiante …) : </w:t>
            </w:r>
          </w:p>
          <w:p w:rsidR="00841426" w:rsidRDefault="00841426" w:rsidP="00856078">
            <w:pPr>
              <w:pStyle w:val="Paragraphedeliste"/>
              <w:numPr>
                <w:ilvl w:val="0"/>
                <w:numId w:val="14"/>
              </w:numPr>
              <w:ind w:left="284" w:hanging="284"/>
              <w:jc w:val="both"/>
            </w:pPr>
            <w:r>
              <w:t>stockage, évacuation, destination/déchetterie/recyclage, suivi … ;</w:t>
            </w:r>
          </w:p>
          <w:p w:rsidR="00841426" w:rsidRDefault="00841426" w:rsidP="00841426">
            <w:pPr>
              <w:jc w:val="both"/>
            </w:pPr>
          </w:p>
          <w:p w:rsidR="00841426" w:rsidRDefault="00856078" w:rsidP="00841426">
            <w:pPr>
              <w:jc w:val="both"/>
            </w:pPr>
            <w:r>
              <w:t>b/</w:t>
            </w:r>
            <w:r w:rsidR="00841426">
              <w:t xml:space="preserve"> Les mesures prises pour respecter, dans le cadre des travaux en milieu occupé :</w:t>
            </w:r>
          </w:p>
          <w:p w:rsidR="00841426" w:rsidRDefault="00841426" w:rsidP="00856078">
            <w:pPr>
              <w:pStyle w:val="Paragraphedeliste"/>
              <w:numPr>
                <w:ilvl w:val="0"/>
                <w:numId w:val="14"/>
              </w:numPr>
              <w:ind w:left="284" w:hanging="284"/>
              <w:jc w:val="both"/>
            </w:pPr>
            <w:r>
              <w:t>l’hygiène</w:t>
            </w:r>
            <w:r w:rsidR="00856078">
              <w:t> ;</w:t>
            </w:r>
          </w:p>
          <w:p w:rsidR="00841426" w:rsidRDefault="00841426" w:rsidP="00856078">
            <w:pPr>
              <w:pStyle w:val="Paragraphedeliste"/>
              <w:numPr>
                <w:ilvl w:val="0"/>
                <w:numId w:val="14"/>
              </w:numPr>
              <w:ind w:left="284" w:hanging="284"/>
              <w:jc w:val="both"/>
            </w:pPr>
            <w:r>
              <w:t>la sécurité</w:t>
            </w:r>
            <w:r w:rsidR="00856078">
              <w:t> des personnes et des biens ;</w:t>
            </w:r>
          </w:p>
          <w:p w:rsidR="00841426" w:rsidRDefault="00841426" w:rsidP="00856078">
            <w:pPr>
              <w:pStyle w:val="Paragraphedeliste"/>
              <w:numPr>
                <w:ilvl w:val="0"/>
                <w:numId w:val="14"/>
              </w:numPr>
              <w:ind w:left="284" w:hanging="284"/>
              <w:jc w:val="both"/>
            </w:pPr>
            <w:r>
              <w:t>les mesures appliquées pour réduire les nuisances phoniques ;</w:t>
            </w:r>
          </w:p>
          <w:p w:rsidR="00841426" w:rsidRDefault="00841426" w:rsidP="00841426">
            <w:pPr>
              <w:jc w:val="both"/>
            </w:pPr>
          </w:p>
          <w:p w:rsidR="00841426" w:rsidRDefault="00856078" w:rsidP="00841426">
            <w:pPr>
              <w:jc w:val="both"/>
            </w:pPr>
            <w:r>
              <w:t xml:space="preserve"> </w:t>
            </w:r>
            <w:r w:rsidR="00841426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A0F38">
              <w:t>……………………………………………………………………</w:t>
            </w:r>
          </w:p>
          <w:p w:rsidR="00841426" w:rsidRDefault="00841426" w:rsidP="00841426">
            <w:pPr>
              <w:jc w:val="both"/>
            </w:pPr>
            <w:r>
              <w:t>Annexes</w:t>
            </w:r>
          </w:p>
          <w:p w:rsidR="00841426" w:rsidRDefault="00841426" w:rsidP="00841426">
            <w:pPr>
              <w:jc w:val="both"/>
            </w:pPr>
            <w:r>
              <w:t>Le candidat pourra annexer à son mémoire tout document jugé utile.</w:t>
            </w:r>
          </w:p>
          <w:p w:rsidR="00841426" w:rsidRDefault="00841426" w:rsidP="00841426">
            <w:pPr>
              <w:jc w:val="both"/>
            </w:pPr>
          </w:p>
          <w:p w:rsidR="00841426" w:rsidRDefault="00841426" w:rsidP="0050732A">
            <w:pPr>
              <w:jc w:val="both"/>
            </w:pPr>
          </w:p>
          <w:p w:rsidR="00466349" w:rsidRDefault="00466349" w:rsidP="00466349"/>
          <w:p w:rsidR="007D56B7" w:rsidRPr="0021155D" w:rsidRDefault="007D56B7" w:rsidP="005A0F38">
            <w:pPr>
              <w:rPr>
                <w:b/>
              </w:rPr>
            </w:pPr>
          </w:p>
        </w:tc>
      </w:tr>
    </w:tbl>
    <w:p w:rsidR="00BB783B" w:rsidRDefault="00BB783B" w:rsidP="00BB783B">
      <w:pPr>
        <w:widowControl w:val="0"/>
        <w:tabs>
          <w:tab w:val="left" w:pos="4536"/>
        </w:tabs>
        <w:suppressAutoHyphens/>
        <w:autoSpaceDN w:val="0"/>
        <w:spacing w:after="200" w:line="276" w:lineRule="auto"/>
        <w:textAlignment w:val="baseline"/>
        <w:rPr>
          <w:rFonts w:ascii="Calibri" w:eastAsia="Arial Narrow" w:hAnsi="Calibri" w:cs="Arial Narrow"/>
          <w:b/>
          <w:kern w:val="3"/>
          <w:lang w:bidi="en-US"/>
        </w:rPr>
      </w:pPr>
      <w:r w:rsidRPr="00BB783B">
        <w:rPr>
          <w:rFonts w:ascii="Calibri" w:eastAsia="Arial Narrow" w:hAnsi="Calibri" w:cs="Arial Narrow"/>
          <w:b/>
          <w:kern w:val="3"/>
          <w:lang w:bidi="en-US"/>
        </w:rPr>
        <w:lastRenderedPageBreak/>
        <w:tab/>
      </w:r>
    </w:p>
    <w:p w:rsidR="00BB783B" w:rsidRDefault="00BB783B" w:rsidP="00BB783B">
      <w:pPr>
        <w:widowControl w:val="0"/>
        <w:tabs>
          <w:tab w:val="left" w:pos="4536"/>
        </w:tabs>
        <w:suppressAutoHyphens/>
        <w:autoSpaceDN w:val="0"/>
        <w:spacing w:after="200" w:line="276" w:lineRule="auto"/>
        <w:textAlignment w:val="baseline"/>
        <w:rPr>
          <w:rFonts w:ascii="Calibri" w:eastAsia="Arial Narrow" w:hAnsi="Calibri" w:cs="Arial Narrow"/>
          <w:b/>
          <w:kern w:val="3"/>
          <w:lang w:bidi="en-US"/>
        </w:rPr>
      </w:pPr>
      <w:r>
        <w:rPr>
          <w:rFonts w:ascii="Calibri" w:eastAsia="Arial Narrow" w:hAnsi="Calibri" w:cs="Arial Narrow"/>
          <w:b/>
          <w:kern w:val="3"/>
          <w:lang w:bidi="en-US"/>
        </w:rPr>
        <w:tab/>
      </w:r>
      <w:r w:rsidRPr="00BB783B">
        <w:rPr>
          <w:rFonts w:ascii="Calibri" w:eastAsia="Arial Narrow" w:hAnsi="Calibri" w:cs="Arial Narrow"/>
          <w:b/>
          <w:kern w:val="3"/>
          <w:lang w:bidi="en-US"/>
        </w:rPr>
        <w:t xml:space="preserve">Nom du candidat : </w:t>
      </w:r>
      <w:r w:rsidRPr="00BB783B">
        <w:rPr>
          <w:rFonts w:ascii="Calibri" w:eastAsia="Arial Narrow" w:hAnsi="Calibri" w:cs="Arial Narrow"/>
          <w:b/>
          <w:kern w:val="3"/>
          <w:lang w:bidi="en-US"/>
        </w:rPr>
        <w:tab/>
      </w:r>
    </w:p>
    <w:p w:rsidR="00BB783B" w:rsidRPr="00BB783B" w:rsidRDefault="00BB783B" w:rsidP="00BB783B">
      <w:pPr>
        <w:widowControl w:val="0"/>
        <w:tabs>
          <w:tab w:val="left" w:pos="4536"/>
        </w:tabs>
        <w:suppressAutoHyphens/>
        <w:autoSpaceDN w:val="0"/>
        <w:spacing w:after="200" w:line="276" w:lineRule="auto"/>
        <w:textAlignment w:val="baseline"/>
        <w:rPr>
          <w:rFonts w:ascii="Calibri" w:eastAsia="Arial Narrow" w:hAnsi="Calibri" w:cs="Arial Narrow"/>
          <w:b/>
          <w:kern w:val="3"/>
          <w:lang w:bidi="en-US"/>
        </w:rPr>
      </w:pPr>
    </w:p>
    <w:p w:rsidR="002B4648" w:rsidRDefault="00BB783B" w:rsidP="00BB783B">
      <w:pPr>
        <w:tabs>
          <w:tab w:val="left" w:pos="4536"/>
        </w:tabs>
        <w:rPr>
          <w:rFonts w:ascii="Calibri" w:eastAsia="Arial Narrow" w:hAnsi="Calibri" w:cs="Arial Narrow"/>
          <w:b/>
        </w:rPr>
      </w:pPr>
      <w:r>
        <w:rPr>
          <w:rFonts w:ascii="Calibri" w:eastAsia="Arial Narrow" w:hAnsi="Calibri" w:cs="Arial Narrow"/>
          <w:b/>
        </w:rPr>
        <w:tab/>
      </w:r>
      <w:r w:rsidRPr="00BB783B">
        <w:rPr>
          <w:rFonts w:ascii="Calibri" w:eastAsia="Arial Narrow" w:hAnsi="Calibri" w:cs="Arial Narrow"/>
          <w:b/>
        </w:rPr>
        <w:t>Nom et qualité du signataire :</w:t>
      </w:r>
    </w:p>
    <w:p w:rsidR="00BB783B" w:rsidRDefault="00BB783B" w:rsidP="00BB783B">
      <w:pPr>
        <w:tabs>
          <w:tab w:val="left" w:pos="4536"/>
        </w:tabs>
        <w:rPr>
          <w:rFonts w:ascii="Calibri" w:eastAsia="Arial Narrow" w:hAnsi="Calibri" w:cs="Arial Narrow"/>
          <w:b/>
        </w:rPr>
      </w:pPr>
    </w:p>
    <w:p w:rsidR="00BB783B" w:rsidRDefault="00BB783B" w:rsidP="005A0F38">
      <w:pPr>
        <w:pStyle w:val="Standard"/>
        <w:tabs>
          <w:tab w:val="left" w:pos="4536"/>
        </w:tabs>
        <w:spacing w:after="200" w:line="276" w:lineRule="auto"/>
        <w:rPr>
          <w:b/>
          <w:sz w:val="28"/>
          <w:szCs w:val="28"/>
          <w:u w:val="single"/>
        </w:rPr>
      </w:pPr>
      <w:r>
        <w:rPr>
          <w:rFonts w:eastAsia="Arial Narrow" w:cs="Arial Narrow"/>
          <w:b/>
          <w:color w:val="auto"/>
          <w:sz w:val="22"/>
          <w:szCs w:val="22"/>
          <w:lang w:val="fr-FR"/>
        </w:rPr>
        <w:tab/>
        <w:t>Fait à ________________ le _________________</w:t>
      </w:r>
    </w:p>
    <w:sectPr w:rsidR="00BB783B" w:rsidSect="00446DDF">
      <w:headerReference w:type="default" r:id="rId9"/>
      <w:footerReference w:type="default" r:id="rId10"/>
      <w:pgSz w:w="11906" w:h="16838"/>
      <w:pgMar w:top="1418" w:right="1418" w:bottom="102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1D4" w:rsidRDefault="007921D4" w:rsidP="002E048C">
      <w:pPr>
        <w:spacing w:after="0" w:line="240" w:lineRule="auto"/>
      </w:pPr>
      <w:r>
        <w:separator/>
      </w:r>
    </w:p>
  </w:endnote>
  <w:endnote w:type="continuationSeparator" w:id="0">
    <w:p w:rsidR="007921D4" w:rsidRDefault="007921D4" w:rsidP="002E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ADA" w:rsidRDefault="00446DDF">
    <w:pPr>
      <w:pStyle w:val="Pieddepage"/>
      <w:rPr>
        <w:color w:val="000000" w:themeColor="text1"/>
        <w:sz w:val="24"/>
        <w:szCs w:val="24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F03B82" wp14:editId="2927EB08">
              <wp:simplePos x="0" y="0"/>
              <wp:positionH relativeFrom="margin">
                <wp:posOffset>5472429</wp:posOffset>
              </wp:positionH>
              <wp:positionV relativeFrom="bottomMargin">
                <wp:posOffset>8890</wp:posOffset>
              </wp:positionV>
              <wp:extent cx="337185" cy="395605"/>
              <wp:effectExtent l="0" t="0" r="0" b="0"/>
              <wp:wrapNone/>
              <wp:docPr id="56" name="Zone de text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7185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44ADA" w:rsidRPr="00446DDF" w:rsidRDefault="00844ADA">
                          <w:pPr>
                            <w:pStyle w:val="Pieddepage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</w:pPr>
                          <w:r w:rsidRPr="00446DDF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begin"/>
                          </w:r>
                          <w:r w:rsidRPr="00446DDF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instrText>PAGE  \* Arabic  \* MERGEFORMAT</w:instrText>
                          </w:r>
                          <w:r w:rsidRPr="00446DDF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separate"/>
                          </w:r>
                          <w:r w:rsidR="00A173FB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8"/>
                              <w:szCs w:val="40"/>
                            </w:rPr>
                            <w:t>4</w:t>
                          </w:r>
                          <w:r w:rsidRPr="00446DDF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F03B82" id="_x0000_t202" coordsize="21600,21600" o:spt="202" path="m,l,21600r21600,l21600,xe">
              <v:stroke joinstyle="miter"/>
              <v:path gradientshapeok="t" o:connecttype="rect"/>
            </v:shapetype>
            <v:shape id="Zone de texte 56" o:spid="_x0000_s1026" type="#_x0000_t202" style="position:absolute;margin-left:430.9pt;margin-top:.7pt;width:26.55pt;height:31.1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" filled="f" stroked="f" strokeweight=".5pt">
              <v:textbox style="mso-fit-shape-to-text:t">
                <w:txbxContent>
                  <w:p w:rsidR="00844ADA" w:rsidRPr="00446DDF" w:rsidRDefault="00844ADA">
                    <w:pPr>
                      <w:pStyle w:val="Pieddepage"/>
                      <w:jc w:val="right"/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</w:pPr>
                    <w:r w:rsidRPr="00446DDF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begin"/>
                    </w:r>
                    <w:r w:rsidRPr="00446DDF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instrText>PAGE  \* Arabic  \* MERGEFORMAT</w:instrText>
                    </w:r>
                    <w:r w:rsidRPr="00446DDF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separate"/>
                    </w:r>
                    <w:r w:rsidR="00A173FB">
                      <w:rPr>
                        <w:rFonts w:asciiTheme="majorHAnsi" w:hAnsiTheme="majorHAnsi"/>
                        <w:noProof/>
                        <w:color w:val="000000" w:themeColor="text1"/>
                        <w:sz w:val="28"/>
                        <w:szCs w:val="40"/>
                      </w:rPr>
                      <w:t>4</w:t>
                    </w:r>
                    <w:r w:rsidRPr="00446DDF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A21FFD" w:rsidRPr="00A21FFD" w:rsidRDefault="00A21FFD" w:rsidP="00A21FFD">
    <w:pPr>
      <w:pStyle w:val="Pieddepage"/>
      <w:rPr>
        <w:rFonts w:cstheme="minorHAnsi"/>
        <w:sz w:val="20"/>
      </w:rPr>
    </w:pPr>
    <w:r w:rsidRPr="00A21FFD">
      <w:rPr>
        <w:rFonts w:cstheme="minorHAnsi"/>
        <w:sz w:val="20"/>
      </w:rPr>
      <w:t>CADRE DE REPONSES n° 01-2025 UIOSS</w:t>
    </w:r>
    <w:r w:rsidRPr="00A21FFD">
      <w:rPr>
        <w:rFonts w:cstheme="minorHAnsi"/>
        <w:noProof/>
        <w:color w:val="5B9BD5" w:themeColor="accent1"/>
        <w:sz w:val="20"/>
        <w:lang w:eastAsia="fr-FR"/>
      </w:rPr>
      <w:t xml:space="preserve"> </w:t>
    </w:r>
    <w:r w:rsidRPr="00A21FFD">
      <w:rPr>
        <w:rFonts w:cstheme="minorHAnsi"/>
        <w:noProof/>
        <w:color w:val="5B9BD5" w:themeColor="accent1"/>
        <w:sz w:val="20"/>
        <w:lang w:eastAsia="fr-FR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CD0A259" wp14:editId="1AF1282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080FCD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" fillcolor="#5b9bd5 [3204]" stroked="f" strokeweight="1pt">
              <w10:wrap type="square" anchorx="margin" anchory="margin"/>
            </v:rect>
          </w:pict>
        </mc:Fallback>
      </mc:AlternateContent>
    </w:r>
  </w:p>
  <w:p w:rsidR="008114FD" w:rsidRPr="00A21FFD" w:rsidRDefault="00A21FFD" w:rsidP="00A21FFD">
    <w:pPr>
      <w:pStyle w:val="Pieddepage"/>
      <w:rPr>
        <w:rFonts w:cstheme="minorHAnsi"/>
        <w:sz w:val="20"/>
      </w:rPr>
    </w:pPr>
    <w:r w:rsidRPr="00A21FFD">
      <w:rPr>
        <w:rFonts w:cstheme="minorHAnsi"/>
        <w:sz w:val="20"/>
      </w:rPr>
      <w:t xml:space="preserve">MARCHE DE FOURNITURE ET POSE DE MENUISERIES INTERIEURES ET FAUX PLAFONDS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1D4" w:rsidRDefault="007921D4" w:rsidP="002E048C">
      <w:pPr>
        <w:spacing w:after="0" w:line="240" w:lineRule="auto"/>
      </w:pPr>
      <w:r>
        <w:separator/>
      </w:r>
    </w:p>
  </w:footnote>
  <w:footnote w:type="continuationSeparator" w:id="0">
    <w:p w:rsidR="007921D4" w:rsidRDefault="007921D4" w:rsidP="002E0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370058"/>
      <w:docPartObj>
        <w:docPartGallery w:val="Page Numbers (Top of Page)"/>
        <w:docPartUnique/>
      </w:docPartObj>
    </w:sdtPr>
    <w:sdtEndPr/>
    <w:sdtContent>
      <w:p w:rsidR="008F5D4C" w:rsidRDefault="008F5D4C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3FB">
          <w:rPr>
            <w:noProof/>
          </w:rPr>
          <w:t>4</w:t>
        </w:r>
        <w:r>
          <w:fldChar w:fldCharType="end"/>
        </w:r>
      </w:p>
    </w:sdtContent>
  </w:sdt>
  <w:p w:rsidR="008558E4" w:rsidRDefault="008558E4" w:rsidP="008558E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A5C"/>
    <w:multiLevelType w:val="hybridMultilevel"/>
    <w:tmpl w:val="47C0E796"/>
    <w:lvl w:ilvl="0" w:tplc="D0AE285A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B5FEF"/>
    <w:multiLevelType w:val="hybridMultilevel"/>
    <w:tmpl w:val="5DA4B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261FE"/>
    <w:multiLevelType w:val="hybridMultilevel"/>
    <w:tmpl w:val="540CBC00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41492"/>
    <w:multiLevelType w:val="hybridMultilevel"/>
    <w:tmpl w:val="92680BD8"/>
    <w:lvl w:ilvl="0" w:tplc="3910AC2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0644"/>
    <w:multiLevelType w:val="hybridMultilevel"/>
    <w:tmpl w:val="8C10E60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C695A"/>
    <w:multiLevelType w:val="multilevel"/>
    <w:tmpl w:val="01347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E7F6CFF"/>
    <w:multiLevelType w:val="hybridMultilevel"/>
    <w:tmpl w:val="E6B2E0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C742B"/>
    <w:multiLevelType w:val="hybridMultilevel"/>
    <w:tmpl w:val="BF1AE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A685A"/>
    <w:multiLevelType w:val="hybridMultilevel"/>
    <w:tmpl w:val="B3AAFBEC"/>
    <w:lvl w:ilvl="0" w:tplc="FDCABE9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F69E3"/>
    <w:multiLevelType w:val="hybridMultilevel"/>
    <w:tmpl w:val="E0360C28"/>
    <w:lvl w:ilvl="0" w:tplc="3910AC2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77F31"/>
    <w:multiLevelType w:val="hybridMultilevel"/>
    <w:tmpl w:val="8C10E60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378B3"/>
    <w:multiLevelType w:val="hybridMultilevel"/>
    <w:tmpl w:val="60A02EC0"/>
    <w:lvl w:ilvl="0" w:tplc="4B124FA2">
      <w:start w:val="3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7D41EF"/>
    <w:multiLevelType w:val="hybridMultilevel"/>
    <w:tmpl w:val="1A4A1380"/>
    <w:lvl w:ilvl="0" w:tplc="686EC74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53219"/>
    <w:multiLevelType w:val="hybridMultilevel"/>
    <w:tmpl w:val="6FA6C9BE"/>
    <w:lvl w:ilvl="0" w:tplc="FF6EC2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268A7"/>
    <w:multiLevelType w:val="hybridMultilevel"/>
    <w:tmpl w:val="452C09EC"/>
    <w:lvl w:ilvl="0" w:tplc="A754E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4"/>
  </w:num>
  <w:num w:numId="5">
    <w:abstractNumId w:val="13"/>
  </w:num>
  <w:num w:numId="6">
    <w:abstractNumId w:val="2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4"/>
  </w:num>
  <w:num w:numId="12">
    <w:abstractNumId w:val="10"/>
  </w:num>
  <w:num w:numId="13">
    <w:abstractNumId w:val="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79"/>
    <w:rsid w:val="00007E31"/>
    <w:rsid w:val="0001797E"/>
    <w:rsid w:val="0003562C"/>
    <w:rsid w:val="00091ADD"/>
    <w:rsid w:val="000B1A20"/>
    <w:rsid w:val="000B3EA7"/>
    <w:rsid w:val="000E03C3"/>
    <w:rsid w:val="000E2CAA"/>
    <w:rsid w:val="001330A7"/>
    <w:rsid w:val="00140B4A"/>
    <w:rsid w:val="0015586F"/>
    <w:rsid w:val="001900F9"/>
    <w:rsid w:val="001954DC"/>
    <w:rsid w:val="001A161D"/>
    <w:rsid w:val="001B54E9"/>
    <w:rsid w:val="001C71FE"/>
    <w:rsid w:val="001D32B9"/>
    <w:rsid w:val="001F135A"/>
    <w:rsid w:val="0021155D"/>
    <w:rsid w:val="00212976"/>
    <w:rsid w:val="00226219"/>
    <w:rsid w:val="0025101A"/>
    <w:rsid w:val="00254566"/>
    <w:rsid w:val="00255C2E"/>
    <w:rsid w:val="00266958"/>
    <w:rsid w:val="00267AB2"/>
    <w:rsid w:val="002B4648"/>
    <w:rsid w:val="002D0A37"/>
    <w:rsid w:val="002E048C"/>
    <w:rsid w:val="002E74DC"/>
    <w:rsid w:val="00372CA1"/>
    <w:rsid w:val="003879D3"/>
    <w:rsid w:val="003E55A8"/>
    <w:rsid w:val="004017E7"/>
    <w:rsid w:val="00407D1E"/>
    <w:rsid w:val="00446DDF"/>
    <w:rsid w:val="00466349"/>
    <w:rsid w:val="0049195D"/>
    <w:rsid w:val="004C21AB"/>
    <w:rsid w:val="004D0285"/>
    <w:rsid w:val="004E75D3"/>
    <w:rsid w:val="004E760F"/>
    <w:rsid w:val="004F5F2B"/>
    <w:rsid w:val="004F648C"/>
    <w:rsid w:val="0050732A"/>
    <w:rsid w:val="00513E64"/>
    <w:rsid w:val="00567ECD"/>
    <w:rsid w:val="005A0F38"/>
    <w:rsid w:val="005B1D41"/>
    <w:rsid w:val="005D18B5"/>
    <w:rsid w:val="005D1D0E"/>
    <w:rsid w:val="005D7913"/>
    <w:rsid w:val="005E651A"/>
    <w:rsid w:val="005F2B43"/>
    <w:rsid w:val="006454C5"/>
    <w:rsid w:val="00673267"/>
    <w:rsid w:val="006A40F3"/>
    <w:rsid w:val="006A4EBE"/>
    <w:rsid w:val="006B1830"/>
    <w:rsid w:val="006D46C4"/>
    <w:rsid w:val="006E549C"/>
    <w:rsid w:val="00717EA9"/>
    <w:rsid w:val="0072538E"/>
    <w:rsid w:val="007765B9"/>
    <w:rsid w:val="007921D4"/>
    <w:rsid w:val="007A4CDB"/>
    <w:rsid w:val="007B4A46"/>
    <w:rsid w:val="007B60BB"/>
    <w:rsid w:val="007C2763"/>
    <w:rsid w:val="007D56B7"/>
    <w:rsid w:val="007E7661"/>
    <w:rsid w:val="007E7F9C"/>
    <w:rsid w:val="007F7886"/>
    <w:rsid w:val="007F7934"/>
    <w:rsid w:val="00806B1D"/>
    <w:rsid w:val="008114FD"/>
    <w:rsid w:val="008210F4"/>
    <w:rsid w:val="00841426"/>
    <w:rsid w:val="00844318"/>
    <w:rsid w:val="00844ADA"/>
    <w:rsid w:val="008558E4"/>
    <w:rsid w:val="00855DF0"/>
    <w:rsid w:val="00856078"/>
    <w:rsid w:val="00876650"/>
    <w:rsid w:val="00876675"/>
    <w:rsid w:val="00877266"/>
    <w:rsid w:val="008A00F0"/>
    <w:rsid w:val="008B36B1"/>
    <w:rsid w:val="008C048C"/>
    <w:rsid w:val="008E26F9"/>
    <w:rsid w:val="008F5D4C"/>
    <w:rsid w:val="008F7B6F"/>
    <w:rsid w:val="00911379"/>
    <w:rsid w:val="00915C72"/>
    <w:rsid w:val="00920C05"/>
    <w:rsid w:val="00953155"/>
    <w:rsid w:val="009A74A5"/>
    <w:rsid w:val="009D23BF"/>
    <w:rsid w:val="00A173FB"/>
    <w:rsid w:val="00A21FFD"/>
    <w:rsid w:val="00A83E09"/>
    <w:rsid w:val="00A8681E"/>
    <w:rsid w:val="00A9737D"/>
    <w:rsid w:val="00AA0760"/>
    <w:rsid w:val="00AB129C"/>
    <w:rsid w:val="00AB1469"/>
    <w:rsid w:val="00AF356F"/>
    <w:rsid w:val="00B15790"/>
    <w:rsid w:val="00B55C21"/>
    <w:rsid w:val="00B57116"/>
    <w:rsid w:val="00B645B6"/>
    <w:rsid w:val="00B7429A"/>
    <w:rsid w:val="00B761F4"/>
    <w:rsid w:val="00B852F7"/>
    <w:rsid w:val="00B96FB1"/>
    <w:rsid w:val="00BB3AEC"/>
    <w:rsid w:val="00BB783B"/>
    <w:rsid w:val="00C86628"/>
    <w:rsid w:val="00CB42CE"/>
    <w:rsid w:val="00CB7916"/>
    <w:rsid w:val="00CE308E"/>
    <w:rsid w:val="00D024FB"/>
    <w:rsid w:val="00D06387"/>
    <w:rsid w:val="00DE16DE"/>
    <w:rsid w:val="00DE27F5"/>
    <w:rsid w:val="00DE7258"/>
    <w:rsid w:val="00DF5ACC"/>
    <w:rsid w:val="00E04420"/>
    <w:rsid w:val="00E07A6C"/>
    <w:rsid w:val="00E1696A"/>
    <w:rsid w:val="00E32613"/>
    <w:rsid w:val="00E3610D"/>
    <w:rsid w:val="00E54BD7"/>
    <w:rsid w:val="00E61992"/>
    <w:rsid w:val="00E72614"/>
    <w:rsid w:val="00EB1C69"/>
    <w:rsid w:val="00EC66E7"/>
    <w:rsid w:val="00EC6D2B"/>
    <w:rsid w:val="00F0156F"/>
    <w:rsid w:val="00F214E0"/>
    <w:rsid w:val="00F279E8"/>
    <w:rsid w:val="00F27E87"/>
    <w:rsid w:val="00F34039"/>
    <w:rsid w:val="00F35F97"/>
    <w:rsid w:val="00F440E0"/>
    <w:rsid w:val="00F8296E"/>
    <w:rsid w:val="00FC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9684F"/>
  <w15:docId w15:val="{DE7FADB2-46C7-4389-AE1A-E57A1C82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113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37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37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3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37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3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113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8C"/>
  </w:style>
  <w:style w:type="paragraph" w:styleId="Pieddepage">
    <w:name w:val="footer"/>
    <w:basedOn w:val="Normal"/>
    <w:link w:val="Pieddepag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8C"/>
  </w:style>
  <w:style w:type="paragraph" w:customStyle="1" w:styleId="CarCarCarCarCar1CarCarCar">
    <w:name w:val="Car Car Car Car Car1 Car Car Car"/>
    <w:basedOn w:val="Normal"/>
    <w:rsid w:val="00920C05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har">
    <w:name w:val="Car Char"/>
    <w:basedOn w:val="Normal"/>
    <w:uiPriority w:val="99"/>
    <w:rsid w:val="00F35F97"/>
    <w:pPr>
      <w:spacing w:after="120" w:line="260" w:lineRule="atLeast"/>
      <w:ind w:left="851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007E3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D345FF3D873148C5AE3FBF3267827368">
    <w:name w:val="D345FF3D873148C5AE3FBF3267827368"/>
    <w:rsid w:val="00844ADA"/>
    <w:pPr>
      <w:spacing w:after="200" w:line="276" w:lineRule="auto"/>
    </w:pPr>
    <w:rPr>
      <w:rFonts w:eastAsiaTheme="minorEastAsia"/>
      <w:lang w:eastAsia="fr-FR"/>
    </w:rPr>
  </w:style>
  <w:style w:type="paragraph" w:customStyle="1" w:styleId="Default">
    <w:name w:val="Default"/>
    <w:rsid w:val="0050732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5814-DE47-4419-9BCD-FC5232C5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889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VERSAEVEL-60895</dc:creator>
  <cp:lastModifiedBy>LEPINAY AURELIE (CPAM MARNE)</cp:lastModifiedBy>
  <cp:revision>8</cp:revision>
  <cp:lastPrinted>2019-03-21T09:03:00Z</cp:lastPrinted>
  <dcterms:created xsi:type="dcterms:W3CDTF">2025-02-06T10:03:00Z</dcterms:created>
  <dcterms:modified xsi:type="dcterms:W3CDTF">2025-02-06T10:03:00Z</dcterms:modified>
</cp:coreProperties>
</file>