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1C6EAB">
      <w:pPr>
        <w:tabs>
          <w:tab w:val="left" w:pos="1155"/>
          <w:tab w:val="center" w:pos="4536"/>
          <w:tab w:val="left" w:pos="6480"/>
        </w:tabs>
        <w:spacing w:before="240" w:after="240" w:line="276" w:lineRule="auto"/>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07F58E75" w14:textId="77777777" w:rsidR="007F1763" w:rsidRPr="00D15F32" w:rsidRDefault="007F1763"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1C6EAB">
        <w:trPr>
          <w:trHeight w:val="652"/>
        </w:trPr>
        <w:tc>
          <w:tcPr>
            <w:tcW w:w="2903" w:type="dxa"/>
            <w:shd w:val="clear" w:color="auto" w:fill="DBE5F1" w:themeFill="accent1" w:themeFillTint="33"/>
          </w:tcPr>
          <w:p w14:paraId="6C78A887" w14:textId="6CBC36EF" w:rsidR="00EC3375" w:rsidRDefault="00B33364" w:rsidP="001C6EAB">
            <w:pPr>
              <w:spacing w:line="276" w:lineRule="auto"/>
              <w:outlineLvl w:val="0"/>
              <w:rPr>
                <w:rFonts w:ascii="Calibri" w:hAnsi="Calibri"/>
                <w:sz w:val="22"/>
                <w:szCs w:val="22"/>
              </w:rPr>
            </w:pPr>
            <w:r>
              <w:rPr>
                <w:rFonts w:ascii="Calibri" w:hAnsi="Calibri"/>
                <w:sz w:val="22"/>
                <w:szCs w:val="22"/>
              </w:rPr>
              <w:t xml:space="preserve">Projet </w:t>
            </w:r>
          </w:p>
        </w:tc>
        <w:tc>
          <w:tcPr>
            <w:tcW w:w="6169" w:type="dxa"/>
          </w:tcPr>
          <w:p w14:paraId="6BE630A9" w14:textId="06F2687E" w:rsidR="00EC3375" w:rsidRPr="00A14686" w:rsidRDefault="0098083E" w:rsidP="001C6EAB">
            <w:pPr>
              <w:spacing w:line="276" w:lineRule="auto"/>
              <w:jc w:val="center"/>
              <w:outlineLvl w:val="0"/>
              <w:rPr>
                <w:rFonts w:ascii="Calibri" w:hAnsi="Calibri"/>
                <w:sz w:val="22"/>
                <w:szCs w:val="22"/>
              </w:rPr>
            </w:pPr>
            <w:r w:rsidRPr="0098083E">
              <w:rPr>
                <w:rFonts w:ascii="Calibri" w:hAnsi="Calibri"/>
                <w:sz w:val="22"/>
                <w:szCs w:val="22"/>
              </w:rPr>
              <w:t>Appui à la gestion des finances publiques, aux entreprises publiques, aux PPP et à l'inclusion financière en Angola</w:t>
            </w:r>
          </w:p>
        </w:tc>
      </w:tr>
      <w:tr w:rsidR="00B33364" w14:paraId="6BA63084" w14:textId="77777777" w:rsidTr="001C6EAB">
        <w:trPr>
          <w:trHeight w:val="652"/>
        </w:trPr>
        <w:tc>
          <w:tcPr>
            <w:tcW w:w="2903" w:type="dxa"/>
            <w:shd w:val="clear" w:color="auto" w:fill="DBE5F1" w:themeFill="accent1" w:themeFillTint="33"/>
          </w:tcPr>
          <w:p w14:paraId="6F51E368" w14:textId="0337D3C6" w:rsidR="00B33364" w:rsidRDefault="00B33364" w:rsidP="001C6EAB">
            <w:pPr>
              <w:spacing w:line="276" w:lineRule="auto"/>
              <w:outlineLvl w:val="0"/>
              <w:rPr>
                <w:rFonts w:ascii="Calibri" w:hAnsi="Calibri"/>
                <w:sz w:val="22"/>
                <w:szCs w:val="22"/>
              </w:rPr>
            </w:pPr>
            <w:r>
              <w:rPr>
                <w:rFonts w:ascii="Calibri" w:hAnsi="Calibri"/>
                <w:sz w:val="22"/>
                <w:szCs w:val="22"/>
              </w:rPr>
              <w:t>Intitulé de la mission</w:t>
            </w:r>
          </w:p>
        </w:tc>
        <w:tc>
          <w:tcPr>
            <w:tcW w:w="6169" w:type="dxa"/>
          </w:tcPr>
          <w:p w14:paraId="338E0D6F" w14:textId="058D5AE2" w:rsidR="00B33364" w:rsidRPr="0098083E" w:rsidRDefault="00B33364" w:rsidP="001C6EAB">
            <w:pPr>
              <w:spacing w:line="276" w:lineRule="auto"/>
              <w:jc w:val="center"/>
              <w:outlineLvl w:val="0"/>
              <w:rPr>
                <w:rFonts w:ascii="Calibri" w:hAnsi="Calibri"/>
                <w:sz w:val="22"/>
                <w:szCs w:val="22"/>
              </w:rPr>
            </w:pPr>
            <w:r>
              <w:rPr>
                <w:rFonts w:ascii="Calibri" w:hAnsi="Calibri"/>
                <w:sz w:val="22"/>
                <w:szCs w:val="22"/>
              </w:rPr>
              <w:t>Coordination et appui technique pour la composante Partenariats Public-Privé</w:t>
            </w:r>
          </w:p>
        </w:tc>
      </w:tr>
      <w:tr w:rsidR="00EC3375" w14:paraId="44A8582A" w14:textId="77777777" w:rsidTr="001C6EAB">
        <w:trPr>
          <w:trHeight w:val="315"/>
        </w:trPr>
        <w:tc>
          <w:tcPr>
            <w:tcW w:w="2903" w:type="dxa"/>
            <w:shd w:val="clear" w:color="auto" w:fill="DBE5F1" w:themeFill="accent1" w:themeFillTint="33"/>
          </w:tcPr>
          <w:p w14:paraId="0FA3E994" w14:textId="77777777" w:rsidR="00EC3375" w:rsidRDefault="00EC3375" w:rsidP="001C6EAB">
            <w:pPr>
              <w:spacing w:line="276" w:lineRule="auto"/>
              <w:outlineLvl w:val="0"/>
              <w:rPr>
                <w:rFonts w:ascii="Calibri" w:hAnsi="Calibri"/>
                <w:sz w:val="22"/>
                <w:szCs w:val="22"/>
              </w:rPr>
            </w:pPr>
            <w:r>
              <w:rPr>
                <w:rFonts w:ascii="Calibri" w:hAnsi="Calibri"/>
                <w:sz w:val="22"/>
                <w:szCs w:val="22"/>
              </w:rPr>
              <w:t>Bénéficiaire(s)</w:t>
            </w:r>
          </w:p>
        </w:tc>
        <w:tc>
          <w:tcPr>
            <w:tcW w:w="6169" w:type="dxa"/>
            <w:shd w:val="clear" w:color="auto" w:fill="auto"/>
          </w:tcPr>
          <w:p w14:paraId="1E447E27" w14:textId="574E418A" w:rsidR="00EC3375" w:rsidRPr="00A14686" w:rsidRDefault="0098083E" w:rsidP="001C6EAB">
            <w:pPr>
              <w:spacing w:line="276" w:lineRule="auto"/>
              <w:jc w:val="center"/>
              <w:outlineLvl w:val="0"/>
              <w:rPr>
                <w:rFonts w:ascii="Calibri" w:hAnsi="Calibri"/>
                <w:sz w:val="22"/>
                <w:szCs w:val="22"/>
              </w:rPr>
            </w:pPr>
            <w:r w:rsidRPr="0098083E">
              <w:rPr>
                <w:rFonts w:ascii="Calibri" w:hAnsi="Calibri"/>
                <w:sz w:val="22"/>
                <w:szCs w:val="22"/>
              </w:rPr>
              <w:t>Ministère des finances, Ministère du Plan, Institut de Gestion des Actifs et Passifs de l’Etat (IGAPE), Direction Nationale des PPP,  Banque Centrale, ministères sectoriels, Entreprises Publiques, Institutions Financières, Secrétariat EITI, Ministère des Mines et du Pétrole, etc.</w:t>
            </w:r>
          </w:p>
        </w:tc>
      </w:tr>
      <w:tr w:rsidR="00EC3375" w14:paraId="532DFD76" w14:textId="77777777" w:rsidTr="001C6EAB">
        <w:trPr>
          <w:trHeight w:val="330"/>
        </w:trPr>
        <w:tc>
          <w:tcPr>
            <w:tcW w:w="2903" w:type="dxa"/>
            <w:shd w:val="clear" w:color="auto" w:fill="DBE5F1" w:themeFill="accent1" w:themeFillTint="33"/>
          </w:tcPr>
          <w:p w14:paraId="094B0D5E" w14:textId="77777777" w:rsidR="00EC3375" w:rsidRDefault="00EC3375" w:rsidP="001C6EAB">
            <w:pPr>
              <w:spacing w:line="276" w:lineRule="auto"/>
              <w:outlineLvl w:val="0"/>
              <w:rPr>
                <w:rFonts w:ascii="Calibri" w:hAnsi="Calibri"/>
                <w:sz w:val="22"/>
                <w:szCs w:val="22"/>
              </w:rPr>
            </w:pPr>
            <w:r>
              <w:rPr>
                <w:rFonts w:ascii="Calibri" w:hAnsi="Calibri"/>
                <w:sz w:val="22"/>
                <w:szCs w:val="22"/>
              </w:rPr>
              <w:t>Pays</w:t>
            </w:r>
          </w:p>
        </w:tc>
        <w:tc>
          <w:tcPr>
            <w:tcW w:w="6169" w:type="dxa"/>
            <w:shd w:val="clear" w:color="auto" w:fill="auto"/>
            <w:vAlign w:val="bottom"/>
          </w:tcPr>
          <w:p w14:paraId="1F4C74EA" w14:textId="4A428B54" w:rsidR="00EC3375" w:rsidRPr="0098083E" w:rsidRDefault="0098083E" w:rsidP="001C6EAB">
            <w:pPr>
              <w:spacing w:line="276" w:lineRule="auto"/>
              <w:jc w:val="center"/>
              <w:rPr>
                <w:rFonts w:ascii="Calibri" w:hAnsi="Calibri" w:cs="Calibri"/>
                <w:sz w:val="22"/>
              </w:rPr>
            </w:pPr>
            <w:r w:rsidRPr="0098083E">
              <w:rPr>
                <w:rFonts w:ascii="Calibri" w:hAnsi="Calibri" w:cs="Calibri"/>
                <w:sz w:val="22"/>
              </w:rPr>
              <w:t>Angola</w:t>
            </w:r>
          </w:p>
        </w:tc>
      </w:tr>
      <w:tr w:rsidR="000972A8" w14:paraId="5FD02A78" w14:textId="77777777" w:rsidTr="001C6EAB">
        <w:trPr>
          <w:trHeight w:val="330"/>
        </w:trPr>
        <w:tc>
          <w:tcPr>
            <w:tcW w:w="2903" w:type="dxa"/>
            <w:shd w:val="clear" w:color="auto" w:fill="DBE5F1" w:themeFill="accent1" w:themeFillTint="33"/>
          </w:tcPr>
          <w:p w14:paraId="247930CE" w14:textId="77777777" w:rsidR="000972A8" w:rsidRDefault="000972A8" w:rsidP="001C6EAB">
            <w:pPr>
              <w:spacing w:line="276" w:lineRule="auto"/>
              <w:outlineLvl w:val="0"/>
              <w:rPr>
                <w:rFonts w:ascii="Calibri" w:hAnsi="Calibri"/>
                <w:sz w:val="22"/>
                <w:szCs w:val="22"/>
              </w:rPr>
            </w:pPr>
            <w:r>
              <w:rPr>
                <w:rFonts w:ascii="Calibri" w:hAnsi="Calibri"/>
                <w:sz w:val="22"/>
                <w:szCs w:val="22"/>
              </w:rPr>
              <w:t>Durée totale des jours prévus</w:t>
            </w:r>
          </w:p>
        </w:tc>
        <w:tc>
          <w:tcPr>
            <w:tcW w:w="6169" w:type="dxa"/>
          </w:tcPr>
          <w:p w14:paraId="585213D8" w14:textId="625B3814" w:rsidR="000972A8" w:rsidRDefault="00480F9B" w:rsidP="00DB41A6">
            <w:pPr>
              <w:spacing w:line="276" w:lineRule="auto"/>
              <w:jc w:val="center"/>
              <w:outlineLvl w:val="0"/>
              <w:rPr>
                <w:rFonts w:ascii="Calibri" w:hAnsi="Calibri"/>
                <w:sz w:val="22"/>
                <w:szCs w:val="22"/>
              </w:rPr>
            </w:pPr>
            <w:r>
              <w:rPr>
                <w:rFonts w:ascii="Calibri" w:hAnsi="Calibri"/>
                <w:sz w:val="22"/>
                <w:szCs w:val="22"/>
              </w:rPr>
              <w:t>3</w:t>
            </w:r>
            <w:r w:rsidR="00DB41A6">
              <w:rPr>
                <w:rFonts w:ascii="Calibri" w:hAnsi="Calibri"/>
                <w:sz w:val="22"/>
                <w:szCs w:val="22"/>
              </w:rPr>
              <w:t>5</w:t>
            </w:r>
            <w:r>
              <w:rPr>
                <w:rFonts w:ascii="Calibri" w:hAnsi="Calibri"/>
                <w:sz w:val="22"/>
                <w:szCs w:val="22"/>
              </w:rPr>
              <w:t>0</w:t>
            </w:r>
            <w:r w:rsidR="00BE437A">
              <w:rPr>
                <w:rFonts w:ascii="Calibri" w:hAnsi="Calibri"/>
                <w:sz w:val="22"/>
                <w:szCs w:val="22"/>
              </w:rPr>
              <w:t xml:space="preserve"> </w:t>
            </w:r>
          </w:p>
        </w:tc>
      </w:tr>
    </w:tbl>
    <w:p w14:paraId="7AB3782C" w14:textId="0A174CD8" w:rsidR="001D27F6" w:rsidRPr="00D15F32" w:rsidRDefault="000942EE"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CB0F65A" w14:textId="77777777" w:rsidR="001C6EAB" w:rsidRPr="001C6EAB" w:rsidRDefault="00AF2CDD" w:rsidP="001C6EAB">
      <w:pPr>
        <w:pStyle w:val="Sansinterligne"/>
        <w:spacing w:before="240" w:after="240" w:line="276" w:lineRule="auto"/>
        <w:ind w:firstLine="180"/>
        <w:jc w:val="both"/>
        <w:rPr>
          <w:rFonts w:cstheme="minorHAnsi"/>
          <w:iCs/>
          <w:lang w:val="fr-FR"/>
        </w:rPr>
      </w:pPr>
      <w:r w:rsidRPr="001C6EAB">
        <w:rPr>
          <w:rFonts w:cstheme="minorHAnsi"/>
          <w:iCs/>
          <w:lang w:val="fr-FR"/>
        </w:rPr>
        <w:t>L'Angola est le septième plus grand pays d'Afrique, avec une population qui devrait doubler au cours des deux prochaines décennies. Après avoir surmonté une histoire récente tumultueuse, marquée par la fin de la colonisation et la guerre civile à la fin du XXe siècle, le pays est désormais sur une trajectoire de stabilité politique.</w:t>
      </w:r>
    </w:p>
    <w:p w14:paraId="0606EEAD" w14:textId="77777777" w:rsidR="001C6EAB" w:rsidRPr="001C6EAB" w:rsidRDefault="00AF2CDD" w:rsidP="001C6EAB">
      <w:pPr>
        <w:pStyle w:val="Sansinterligne"/>
        <w:spacing w:before="240" w:after="240" w:line="276" w:lineRule="auto"/>
        <w:ind w:firstLine="180"/>
        <w:jc w:val="both"/>
        <w:rPr>
          <w:rFonts w:cstheme="minorHAnsi"/>
          <w:iCs/>
          <w:lang w:val="fr-FR"/>
        </w:rPr>
      </w:pPr>
      <w:r w:rsidRPr="001C6EAB">
        <w:rPr>
          <w:rFonts w:cstheme="minorHAnsi"/>
          <w:iCs/>
          <w:lang w:val="fr-FR"/>
        </w:rPr>
        <w:t>Malgré sa position de cinquième économie africaine, l'Angola est confronté à une forte dépendance aux exportations de pétrole, ce qui entraîne des vulnérabilités économiques. Des réformes récentes et des mesures de consolidation économique ont stimulé une reprise de la croissance, mais des efforts de diversification sont impératifs pour réduire la dépendance au pétrole et faire face à l'augmentation des inégalités. Cela s'accompagne de la nécessité d'assurer une croissance inclusive, avec une meilleure redistribution des revenus de l'industrie pétrolière, d'importants investissements dans le développement du capital humain et l'enseignement supérieur afin de favoriser une économie diversifiée et robuste. Le pays est fortement exposé aux défis liés au stress climatique, à la préservation de l'environnement et à la transition vers une économie à faible émission de carbone.</w:t>
      </w:r>
    </w:p>
    <w:p w14:paraId="4CCF7D54" w14:textId="40E87CC6" w:rsidR="001C6EAB" w:rsidRPr="001C6EAB" w:rsidRDefault="00AF2CDD" w:rsidP="001C6EAB">
      <w:pPr>
        <w:pStyle w:val="Sansinterligne"/>
        <w:spacing w:before="240" w:after="240" w:line="276" w:lineRule="auto"/>
        <w:ind w:firstLine="180"/>
        <w:jc w:val="both"/>
        <w:rPr>
          <w:rFonts w:cstheme="minorHAnsi"/>
          <w:iCs/>
          <w:lang w:val="fr-FR"/>
        </w:rPr>
      </w:pPr>
      <w:r w:rsidRPr="001C6EAB">
        <w:rPr>
          <w:rFonts w:cstheme="minorHAnsi"/>
          <w:iCs/>
          <w:lang w:val="fr-FR"/>
        </w:rPr>
        <w:t xml:space="preserve">Depuis septembre 2022, Expertise France accompagne le gouvernement Angolais dans le cadre d’activités d’appui sur la Gouvernance des Economique et Financière. En effet, l’agence a développé des programmes d’assistance techniques qui appui l’atteinte d’indicateurs de décaissement d’un prêt de politiques publiques signé entre l’AFD et le Gouvernement Angolais sur les quatre axes suivants : i) Gestion des Finances Publiques ; ii) Gouvernance des Entreprises Publiques ; iii) Partenariats Publics Privés ; iv) </w:t>
      </w:r>
      <w:proofErr w:type="spellStart"/>
      <w:r w:rsidRPr="001C6EAB">
        <w:rPr>
          <w:rFonts w:cstheme="minorHAnsi"/>
          <w:iCs/>
          <w:lang w:val="fr-FR"/>
        </w:rPr>
        <w:t>Inclusivité</w:t>
      </w:r>
      <w:proofErr w:type="spellEnd"/>
      <w:r w:rsidRPr="001C6EAB">
        <w:rPr>
          <w:rFonts w:cstheme="minorHAnsi"/>
          <w:iCs/>
          <w:lang w:val="fr-FR"/>
        </w:rPr>
        <w:t xml:space="preserve"> des systèmes financiers.</w:t>
      </w:r>
      <w:r w:rsidR="00F21481">
        <w:rPr>
          <w:rFonts w:cstheme="minorHAnsi"/>
          <w:iCs/>
          <w:lang w:val="fr-FR"/>
        </w:rPr>
        <w:t xml:space="preserve"> </w:t>
      </w:r>
      <w:r w:rsidRPr="001C6EAB">
        <w:rPr>
          <w:rFonts w:cstheme="minorHAnsi"/>
          <w:iCs/>
          <w:lang w:val="fr-FR"/>
        </w:rPr>
        <w:t xml:space="preserve">Ces activités prendront fin en juillet 2024 sur l’axe iii) Partenariats Publics-Privés. </w:t>
      </w:r>
    </w:p>
    <w:p w14:paraId="4A5BA4DC" w14:textId="77777777" w:rsidR="001C6EAB" w:rsidRPr="001C6EAB" w:rsidRDefault="00AF2CDD" w:rsidP="00F21481">
      <w:pPr>
        <w:pStyle w:val="Sansinterligne"/>
        <w:spacing w:before="240" w:after="240" w:line="276" w:lineRule="auto"/>
        <w:jc w:val="both"/>
        <w:rPr>
          <w:rFonts w:cstheme="minorHAnsi"/>
          <w:bCs/>
          <w:iCs/>
          <w:lang w:val="fr-FR"/>
        </w:rPr>
      </w:pPr>
      <w:r w:rsidRPr="001C6EAB">
        <w:rPr>
          <w:rFonts w:cstheme="minorHAnsi"/>
          <w:iCs/>
          <w:lang w:val="fr-FR"/>
        </w:rPr>
        <w:lastRenderedPageBreak/>
        <w:t xml:space="preserve">L’Union européenne a décidé d’appuyer les chantiers de réforme entrepris par le gouvernement Angolais en confiant à Expertise France la mise en œuvre d’une nouvelle assistance technique sur les quatre mêmes thématiques. Le projet AGEPI - </w:t>
      </w:r>
      <w:r w:rsidRPr="001C6EAB">
        <w:rPr>
          <w:rFonts w:cstheme="minorHAnsi"/>
          <w:bCs/>
          <w:iCs/>
          <w:lang w:val="fr-FR"/>
        </w:rPr>
        <w:t xml:space="preserve">Appui à la Gestion des Finances Publiques, Entreprises Publiques, PPP et Inclusion Financière –prend donc la suite des travaux entrepris sous financement AFD. </w:t>
      </w:r>
    </w:p>
    <w:p w14:paraId="4C44171E" w14:textId="15005F7B" w:rsidR="00AF2CDD" w:rsidRPr="001C6EAB" w:rsidRDefault="00AF2CDD" w:rsidP="001C6EAB">
      <w:pPr>
        <w:pStyle w:val="Sansinterligne"/>
        <w:spacing w:before="240" w:after="240" w:line="276" w:lineRule="auto"/>
        <w:ind w:firstLine="180"/>
        <w:jc w:val="both"/>
        <w:rPr>
          <w:rFonts w:cstheme="minorHAnsi"/>
          <w:iCs/>
          <w:lang w:val="fr-FR"/>
        </w:rPr>
      </w:pPr>
      <w:r w:rsidRPr="001C6EAB">
        <w:rPr>
          <w:rFonts w:cstheme="minorHAnsi"/>
          <w:iCs/>
          <w:lang w:val="fr-FR"/>
        </w:rPr>
        <w:t xml:space="preserve">La Direction Nationale des Partenariats Publics-Privés est un acteur central de la gouvernance des PPP, rattachée au Ministère de Plan. Depuis 2022, les experts mobilisés par EF ont accompagné la DNPPP à travers les mission suivantes : </w:t>
      </w:r>
    </w:p>
    <w:p w14:paraId="6B37BE3A" w14:textId="77777777" w:rsidR="00AF2CDD" w:rsidRPr="001C6EAB" w:rsidRDefault="00AF2CDD" w:rsidP="001C6EAB">
      <w:pPr>
        <w:pStyle w:val="Paragraphedeliste"/>
        <w:numPr>
          <w:ilvl w:val="0"/>
          <w:numId w:val="53"/>
        </w:numPr>
        <w:spacing w:before="240" w:after="240" w:line="276" w:lineRule="auto"/>
        <w:rPr>
          <w:rFonts w:asciiTheme="minorHAnsi" w:hAnsiTheme="minorHAnsi" w:cstheme="minorHAnsi"/>
          <w:sz w:val="22"/>
          <w:szCs w:val="22"/>
        </w:rPr>
      </w:pPr>
      <w:r w:rsidRPr="001C6EAB">
        <w:rPr>
          <w:rFonts w:asciiTheme="minorHAnsi" w:hAnsiTheme="minorHAnsi" w:cstheme="minorHAnsi"/>
          <w:sz w:val="22"/>
          <w:szCs w:val="22"/>
        </w:rPr>
        <w:t>Analyse de la législation en matière de PPP, faiblesses pour atteindre les standards internationaux et caractéristiques spécifiques au contexte Angolais ;</w:t>
      </w:r>
    </w:p>
    <w:p w14:paraId="5489993A" w14:textId="77777777" w:rsidR="00AF2CDD" w:rsidRPr="001C6EAB" w:rsidRDefault="00AF2CDD" w:rsidP="001C6EAB">
      <w:pPr>
        <w:pStyle w:val="Paragraphedeliste"/>
        <w:numPr>
          <w:ilvl w:val="0"/>
          <w:numId w:val="53"/>
        </w:numPr>
        <w:spacing w:before="240" w:after="240" w:line="276" w:lineRule="auto"/>
        <w:rPr>
          <w:rFonts w:asciiTheme="minorHAnsi" w:hAnsiTheme="minorHAnsi" w:cstheme="minorHAnsi"/>
          <w:sz w:val="22"/>
          <w:szCs w:val="22"/>
        </w:rPr>
      </w:pPr>
      <w:r w:rsidRPr="001C6EAB">
        <w:rPr>
          <w:rFonts w:asciiTheme="minorHAnsi" w:hAnsiTheme="minorHAnsi" w:cstheme="minorHAnsi"/>
          <w:sz w:val="22"/>
          <w:szCs w:val="22"/>
        </w:rPr>
        <w:t xml:space="preserve">Accompagnement de la DNPPP pour la </w:t>
      </w:r>
      <w:proofErr w:type="spellStart"/>
      <w:r w:rsidRPr="001C6EAB">
        <w:rPr>
          <w:rFonts w:asciiTheme="minorHAnsi" w:hAnsiTheme="minorHAnsi" w:cstheme="minorHAnsi"/>
          <w:sz w:val="22"/>
          <w:szCs w:val="22"/>
        </w:rPr>
        <w:t>co</w:t>
      </w:r>
      <w:proofErr w:type="spellEnd"/>
      <w:r w:rsidRPr="001C6EAB">
        <w:rPr>
          <w:rFonts w:asciiTheme="minorHAnsi" w:hAnsiTheme="minorHAnsi" w:cstheme="minorHAnsi"/>
          <w:sz w:val="22"/>
          <w:szCs w:val="22"/>
        </w:rPr>
        <w:t>-construction et l’amélioration</w:t>
      </w:r>
    </w:p>
    <w:p w14:paraId="3DC81E1D" w14:textId="77777777" w:rsidR="00AF2CDD" w:rsidRPr="001C6EAB" w:rsidRDefault="00AF2CDD" w:rsidP="001C6EAB">
      <w:pPr>
        <w:pStyle w:val="Paragraphedeliste"/>
        <w:numPr>
          <w:ilvl w:val="1"/>
          <w:numId w:val="53"/>
        </w:numPr>
        <w:spacing w:before="240" w:after="240" w:line="276" w:lineRule="auto"/>
        <w:rPr>
          <w:rFonts w:asciiTheme="minorHAnsi" w:hAnsiTheme="minorHAnsi" w:cstheme="minorHAnsi"/>
          <w:sz w:val="22"/>
          <w:szCs w:val="22"/>
        </w:rPr>
      </w:pPr>
      <w:proofErr w:type="gramStart"/>
      <w:r w:rsidRPr="001C6EAB">
        <w:rPr>
          <w:rFonts w:asciiTheme="minorHAnsi" w:hAnsiTheme="minorHAnsi" w:cstheme="minorHAnsi"/>
          <w:sz w:val="22"/>
          <w:szCs w:val="22"/>
        </w:rPr>
        <w:t>d’une</w:t>
      </w:r>
      <w:proofErr w:type="gramEnd"/>
      <w:r w:rsidRPr="001C6EAB">
        <w:rPr>
          <w:rFonts w:asciiTheme="minorHAnsi" w:hAnsiTheme="minorHAnsi" w:cstheme="minorHAnsi"/>
          <w:sz w:val="22"/>
          <w:szCs w:val="22"/>
        </w:rPr>
        <w:t xml:space="preserve"> matrice d’identification, de notation et de priorisation de potentiels projets PPP, </w:t>
      </w:r>
    </w:p>
    <w:p w14:paraId="4138026C" w14:textId="77777777" w:rsidR="00AF2CDD" w:rsidRPr="001C6EAB" w:rsidRDefault="00AF2CDD" w:rsidP="001C6EAB">
      <w:pPr>
        <w:pStyle w:val="Paragraphedeliste"/>
        <w:numPr>
          <w:ilvl w:val="1"/>
          <w:numId w:val="53"/>
        </w:numPr>
        <w:spacing w:before="240" w:after="240" w:line="276" w:lineRule="auto"/>
        <w:rPr>
          <w:rFonts w:asciiTheme="minorHAnsi" w:hAnsiTheme="minorHAnsi" w:cstheme="minorHAnsi"/>
          <w:sz w:val="22"/>
          <w:szCs w:val="22"/>
        </w:rPr>
      </w:pPr>
      <w:proofErr w:type="gramStart"/>
      <w:r w:rsidRPr="001C6EAB">
        <w:rPr>
          <w:rFonts w:asciiTheme="minorHAnsi" w:hAnsiTheme="minorHAnsi" w:cstheme="minorHAnsi"/>
          <w:sz w:val="22"/>
          <w:szCs w:val="22"/>
        </w:rPr>
        <w:t>d’un</w:t>
      </w:r>
      <w:proofErr w:type="gramEnd"/>
      <w:r w:rsidRPr="001C6EAB">
        <w:rPr>
          <w:rFonts w:asciiTheme="minorHAnsi" w:hAnsiTheme="minorHAnsi" w:cstheme="minorHAnsi"/>
          <w:sz w:val="22"/>
          <w:szCs w:val="22"/>
        </w:rPr>
        <w:t xml:space="preserve"> modèle de note de concept des projets.</w:t>
      </w:r>
    </w:p>
    <w:p w14:paraId="1CC1B271" w14:textId="77777777" w:rsidR="00AF2CDD" w:rsidRPr="001C6EAB" w:rsidRDefault="00AF2CDD" w:rsidP="001C6EAB">
      <w:pPr>
        <w:pStyle w:val="Paragraphedeliste"/>
        <w:numPr>
          <w:ilvl w:val="0"/>
          <w:numId w:val="53"/>
        </w:numPr>
        <w:spacing w:before="240" w:after="240" w:line="276" w:lineRule="auto"/>
        <w:rPr>
          <w:rFonts w:asciiTheme="minorHAnsi" w:hAnsiTheme="minorHAnsi" w:cstheme="minorHAnsi"/>
          <w:sz w:val="22"/>
          <w:szCs w:val="22"/>
        </w:rPr>
      </w:pPr>
      <w:r w:rsidRPr="001C6EAB">
        <w:rPr>
          <w:rFonts w:asciiTheme="minorHAnsi" w:hAnsiTheme="minorHAnsi" w:cstheme="minorHAnsi"/>
          <w:sz w:val="22"/>
          <w:szCs w:val="22"/>
        </w:rPr>
        <w:t xml:space="preserve">Appui pour la sélection d’un projet pilote et formation-action sur l’analyse du projet et la conduite d’une étude de </w:t>
      </w:r>
      <w:proofErr w:type="spellStart"/>
      <w:r w:rsidRPr="001C6EAB">
        <w:rPr>
          <w:rFonts w:asciiTheme="minorHAnsi" w:hAnsiTheme="minorHAnsi" w:cstheme="minorHAnsi"/>
          <w:sz w:val="22"/>
          <w:szCs w:val="22"/>
        </w:rPr>
        <w:t>pré-faisabilité</w:t>
      </w:r>
      <w:proofErr w:type="spellEnd"/>
      <w:r w:rsidRPr="001C6EAB">
        <w:rPr>
          <w:rFonts w:asciiTheme="minorHAnsi" w:hAnsiTheme="minorHAnsi" w:cstheme="minorHAnsi"/>
          <w:sz w:val="22"/>
          <w:szCs w:val="22"/>
        </w:rPr>
        <w:t>.</w:t>
      </w:r>
    </w:p>
    <w:p w14:paraId="4DE75E49" w14:textId="77777777" w:rsidR="00AF2CDD" w:rsidRPr="001C6EAB" w:rsidRDefault="00AF2CDD" w:rsidP="001C6EAB">
      <w:pPr>
        <w:pStyle w:val="Sansinterligne"/>
        <w:spacing w:before="240" w:after="240" w:line="276" w:lineRule="auto"/>
        <w:ind w:firstLine="360"/>
        <w:jc w:val="both"/>
        <w:rPr>
          <w:rFonts w:cstheme="minorHAnsi"/>
          <w:iCs/>
          <w:lang w:val="fr-FR"/>
        </w:rPr>
      </w:pPr>
      <w:r w:rsidRPr="001C6EAB">
        <w:rPr>
          <w:rFonts w:cstheme="minorHAnsi"/>
          <w:iCs/>
          <w:lang w:val="fr-FR"/>
        </w:rPr>
        <w:t>Les activités proposées dans le cadre du projet sous financement de l’Union européenne ont été définies pour compléter l’appui détaillé ci-dessus et ainsi accompagner la DNPPP sur l’ensemble des phases du cycle de projet PPP. Il est également proposé d’accompagner d’autres acteurs impliqués dans la gestion des projets PPP, comme le Ministère des Finances et son Cabinet des Etudes et des Relations internationales, impliqué dans l’analyse de l’impact budgétaire des projets ou les Ministères Sectoriels autorités contractantes de certains projets.</w:t>
      </w:r>
    </w:p>
    <w:p w14:paraId="5BDC986F" w14:textId="36390E91" w:rsidR="00CB7AA1" w:rsidRPr="001C6EAB" w:rsidRDefault="00AF2CDD" w:rsidP="001C6EAB">
      <w:pPr>
        <w:spacing w:before="240" w:after="240" w:line="276" w:lineRule="auto"/>
        <w:ind w:firstLine="180"/>
        <w:rPr>
          <w:rFonts w:asciiTheme="minorHAnsi" w:hAnsiTheme="minorHAnsi" w:cstheme="minorHAnsi"/>
          <w:sz w:val="22"/>
          <w:szCs w:val="22"/>
        </w:rPr>
      </w:pPr>
      <w:r w:rsidRPr="001C6EAB">
        <w:rPr>
          <w:rFonts w:asciiTheme="minorHAnsi" w:hAnsiTheme="minorHAnsi" w:cstheme="minorHAnsi"/>
          <w:sz w:val="22"/>
          <w:szCs w:val="22"/>
        </w:rPr>
        <w:t xml:space="preserve">Le Projet AGEPI sera piloté par une chefferie de projet basée à Luanda, appuyé par une équipe de gestion administrative, logistique et financière. La personne en chefferie de projet assurera principalement les missions suivantes : 1. Le pilotage technique du projet 2. Représentation institutionnelle 3. Coordination opérationnelle des activités. </w:t>
      </w:r>
    </w:p>
    <w:p w14:paraId="3D53F620" w14:textId="11244D53" w:rsidR="001D27F6" w:rsidRPr="001C6EAB" w:rsidRDefault="00965444"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94B4389" w14:textId="13934518" w:rsidR="009236DE" w:rsidRPr="00EB3B4C" w:rsidRDefault="001D27F6" w:rsidP="001C6EAB">
      <w:pPr>
        <w:numPr>
          <w:ilvl w:val="1"/>
          <w:numId w:val="14"/>
        </w:numPr>
        <w:tabs>
          <w:tab w:val="clear" w:pos="1440"/>
          <w:tab w:val="num" w:pos="900"/>
        </w:tabs>
        <w:spacing w:before="240" w:after="240" w:line="276" w:lineRule="auto"/>
        <w:ind w:left="900"/>
        <w:jc w:val="both"/>
        <w:rPr>
          <w:rFonts w:ascii="Calibri" w:hAnsi="Calibri"/>
          <w:sz w:val="22"/>
          <w:szCs w:val="22"/>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6E6BACF4" w14:textId="55A958DB" w:rsidR="0098083E" w:rsidRPr="0098083E" w:rsidRDefault="00764357" w:rsidP="001C6EAB">
      <w:pPr>
        <w:spacing w:before="240" w:after="240" w:line="276" w:lineRule="auto"/>
        <w:jc w:val="both"/>
        <w:rPr>
          <w:rFonts w:ascii="Calibri" w:hAnsi="Calibri"/>
          <w:sz w:val="22"/>
          <w:szCs w:val="22"/>
        </w:rPr>
      </w:pPr>
      <w:r w:rsidRPr="00764357">
        <w:rPr>
          <w:rFonts w:ascii="Calibri" w:hAnsi="Calibri"/>
          <w:sz w:val="22"/>
          <w:szCs w:val="22"/>
        </w:rPr>
        <w:t>Améliorer la qualité et la responsabilité du système financier en Angola.</w:t>
      </w:r>
    </w:p>
    <w:p w14:paraId="5E65C1EB" w14:textId="5B386107" w:rsidR="00764357" w:rsidRDefault="001D27F6"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6F2C9B50" w14:textId="179D889F" w:rsidR="00480F9B" w:rsidRPr="001C6EAB" w:rsidRDefault="00480F9B" w:rsidP="001C6EAB">
      <w:pPr>
        <w:spacing w:before="240" w:after="240" w:line="276" w:lineRule="auto"/>
        <w:jc w:val="both"/>
        <w:rPr>
          <w:rFonts w:ascii="Calibri" w:eastAsia="Arial Unicode MS" w:hAnsi="Calibri" w:cs="Arial Unicode MS"/>
          <w:sz w:val="22"/>
          <w:szCs w:val="22"/>
          <w:lang w:eastAsia="en-US"/>
        </w:rPr>
      </w:pPr>
      <w:r w:rsidRPr="00480F9B">
        <w:rPr>
          <w:rFonts w:ascii="Calibri" w:eastAsia="Arial Unicode MS" w:hAnsi="Calibri" w:cs="Arial Unicode MS"/>
          <w:sz w:val="22"/>
          <w:szCs w:val="22"/>
          <w:lang w:eastAsia="en-US"/>
        </w:rPr>
        <w:t>Mettre en œuvre avec succès des mesures macroéconomiques axées sur la stabilité et des réformes clés de la gestion des finances publiques (GFP).</w:t>
      </w:r>
    </w:p>
    <w:p w14:paraId="67692DD6" w14:textId="0015A17A" w:rsidR="00EB3B4C" w:rsidRPr="00EB3B4C" w:rsidRDefault="00EB3B4C" w:rsidP="001C6EAB">
      <w:pPr>
        <w:numPr>
          <w:ilvl w:val="1"/>
          <w:numId w:val="14"/>
        </w:numPr>
        <w:tabs>
          <w:tab w:val="clear" w:pos="1440"/>
          <w:tab w:val="num" w:pos="900"/>
        </w:tabs>
        <w:spacing w:before="240" w:after="240" w:line="276" w:lineRule="auto"/>
        <w:ind w:left="900"/>
        <w:jc w:val="both"/>
        <w:rPr>
          <w:rFonts w:ascii="Calibri" w:hAnsi="Calibri"/>
          <w:sz w:val="22"/>
          <w:szCs w:val="22"/>
        </w:rPr>
      </w:pPr>
      <w:r w:rsidRPr="00D15F32">
        <w:rPr>
          <w:rFonts w:ascii="Calibri" w:eastAsia="Arial Unicode MS" w:hAnsi="Calibri" w:cs="Arial Unicode MS"/>
          <w:b/>
          <w:sz w:val="22"/>
          <w:szCs w:val="22"/>
          <w:lang w:eastAsia="en-US"/>
        </w:rPr>
        <w:t>Résultats à atteindre</w:t>
      </w:r>
    </w:p>
    <w:p w14:paraId="491068C5" w14:textId="77777777" w:rsidR="00EB3B4C" w:rsidRPr="003A3696" w:rsidRDefault="00EB3B4C" w:rsidP="001C6EAB">
      <w:pPr>
        <w:spacing w:before="240" w:after="240" w:line="276" w:lineRule="auto"/>
        <w:jc w:val="both"/>
        <w:rPr>
          <w:rFonts w:ascii="Calibri" w:hAnsi="Calibri"/>
          <w:sz w:val="22"/>
          <w:szCs w:val="22"/>
        </w:rPr>
      </w:pPr>
      <w:r w:rsidRPr="003A3696">
        <w:rPr>
          <w:rFonts w:ascii="Calibri" w:hAnsi="Calibri"/>
          <w:sz w:val="22"/>
          <w:szCs w:val="22"/>
        </w:rPr>
        <w:t>Le renforcement de la gouvernance financière des partenariats public-privé (PPP).</w:t>
      </w:r>
    </w:p>
    <w:p w14:paraId="1C1DD6AD" w14:textId="19DF5A31" w:rsidR="00764357" w:rsidRPr="00764357" w:rsidRDefault="00764357"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lastRenderedPageBreak/>
        <w:t>Activités prévues</w:t>
      </w:r>
    </w:p>
    <w:p w14:paraId="05EC8EC3" w14:textId="178E7D29" w:rsidR="001058F5" w:rsidRDefault="001058F5" w:rsidP="001C6EAB">
      <w:pPr>
        <w:spacing w:before="240" w:after="240" w:line="276" w:lineRule="auto"/>
        <w:ind w:firstLine="540"/>
        <w:jc w:val="both"/>
        <w:rPr>
          <w:rFonts w:ascii="Calibri" w:hAnsi="Calibri" w:cs="Calibri"/>
          <w:sz w:val="22"/>
          <w:szCs w:val="22"/>
        </w:rPr>
      </w:pPr>
      <w:r w:rsidRPr="00861094">
        <w:rPr>
          <w:rFonts w:ascii="Calibri" w:hAnsi="Calibri"/>
          <w:sz w:val="22"/>
          <w:szCs w:val="22"/>
        </w:rPr>
        <w:t>Le</w:t>
      </w:r>
      <w:r>
        <w:rPr>
          <w:rFonts w:ascii="Calibri" w:hAnsi="Calibri"/>
          <w:sz w:val="22"/>
          <w:szCs w:val="22"/>
        </w:rPr>
        <w:t xml:space="preserve"> prestataire devra </w:t>
      </w:r>
      <w:r w:rsidRPr="00861094">
        <w:rPr>
          <w:rFonts w:ascii="Calibri" w:hAnsi="Calibri"/>
          <w:sz w:val="22"/>
          <w:szCs w:val="22"/>
        </w:rPr>
        <w:t xml:space="preserve">accompagner </w:t>
      </w:r>
      <w:r>
        <w:rPr>
          <w:rFonts w:ascii="Calibri" w:hAnsi="Calibri"/>
          <w:sz w:val="22"/>
          <w:szCs w:val="22"/>
        </w:rPr>
        <w:t xml:space="preserve">l’évolution de la composante PPP </w:t>
      </w:r>
      <w:r w:rsidRPr="00861094">
        <w:rPr>
          <w:rFonts w:ascii="Calibri" w:hAnsi="Calibri"/>
          <w:sz w:val="22"/>
          <w:szCs w:val="22"/>
        </w:rPr>
        <w:t>selon la méthodologie</w:t>
      </w:r>
      <w:r>
        <w:rPr>
          <w:rFonts w:ascii="Calibri" w:hAnsi="Calibri"/>
          <w:sz w:val="22"/>
          <w:szCs w:val="22"/>
        </w:rPr>
        <w:t xml:space="preserve"> qui sera définie et adaptée au fur et à mesure de l’assistance technique afin de </w:t>
      </w:r>
      <w:r w:rsidRPr="00861094">
        <w:rPr>
          <w:rFonts w:ascii="Calibri" w:hAnsi="Calibri" w:cs="Calibri"/>
          <w:sz w:val="22"/>
          <w:szCs w:val="22"/>
        </w:rPr>
        <w:t>c</w:t>
      </w:r>
      <w:r w:rsidR="001C6EAB">
        <w:rPr>
          <w:rFonts w:ascii="Calibri" w:hAnsi="Calibri" w:cs="Calibri"/>
          <w:sz w:val="22"/>
          <w:szCs w:val="22"/>
        </w:rPr>
        <w:t xml:space="preserve">onduire les activités suivantes </w:t>
      </w:r>
      <w:r w:rsidRPr="00861094">
        <w:rPr>
          <w:rFonts w:ascii="Calibri" w:hAnsi="Calibri" w:cs="Calibri"/>
          <w:sz w:val="22"/>
          <w:szCs w:val="22"/>
        </w:rPr>
        <w:t>:</w:t>
      </w:r>
    </w:p>
    <w:p w14:paraId="6920EF51" w14:textId="7EE4AF4E" w:rsidR="00764357" w:rsidRPr="005133CE" w:rsidRDefault="00764357" w:rsidP="001C6EAB">
      <w:pPr>
        <w:pStyle w:val="Paragraphedeliste2"/>
        <w:spacing w:before="240" w:after="240" w:line="276" w:lineRule="auto"/>
        <w:ind w:left="0"/>
        <w:contextualSpacing/>
        <w:jc w:val="both"/>
        <w:rPr>
          <w:rFonts w:ascii="Calibri" w:hAnsi="Calibri" w:cs="Calibri"/>
          <w:sz w:val="22"/>
          <w:szCs w:val="22"/>
          <w:u w:val="single"/>
        </w:rPr>
      </w:pPr>
      <w:r w:rsidRPr="00B20F1B">
        <w:rPr>
          <w:rFonts w:ascii="Calibri" w:hAnsi="Calibri" w:cs="Calibri"/>
          <w:sz w:val="22"/>
          <w:szCs w:val="22"/>
          <w:u w:val="single"/>
        </w:rPr>
        <w:t>A</w:t>
      </w:r>
      <w:r w:rsidRPr="005133CE">
        <w:rPr>
          <w:rFonts w:ascii="Calibri" w:hAnsi="Calibri" w:cs="Calibri"/>
          <w:sz w:val="22"/>
          <w:szCs w:val="22"/>
          <w:u w:val="single"/>
        </w:rPr>
        <w:t>ctivité 1 : Support à la création d’une boite à outils pour les PPP</w:t>
      </w:r>
    </w:p>
    <w:p w14:paraId="2672B94E" w14:textId="64973AEA" w:rsidR="00BE437A" w:rsidRPr="00C34CB2" w:rsidRDefault="00BE437A" w:rsidP="00BE437A">
      <w:pPr>
        <w:pStyle w:val="Paragraphedeliste2"/>
        <w:numPr>
          <w:ilvl w:val="0"/>
          <w:numId w:val="49"/>
        </w:numPr>
        <w:spacing w:before="240" w:after="240" w:line="276" w:lineRule="auto"/>
        <w:contextualSpacing/>
        <w:jc w:val="both"/>
        <w:rPr>
          <w:rFonts w:ascii="Calibri" w:hAnsi="Calibri" w:cs="Calibri"/>
          <w:sz w:val="22"/>
          <w:szCs w:val="22"/>
        </w:rPr>
      </w:pPr>
      <w:r w:rsidRPr="00BE437A">
        <w:rPr>
          <w:rFonts w:ascii="Calibri" w:hAnsi="Calibri" w:cs="Calibri"/>
          <w:sz w:val="22"/>
          <w:szCs w:val="22"/>
        </w:rPr>
        <w:t>Poursuivre la mise à jour des critères de la matrice des projets PPP</w:t>
      </w:r>
    </w:p>
    <w:p w14:paraId="5A5CF4F2" w14:textId="77777777"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Continuer à alimenter la base de données de référence des projets PPP,</w:t>
      </w:r>
    </w:p>
    <w:p w14:paraId="3B2DC054" w14:textId="77777777"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Guide du processus PPP complété de considérations écologiques et sociales et de cas pratiques,</w:t>
      </w:r>
    </w:p>
    <w:p w14:paraId="65383D3E" w14:textId="632CD32E"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Outil de modélisation financière interne,</w:t>
      </w:r>
    </w:p>
    <w:p w14:paraId="39924E7D" w14:textId="78D4B1D8"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Modèle d'étude socio-économique et environnementale,</w:t>
      </w:r>
    </w:p>
    <w:p w14:paraId="3CD9D885" w14:textId="77777777"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Outil d'optimisation des ressources – deuxième phase,</w:t>
      </w:r>
    </w:p>
    <w:p w14:paraId="0C542842" w14:textId="2EE6055A"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Outil d'évaluation de la viabilité et des risques budgétaires et de prise en compte des passifs éventuels,</w:t>
      </w:r>
    </w:p>
    <w:p w14:paraId="13991976" w14:textId="77777777"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Modèles et gabarits de contrats et clauses, adaptables aux projets (exemples de dispositions),</w:t>
      </w:r>
    </w:p>
    <w:p w14:paraId="73728128" w14:textId="72F09098" w:rsidR="00764357" w:rsidRPr="00C34CB2" w:rsidRDefault="00764357" w:rsidP="001C6EAB">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 xml:space="preserve">Lignes directrices intégrant le climat </w:t>
      </w:r>
      <w:r w:rsidR="00BE437A">
        <w:rPr>
          <w:rFonts w:ascii="Calibri" w:hAnsi="Calibri" w:cs="Calibri"/>
          <w:sz w:val="22"/>
          <w:szCs w:val="22"/>
        </w:rPr>
        <w:t xml:space="preserve">et la résilience climatique </w:t>
      </w:r>
      <w:r w:rsidRPr="00C34CB2">
        <w:rPr>
          <w:rFonts w:ascii="Calibri" w:hAnsi="Calibri" w:cs="Calibri"/>
          <w:sz w:val="22"/>
          <w:szCs w:val="22"/>
        </w:rPr>
        <w:t>dans le cycle des projets PPP.</w:t>
      </w:r>
    </w:p>
    <w:p w14:paraId="3985A921" w14:textId="77777777" w:rsidR="00BE437A" w:rsidRDefault="00764357" w:rsidP="00BE437A">
      <w:pPr>
        <w:pStyle w:val="Paragraphedeliste2"/>
        <w:numPr>
          <w:ilvl w:val="0"/>
          <w:numId w:val="49"/>
        </w:numPr>
        <w:spacing w:before="240" w:after="240" w:line="276" w:lineRule="auto"/>
        <w:contextualSpacing/>
        <w:jc w:val="both"/>
        <w:rPr>
          <w:rFonts w:ascii="Calibri" w:hAnsi="Calibri" w:cs="Calibri"/>
          <w:sz w:val="22"/>
          <w:szCs w:val="22"/>
        </w:rPr>
      </w:pPr>
      <w:r w:rsidRPr="00C34CB2">
        <w:rPr>
          <w:rFonts w:ascii="Calibri" w:hAnsi="Calibri" w:cs="Calibri"/>
          <w:sz w:val="22"/>
          <w:szCs w:val="22"/>
        </w:rPr>
        <w:t>Guide sur la gestion des PPP qui pourrait être partagé avec les ministères dépensiers.</w:t>
      </w:r>
    </w:p>
    <w:p w14:paraId="47A889B9" w14:textId="77777777" w:rsidR="00BE437A" w:rsidRDefault="00BE437A" w:rsidP="00BE437A">
      <w:pPr>
        <w:pStyle w:val="Paragraphedeliste2"/>
        <w:numPr>
          <w:ilvl w:val="0"/>
          <w:numId w:val="49"/>
        </w:numPr>
        <w:spacing w:before="240" w:after="240" w:line="276" w:lineRule="auto"/>
        <w:contextualSpacing/>
        <w:jc w:val="both"/>
        <w:rPr>
          <w:rFonts w:ascii="Calibri" w:hAnsi="Calibri" w:cs="Calibri"/>
          <w:sz w:val="22"/>
          <w:szCs w:val="22"/>
        </w:rPr>
      </w:pPr>
      <w:r w:rsidRPr="00BE437A">
        <w:rPr>
          <w:rFonts w:ascii="Calibri" w:hAnsi="Calibri" w:cs="Calibri"/>
          <w:sz w:val="22"/>
          <w:szCs w:val="22"/>
        </w:rPr>
        <w:t>Outil d'analyse coûts-bénéfices</w:t>
      </w:r>
    </w:p>
    <w:p w14:paraId="2D8068B9" w14:textId="77777777" w:rsidR="00764357" w:rsidRPr="00BE437A" w:rsidRDefault="00764357" w:rsidP="001C6EAB">
      <w:pPr>
        <w:pStyle w:val="Paragraphedeliste2"/>
        <w:spacing w:before="240" w:after="240" w:line="276" w:lineRule="auto"/>
        <w:ind w:left="0"/>
        <w:contextualSpacing/>
        <w:jc w:val="both"/>
        <w:rPr>
          <w:rFonts w:ascii="Calibri" w:hAnsi="Calibri" w:cs="Calibri"/>
          <w:sz w:val="22"/>
          <w:szCs w:val="22"/>
          <w:lang w:val="en-US"/>
        </w:rPr>
      </w:pPr>
    </w:p>
    <w:p w14:paraId="323E3AC1" w14:textId="77777777" w:rsidR="00764357" w:rsidRPr="00C34CB2" w:rsidRDefault="00764357" w:rsidP="001C6EAB">
      <w:pPr>
        <w:pStyle w:val="Paragraphedeliste2"/>
        <w:spacing w:before="240" w:after="240" w:line="276" w:lineRule="auto"/>
        <w:ind w:left="0"/>
        <w:contextualSpacing/>
        <w:jc w:val="both"/>
        <w:rPr>
          <w:rFonts w:ascii="Calibri" w:hAnsi="Calibri" w:cs="Calibri"/>
          <w:sz w:val="22"/>
          <w:szCs w:val="22"/>
          <w:u w:val="single"/>
        </w:rPr>
      </w:pPr>
      <w:r w:rsidRPr="00C34CB2">
        <w:rPr>
          <w:rFonts w:ascii="Calibri" w:hAnsi="Calibri" w:cs="Calibri"/>
          <w:sz w:val="22"/>
          <w:szCs w:val="22"/>
          <w:u w:val="single"/>
        </w:rPr>
        <w:t>Activité 2 : Support à la réalisation d’études de faisabilité sur le projet pilote</w:t>
      </w:r>
    </w:p>
    <w:p w14:paraId="0A9A8FFE" w14:textId="77777777" w:rsidR="001C6EAB" w:rsidRDefault="00764357" w:rsidP="001C6EAB">
      <w:pPr>
        <w:pStyle w:val="Paragraphedeliste2"/>
        <w:spacing w:before="240" w:after="240" w:line="276" w:lineRule="auto"/>
        <w:ind w:left="0" w:firstLine="708"/>
        <w:contextualSpacing/>
        <w:jc w:val="both"/>
        <w:rPr>
          <w:rFonts w:ascii="Calibri" w:hAnsi="Calibri" w:cs="Calibri"/>
          <w:sz w:val="22"/>
          <w:szCs w:val="22"/>
        </w:rPr>
      </w:pPr>
      <w:r w:rsidRPr="005133CE">
        <w:rPr>
          <w:rFonts w:ascii="Calibri" w:hAnsi="Calibri" w:cs="Calibri"/>
          <w:sz w:val="22"/>
          <w:szCs w:val="22"/>
        </w:rPr>
        <w:t>L'étude de faisabilité comprendra : la réalisation des études juridiques, financières, techniques et socio-environnementales, l'évaluation préliminaire et la soutenabilité budgétaire, la préparation des documents de passation du marché incluant le contrat, puis l'accompagnement à la passation des marchés et à la transaction (négociation et clôture).</w:t>
      </w:r>
    </w:p>
    <w:p w14:paraId="53699E6B" w14:textId="0BD878AF" w:rsidR="00764357" w:rsidRPr="0093153D" w:rsidRDefault="00764357" w:rsidP="001C6EAB">
      <w:pPr>
        <w:pStyle w:val="Paragraphedeliste2"/>
        <w:spacing w:before="240" w:after="240" w:line="276" w:lineRule="auto"/>
        <w:ind w:left="0" w:firstLine="708"/>
        <w:contextualSpacing/>
        <w:jc w:val="both"/>
        <w:rPr>
          <w:rFonts w:ascii="Calibri" w:hAnsi="Calibri" w:cs="Calibri"/>
          <w:sz w:val="22"/>
          <w:szCs w:val="22"/>
        </w:rPr>
      </w:pPr>
      <w:r w:rsidRPr="00781E91">
        <w:rPr>
          <w:rFonts w:ascii="Calibri" w:hAnsi="Calibri" w:cs="Calibri"/>
          <w:sz w:val="22"/>
          <w:szCs w:val="22"/>
        </w:rPr>
        <w:t>L'assistance technique soutiendra la mobilisation de l'expertise sectorielle, financière et juridique nécessaire pour mener l'étude. Si l'étude pilote de préfaisabilité n'est pas concluante, l'assistance technique soutiendra d'autres études de préfaisabilité qui seront sélectionnées dans la liste de classement des projets PPP de la DNPPP.</w:t>
      </w:r>
    </w:p>
    <w:p w14:paraId="15EF5B72" w14:textId="77777777" w:rsidR="00764357" w:rsidRPr="00B33364" w:rsidRDefault="00764357" w:rsidP="001C6EAB">
      <w:pPr>
        <w:pStyle w:val="Paragraphedeliste2"/>
        <w:spacing w:before="240" w:after="240" w:line="276" w:lineRule="auto"/>
        <w:ind w:left="0"/>
        <w:contextualSpacing/>
        <w:jc w:val="both"/>
        <w:rPr>
          <w:rFonts w:ascii="Calibri" w:hAnsi="Calibri" w:cs="Calibri"/>
          <w:sz w:val="22"/>
          <w:szCs w:val="22"/>
        </w:rPr>
      </w:pPr>
    </w:p>
    <w:p w14:paraId="1A93DF76" w14:textId="77777777" w:rsidR="00764357" w:rsidRPr="00C34CB2" w:rsidRDefault="00764357" w:rsidP="001C6EAB">
      <w:pPr>
        <w:pStyle w:val="Paragraphedeliste2"/>
        <w:spacing w:before="240" w:after="240" w:line="276" w:lineRule="auto"/>
        <w:ind w:left="0"/>
        <w:contextualSpacing/>
        <w:jc w:val="both"/>
        <w:rPr>
          <w:rFonts w:ascii="Calibri" w:hAnsi="Calibri" w:cs="Calibri"/>
          <w:sz w:val="22"/>
          <w:szCs w:val="22"/>
          <w:u w:val="single"/>
        </w:rPr>
      </w:pPr>
      <w:r w:rsidRPr="00C34CB2">
        <w:rPr>
          <w:rFonts w:ascii="Calibri" w:hAnsi="Calibri" w:cs="Calibri"/>
          <w:sz w:val="22"/>
          <w:szCs w:val="22"/>
          <w:u w:val="single"/>
        </w:rPr>
        <w:t>Activité 3 : Conception de formations techniques spécifiques aux chefs de projet DN PPP, MINFIN et PPP</w:t>
      </w:r>
    </w:p>
    <w:p w14:paraId="35F06A70" w14:textId="77777777" w:rsidR="00764357" w:rsidRPr="005133CE" w:rsidRDefault="00764357" w:rsidP="001C6EAB">
      <w:pPr>
        <w:pStyle w:val="Paragraphedeliste2"/>
        <w:spacing w:before="240" w:after="240" w:line="276" w:lineRule="auto"/>
        <w:ind w:left="0" w:firstLine="708"/>
        <w:contextualSpacing/>
        <w:jc w:val="both"/>
        <w:rPr>
          <w:rFonts w:ascii="Calibri" w:hAnsi="Calibri" w:cs="Calibri"/>
          <w:sz w:val="22"/>
          <w:szCs w:val="22"/>
        </w:rPr>
      </w:pPr>
      <w:r w:rsidRPr="005133CE">
        <w:rPr>
          <w:rFonts w:ascii="Calibri" w:hAnsi="Calibri" w:cs="Calibri"/>
          <w:sz w:val="22"/>
          <w:szCs w:val="22"/>
        </w:rPr>
        <w:t>Dans le cadre de cette assistance technique, il faudra, au-delà du renforcement des capacités de la DNPP, renforcer les capacités institutionnelles des différents acteurs porteurs du projet.</w:t>
      </w:r>
    </w:p>
    <w:p w14:paraId="3C3618A2" w14:textId="77777777" w:rsidR="001C6EAB" w:rsidRDefault="00764357" w:rsidP="001C6EAB">
      <w:pPr>
        <w:pStyle w:val="Paragraphedeliste2"/>
        <w:spacing w:before="240" w:after="240" w:line="276" w:lineRule="auto"/>
        <w:ind w:left="0"/>
        <w:contextualSpacing/>
        <w:jc w:val="both"/>
        <w:rPr>
          <w:rFonts w:ascii="Calibri" w:hAnsi="Calibri" w:cs="Calibri"/>
          <w:sz w:val="22"/>
          <w:szCs w:val="22"/>
        </w:rPr>
      </w:pPr>
      <w:r w:rsidRPr="00AB0B1D">
        <w:rPr>
          <w:rFonts w:ascii="Calibri" w:hAnsi="Calibri" w:cs="Calibri"/>
          <w:sz w:val="22"/>
          <w:szCs w:val="22"/>
        </w:rPr>
        <w:t xml:space="preserve">Afin de compléter l'accompagnement apporté par la formation sur le terrain, l'Assistance Technique propose de soutenir l'organisation d'une visite d'étude avec les principaux acteurs impliqués dans la gestion des PPP (DNPPP, </w:t>
      </w:r>
      <w:proofErr w:type="spellStart"/>
      <w:r w:rsidRPr="00AB0B1D">
        <w:rPr>
          <w:rFonts w:ascii="Calibri" w:hAnsi="Calibri" w:cs="Calibri"/>
          <w:sz w:val="22"/>
          <w:szCs w:val="22"/>
        </w:rPr>
        <w:t>MinFin</w:t>
      </w:r>
      <w:proofErr w:type="spellEnd"/>
      <w:r w:rsidRPr="00AB0B1D">
        <w:rPr>
          <w:rFonts w:ascii="Calibri" w:hAnsi="Calibri" w:cs="Calibri"/>
          <w:sz w:val="22"/>
          <w:szCs w:val="22"/>
        </w:rPr>
        <w:t>, Ministères de tutelle). L'AT permettra l'organisation de fo</w:t>
      </w:r>
      <w:r w:rsidRPr="00781E91">
        <w:rPr>
          <w:rFonts w:ascii="Calibri" w:hAnsi="Calibri" w:cs="Calibri"/>
          <w:sz w:val="22"/>
          <w:szCs w:val="22"/>
        </w:rPr>
        <w:t>rmations spécifiques et d'un atelier avec ces acteurs.</w:t>
      </w:r>
    </w:p>
    <w:p w14:paraId="49C23788" w14:textId="688E7547" w:rsidR="00764357" w:rsidRPr="008D4DA4" w:rsidRDefault="00764357" w:rsidP="001C6EAB">
      <w:pPr>
        <w:pStyle w:val="Paragraphedeliste2"/>
        <w:spacing w:before="240" w:after="240" w:line="276" w:lineRule="auto"/>
        <w:ind w:left="0" w:firstLine="708"/>
        <w:contextualSpacing/>
        <w:jc w:val="both"/>
        <w:rPr>
          <w:rFonts w:ascii="Calibri" w:hAnsi="Calibri" w:cs="Calibri"/>
          <w:sz w:val="22"/>
          <w:szCs w:val="22"/>
        </w:rPr>
      </w:pPr>
      <w:r w:rsidRPr="0093153D">
        <w:rPr>
          <w:rFonts w:ascii="Calibri" w:hAnsi="Calibri" w:cs="Calibri"/>
          <w:sz w:val="22"/>
          <w:szCs w:val="22"/>
        </w:rPr>
        <w:t>L'activité pourrait inclure le soutien à l'élaboration d'un texte détaillant les modalités de mise en œuvre ou de mise en œuvre de la loi PPP, les étapes d'achèvement, le rôle des pouvoirs adjudicateurs exécutant les projets PPP et celui de la Direction du Budget qui, confor</w:t>
      </w:r>
      <w:r w:rsidRPr="00B33364">
        <w:rPr>
          <w:rFonts w:ascii="Calibri" w:hAnsi="Calibri" w:cs="Calibri"/>
          <w:sz w:val="22"/>
          <w:szCs w:val="22"/>
        </w:rPr>
        <w:t>mément aux meilleures pratiques</w:t>
      </w:r>
      <w:r w:rsidRPr="008D4DA4">
        <w:rPr>
          <w:rFonts w:ascii="Calibri" w:hAnsi="Calibri" w:cs="Calibri"/>
          <w:sz w:val="22"/>
          <w:szCs w:val="22"/>
        </w:rPr>
        <w:t>, doit être un acteur clé.</w:t>
      </w:r>
    </w:p>
    <w:p w14:paraId="3AD9441C" w14:textId="77777777" w:rsidR="00764357" w:rsidRPr="008D4DA4" w:rsidRDefault="00764357" w:rsidP="001C6EAB">
      <w:pPr>
        <w:pStyle w:val="Paragraphedeliste2"/>
        <w:spacing w:before="240" w:after="240" w:line="276" w:lineRule="auto"/>
        <w:ind w:left="0"/>
        <w:contextualSpacing/>
        <w:jc w:val="both"/>
        <w:rPr>
          <w:rFonts w:ascii="Calibri" w:hAnsi="Calibri" w:cs="Calibri"/>
          <w:sz w:val="22"/>
          <w:szCs w:val="22"/>
        </w:rPr>
      </w:pPr>
    </w:p>
    <w:p w14:paraId="3C16A8A2" w14:textId="77777777" w:rsidR="00764357" w:rsidRPr="00C34CB2" w:rsidRDefault="00764357" w:rsidP="001C6EAB">
      <w:pPr>
        <w:pStyle w:val="Paragraphedeliste2"/>
        <w:spacing w:before="240" w:after="240" w:line="276" w:lineRule="auto"/>
        <w:ind w:left="0"/>
        <w:contextualSpacing/>
        <w:jc w:val="both"/>
        <w:rPr>
          <w:rFonts w:ascii="Calibri" w:hAnsi="Calibri" w:cs="Calibri"/>
          <w:sz w:val="22"/>
          <w:szCs w:val="22"/>
          <w:u w:val="single"/>
        </w:rPr>
      </w:pPr>
      <w:r w:rsidRPr="00C34CB2">
        <w:rPr>
          <w:rFonts w:ascii="Calibri" w:hAnsi="Calibri" w:cs="Calibri"/>
          <w:sz w:val="22"/>
          <w:szCs w:val="22"/>
          <w:u w:val="single"/>
        </w:rPr>
        <w:t>Activité 4 : Appui à l’intégration du cadre de gouvernance des PPP</w:t>
      </w:r>
    </w:p>
    <w:p w14:paraId="4C502D1C" w14:textId="77777777" w:rsidR="00764357" w:rsidRPr="00AB0B1D" w:rsidRDefault="00764357" w:rsidP="001C6EAB">
      <w:pPr>
        <w:pStyle w:val="Paragraphedeliste2"/>
        <w:spacing w:before="240" w:after="240" w:line="276" w:lineRule="auto"/>
        <w:ind w:left="0" w:firstLine="360"/>
        <w:contextualSpacing/>
        <w:jc w:val="both"/>
        <w:rPr>
          <w:rFonts w:ascii="Calibri" w:hAnsi="Calibri" w:cs="Calibri"/>
          <w:sz w:val="22"/>
          <w:szCs w:val="22"/>
        </w:rPr>
      </w:pPr>
      <w:r w:rsidRPr="005133CE">
        <w:rPr>
          <w:rFonts w:ascii="Calibri" w:hAnsi="Calibri" w:cs="Calibri"/>
          <w:sz w:val="22"/>
          <w:szCs w:val="22"/>
        </w:rPr>
        <w:t>Les nouveaux projets de concession (déjà initiés lors de la loi PPP de 2019, ou initiés depuis) ​​continuent d'être menés avec des moyens limités au cadre fixé par la loi et ses décrets annexés.</w:t>
      </w:r>
    </w:p>
    <w:p w14:paraId="3ADF7858" w14:textId="77777777" w:rsidR="00764357" w:rsidRPr="0093153D" w:rsidRDefault="00764357" w:rsidP="001C6EAB">
      <w:pPr>
        <w:pStyle w:val="Paragraphedeliste2"/>
        <w:numPr>
          <w:ilvl w:val="0"/>
          <w:numId w:val="50"/>
        </w:numPr>
        <w:spacing w:before="240" w:after="240" w:line="276" w:lineRule="auto"/>
        <w:contextualSpacing/>
        <w:jc w:val="both"/>
        <w:rPr>
          <w:rFonts w:ascii="Calibri" w:hAnsi="Calibri" w:cs="Calibri"/>
          <w:sz w:val="22"/>
          <w:szCs w:val="22"/>
        </w:rPr>
      </w:pPr>
      <w:r w:rsidRPr="00AB0B1D">
        <w:rPr>
          <w:rFonts w:ascii="Calibri" w:hAnsi="Calibri" w:cs="Calibri"/>
          <w:sz w:val="22"/>
          <w:szCs w:val="22"/>
        </w:rPr>
        <w:t>Sensibilisation au cadre de gouvernance des PPP : L'AT soutiendra l'organisation de séances de sensibilisation pour l</w:t>
      </w:r>
      <w:r w:rsidRPr="00781E91">
        <w:rPr>
          <w:rFonts w:ascii="Calibri" w:hAnsi="Calibri" w:cs="Calibri"/>
          <w:sz w:val="22"/>
          <w:szCs w:val="22"/>
        </w:rPr>
        <w:t>es membres du comité interministériel (avec les principaux ministères concernés) sur le cadre de gouvernance des PPP. Le contenu comprendra les concepts de base du PPP, le rôle du DN PPP et la structure globale de gouvernance. Cette activité comprend égale</w:t>
      </w:r>
      <w:r w:rsidRPr="0093153D">
        <w:rPr>
          <w:rFonts w:ascii="Calibri" w:hAnsi="Calibri" w:cs="Calibri"/>
          <w:sz w:val="22"/>
          <w:szCs w:val="22"/>
        </w:rPr>
        <w:t>ment l'accompagnement du DNPPP dans ses actions de communication institutionnelle auprès des ministères de tutelle (Présentation du processus de planification des PPP, etc.).</w:t>
      </w:r>
    </w:p>
    <w:p w14:paraId="5C4C424F" w14:textId="26EFF4FF" w:rsidR="00FC27B0" w:rsidRDefault="00764357" w:rsidP="001C6EAB">
      <w:pPr>
        <w:pStyle w:val="Paragraphedeliste2"/>
        <w:numPr>
          <w:ilvl w:val="0"/>
          <w:numId w:val="50"/>
        </w:numPr>
        <w:spacing w:before="240" w:after="240" w:line="276" w:lineRule="auto"/>
        <w:contextualSpacing/>
        <w:jc w:val="both"/>
        <w:rPr>
          <w:rFonts w:ascii="Calibri" w:hAnsi="Calibri" w:cs="Calibri"/>
          <w:sz w:val="22"/>
          <w:szCs w:val="22"/>
        </w:rPr>
      </w:pPr>
      <w:r w:rsidRPr="00B33364">
        <w:rPr>
          <w:rFonts w:ascii="Calibri" w:hAnsi="Calibri" w:cs="Calibri"/>
          <w:sz w:val="22"/>
          <w:szCs w:val="22"/>
        </w:rPr>
        <w:t xml:space="preserve">Appui à l'opérationnalisation du cadre de gouvernance des PPP : La législation sur les PPP définit le modèle global de gouvernance des PPP en Angola. Cependant, la législation ne définit pas l'application opérationnelle de la loi. Ainsi, une expertise juridique sera mobilisée pour travailler avec le </w:t>
      </w:r>
      <w:r w:rsidRPr="008D4DA4">
        <w:rPr>
          <w:rFonts w:ascii="Calibri" w:hAnsi="Calibri" w:cs="Calibri"/>
          <w:sz w:val="22"/>
          <w:szCs w:val="22"/>
        </w:rPr>
        <w:t>DNPPP sur la traduction de la législation dans le fonctionnement de l’organe de gouvernance du PPP.</w:t>
      </w:r>
    </w:p>
    <w:p w14:paraId="5E9694C8" w14:textId="0DC3E33F" w:rsidR="007B0B73" w:rsidRPr="001C6EAB" w:rsidRDefault="007B0B73" w:rsidP="007B0B73">
      <w:pPr>
        <w:pStyle w:val="Paragraphedeliste2"/>
        <w:numPr>
          <w:ilvl w:val="0"/>
          <w:numId w:val="50"/>
        </w:numPr>
        <w:spacing w:before="240" w:after="240" w:line="276" w:lineRule="auto"/>
        <w:contextualSpacing/>
        <w:jc w:val="both"/>
        <w:rPr>
          <w:rFonts w:ascii="Calibri" w:hAnsi="Calibri" w:cs="Calibri"/>
          <w:sz w:val="22"/>
          <w:szCs w:val="22"/>
        </w:rPr>
      </w:pPr>
      <w:r>
        <w:rPr>
          <w:rFonts w:ascii="Calibri" w:hAnsi="Calibri" w:cs="Calibri"/>
          <w:sz w:val="22"/>
          <w:szCs w:val="22"/>
        </w:rPr>
        <w:t>R</w:t>
      </w:r>
      <w:r w:rsidRPr="007B0B73">
        <w:rPr>
          <w:rFonts w:ascii="Calibri" w:hAnsi="Calibri" w:cs="Calibri"/>
          <w:sz w:val="22"/>
          <w:szCs w:val="22"/>
        </w:rPr>
        <w:t>enforcement des capacités des ministères de tutelle et des autres parties prenantes des PPP dans les domaines suivants</w:t>
      </w:r>
      <w:r>
        <w:rPr>
          <w:rFonts w:ascii="Calibri" w:hAnsi="Calibri" w:cs="Calibri"/>
          <w:sz w:val="22"/>
          <w:szCs w:val="22"/>
        </w:rPr>
        <w:t>.</w:t>
      </w:r>
    </w:p>
    <w:p w14:paraId="2F18E5D2" w14:textId="77777777" w:rsidR="00965444" w:rsidRPr="00D15F32" w:rsidRDefault="00965444"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2BE17D43" w14:textId="77777777" w:rsidR="00965444" w:rsidRPr="00D15F32" w:rsidRDefault="00965444"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0D354A68" w14:textId="6FF99440" w:rsidR="007D410B" w:rsidRDefault="007D410B" w:rsidP="001C6EAB">
      <w:pPr>
        <w:spacing w:before="240" w:after="240" w:line="276" w:lineRule="auto"/>
        <w:ind w:firstLine="360"/>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Nous prévoyons deux grands types de livrables </w:t>
      </w:r>
      <w:bookmarkStart w:id="0" w:name="_GoBack"/>
      <w:bookmarkEnd w:id="0"/>
      <w:r>
        <w:rPr>
          <w:rFonts w:ascii="Calibri" w:eastAsia="Arial Unicode MS" w:hAnsi="Calibri" w:cs="Arial Unicode MS"/>
          <w:sz w:val="22"/>
          <w:szCs w:val="22"/>
          <w:lang w:eastAsia="en-US"/>
        </w:rPr>
        <w:t>:</w:t>
      </w:r>
    </w:p>
    <w:p w14:paraId="76F01D43" w14:textId="77777777" w:rsidR="007D410B" w:rsidRDefault="007D410B" w:rsidP="001C6EAB">
      <w:pPr>
        <w:pStyle w:val="Paragraphedeliste"/>
        <w:numPr>
          <w:ilvl w:val="0"/>
          <w:numId w:val="52"/>
        </w:numPr>
        <w:spacing w:before="240" w:after="240" w:line="276" w:lineRule="auto"/>
        <w:jc w:val="both"/>
        <w:rPr>
          <w:rFonts w:ascii="Calibri" w:eastAsia="Arial Unicode MS" w:hAnsi="Calibri" w:cs="Arial Unicode MS"/>
          <w:sz w:val="22"/>
          <w:szCs w:val="22"/>
          <w:lang w:eastAsia="en-US"/>
        </w:rPr>
      </w:pPr>
      <w:r w:rsidRPr="001C6EAB">
        <w:rPr>
          <w:rFonts w:ascii="Calibri" w:eastAsia="Arial Unicode MS" w:hAnsi="Calibri" w:cs="Arial Unicode MS"/>
          <w:b/>
          <w:sz w:val="22"/>
          <w:szCs w:val="22"/>
          <w:lang w:eastAsia="en-US"/>
        </w:rPr>
        <w:t>Des l</w:t>
      </w:r>
      <w:r w:rsidR="00AB0B1D" w:rsidRPr="001C6EAB">
        <w:rPr>
          <w:rFonts w:ascii="Calibri" w:eastAsia="Arial Unicode MS" w:hAnsi="Calibri" w:cs="Arial Unicode MS"/>
          <w:b/>
          <w:sz w:val="22"/>
          <w:szCs w:val="22"/>
          <w:lang w:eastAsia="en-US"/>
        </w:rPr>
        <w:t>ivrables réguliers</w:t>
      </w:r>
      <w:r w:rsidR="00AB0B1D" w:rsidRPr="00480F9B">
        <w:rPr>
          <w:rFonts w:ascii="Calibri" w:eastAsia="Arial Unicode MS" w:hAnsi="Calibri" w:cs="Arial Unicode MS"/>
          <w:sz w:val="22"/>
          <w:szCs w:val="22"/>
          <w:lang w:eastAsia="en-US"/>
        </w:rPr>
        <w:t> :</w:t>
      </w:r>
      <w:r>
        <w:rPr>
          <w:rFonts w:ascii="Calibri" w:eastAsia="Arial Unicode MS" w:hAnsi="Calibri" w:cs="Arial Unicode MS"/>
          <w:sz w:val="22"/>
          <w:szCs w:val="22"/>
          <w:lang w:eastAsia="en-US"/>
        </w:rPr>
        <w:t xml:space="preserve"> </w:t>
      </w:r>
    </w:p>
    <w:p w14:paraId="3B8B94F1" w14:textId="133F3613" w:rsidR="007D410B" w:rsidRDefault="00EB3B4C" w:rsidP="001C6EAB">
      <w:pPr>
        <w:pStyle w:val="Paragraphedeliste"/>
        <w:numPr>
          <w:ilvl w:val="1"/>
          <w:numId w:val="52"/>
        </w:numPr>
        <w:spacing w:before="240" w:after="240"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Des</w:t>
      </w:r>
      <w:r w:rsidR="00AB0B1D" w:rsidRPr="00480F9B">
        <w:rPr>
          <w:rFonts w:ascii="Calibri" w:eastAsia="Arial Unicode MS" w:hAnsi="Calibri" w:cs="Arial Unicode MS"/>
          <w:sz w:val="22"/>
          <w:szCs w:val="22"/>
          <w:lang w:eastAsia="en-US"/>
        </w:rPr>
        <w:t xml:space="preserve"> rapport</w:t>
      </w:r>
      <w:r>
        <w:rPr>
          <w:rFonts w:ascii="Calibri" w:eastAsia="Arial Unicode MS" w:hAnsi="Calibri" w:cs="Arial Unicode MS"/>
          <w:sz w:val="22"/>
          <w:szCs w:val="22"/>
          <w:lang w:eastAsia="en-US"/>
        </w:rPr>
        <w:t>s</w:t>
      </w:r>
      <w:r w:rsidR="00AB0B1D" w:rsidRPr="00480F9B">
        <w:rPr>
          <w:rFonts w:ascii="Calibri" w:eastAsia="Arial Unicode MS" w:hAnsi="Calibri" w:cs="Arial Unicode MS"/>
          <w:sz w:val="22"/>
          <w:szCs w:val="22"/>
          <w:lang w:eastAsia="en-US"/>
        </w:rPr>
        <w:t xml:space="preserve"> d’avancement </w:t>
      </w:r>
      <w:r w:rsidR="007D410B">
        <w:rPr>
          <w:rFonts w:ascii="Calibri" w:eastAsia="Arial Unicode MS" w:hAnsi="Calibri" w:cs="Arial Unicode MS"/>
          <w:sz w:val="22"/>
          <w:szCs w:val="22"/>
          <w:lang w:eastAsia="en-US"/>
        </w:rPr>
        <w:t>de</w:t>
      </w:r>
      <w:r w:rsidR="00E37F23">
        <w:rPr>
          <w:rFonts w:ascii="Calibri" w:eastAsia="Arial Unicode MS" w:hAnsi="Calibri" w:cs="Arial Unicode MS"/>
          <w:sz w:val="22"/>
          <w:szCs w:val="22"/>
          <w:lang w:eastAsia="en-US"/>
        </w:rPr>
        <w:t>s</w:t>
      </w:r>
      <w:r w:rsidR="007D410B">
        <w:rPr>
          <w:rFonts w:ascii="Calibri" w:eastAsia="Arial Unicode MS" w:hAnsi="Calibri" w:cs="Arial Unicode MS"/>
          <w:sz w:val="22"/>
          <w:szCs w:val="22"/>
          <w:lang w:eastAsia="en-US"/>
        </w:rPr>
        <w:t xml:space="preserve"> </w:t>
      </w:r>
      <w:r w:rsidR="00E37F23">
        <w:rPr>
          <w:rFonts w:ascii="Calibri" w:eastAsia="Arial Unicode MS" w:hAnsi="Calibri" w:cs="Arial Unicode MS"/>
          <w:sz w:val="22"/>
          <w:szCs w:val="22"/>
          <w:lang w:eastAsia="en-US"/>
        </w:rPr>
        <w:t xml:space="preserve">activités de la composante </w:t>
      </w:r>
      <w:r w:rsidR="00AB0B1D" w:rsidRPr="00480F9B">
        <w:rPr>
          <w:rFonts w:ascii="Calibri" w:eastAsia="Arial Unicode MS" w:hAnsi="Calibri" w:cs="Arial Unicode MS"/>
          <w:sz w:val="22"/>
          <w:szCs w:val="22"/>
          <w:lang w:eastAsia="en-US"/>
        </w:rPr>
        <w:t xml:space="preserve">tous les </w:t>
      </w:r>
      <w:r w:rsidR="007D410B">
        <w:rPr>
          <w:rFonts w:ascii="Calibri" w:eastAsia="Arial Unicode MS" w:hAnsi="Calibri" w:cs="Arial Unicode MS"/>
          <w:sz w:val="22"/>
          <w:szCs w:val="22"/>
          <w:lang w:eastAsia="en-US"/>
        </w:rPr>
        <w:t>six</w:t>
      </w:r>
      <w:r w:rsidR="00AB0B1D" w:rsidRPr="00480F9B">
        <w:rPr>
          <w:rFonts w:ascii="Calibri" w:eastAsia="Arial Unicode MS" w:hAnsi="Calibri" w:cs="Arial Unicode MS"/>
          <w:sz w:val="22"/>
          <w:szCs w:val="22"/>
          <w:lang w:eastAsia="en-US"/>
        </w:rPr>
        <w:t xml:space="preserve"> mois</w:t>
      </w:r>
      <w:r w:rsidR="007D410B">
        <w:rPr>
          <w:rFonts w:ascii="Calibri" w:eastAsia="Arial Unicode MS" w:hAnsi="Calibri" w:cs="Arial Unicode MS"/>
          <w:sz w:val="22"/>
          <w:szCs w:val="22"/>
          <w:lang w:eastAsia="en-US"/>
        </w:rPr>
        <w:t> </w:t>
      </w:r>
      <w:r w:rsidR="007D410B" w:rsidRPr="0093153D">
        <w:rPr>
          <w:rFonts w:ascii="Calibri" w:eastAsia="Arial Unicode MS" w:hAnsi="Calibri" w:cs="Arial Unicode MS"/>
          <w:sz w:val="22"/>
          <w:szCs w:val="22"/>
          <w:lang w:eastAsia="en-US"/>
        </w:rPr>
        <w:t>;</w:t>
      </w:r>
    </w:p>
    <w:p w14:paraId="5C7A2464" w14:textId="41069408" w:rsidR="007D410B" w:rsidRDefault="007D410B" w:rsidP="001C6EAB">
      <w:pPr>
        <w:pStyle w:val="Paragraphedeliste"/>
        <w:numPr>
          <w:ilvl w:val="1"/>
          <w:numId w:val="52"/>
        </w:numPr>
        <w:spacing w:before="240" w:after="240"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U</w:t>
      </w:r>
      <w:r w:rsidR="00AB0B1D" w:rsidRPr="00480F9B">
        <w:rPr>
          <w:rFonts w:ascii="Calibri" w:eastAsia="Arial Unicode MS" w:hAnsi="Calibri" w:cs="Arial Unicode MS"/>
          <w:sz w:val="22"/>
          <w:szCs w:val="22"/>
          <w:lang w:eastAsia="en-US"/>
        </w:rPr>
        <w:t xml:space="preserve">n rapport de démarrage </w:t>
      </w:r>
      <w:r w:rsidR="00E37F23">
        <w:rPr>
          <w:rFonts w:ascii="Calibri" w:eastAsia="Arial Unicode MS" w:hAnsi="Calibri" w:cs="Arial Unicode MS"/>
          <w:sz w:val="22"/>
          <w:szCs w:val="22"/>
          <w:lang w:eastAsia="en-US"/>
        </w:rPr>
        <w:t xml:space="preserve">centré sur la composante </w:t>
      </w:r>
      <w:r w:rsidRPr="0093153D">
        <w:rPr>
          <w:rFonts w:ascii="Calibri" w:eastAsia="Arial Unicode MS" w:hAnsi="Calibri" w:cs="Arial Unicode MS"/>
          <w:sz w:val="22"/>
          <w:szCs w:val="22"/>
          <w:lang w:eastAsia="en-US"/>
        </w:rPr>
        <w:t>quatre</w:t>
      </w:r>
      <w:r w:rsidR="00AB0B1D" w:rsidRPr="00480F9B">
        <w:rPr>
          <w:rFonts w:ascii="Calibri" w:eastAsia="Arial Unicode MS" w:hAnsi="Calibri" w:cs="Arial Unicode MS"/>
          <w:sz w:val="22"/>
          <w:szCs w:val="22"/>
          <w:lang w:eastAsia="en-US"/>
        </w:rPr>
        <w:t xml:space="preserve"> mois après le début du projet </w:t>
      </w:r>
      <w:r>
        <w:rPr>
          <w:rFonts w:ascii="Calibri" w:eastAsia="Arial Unicode MS" w:hAnsi="Calibri" w:cs="Arial Unicode MS"/>
          <w:sz w:val="22"/>
          <w:szCs w:val="22"/>
          <w:lang w:eastAsia="en-US"/>
        </w:rPr>
        <w:t>de l’assistance technique ;</w:t>
      </w:r>
    </w:p>
    <w:p w14:paraId="39243649" w14:textId="45945114" w:rsidR="007D410B" w:rsidRDefault="007D410B" w:rsidP="001C6EAB">
      <w:pPr>
        <w:pStyle w:val="Paragraphedeliste"/>
        <w:numPr>
          <w:ilvl w:val="1"/>
          <w:numId w:val="52"/>
        </w:numPr>
        <w:spacing w:before="240" w:after="240"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U</w:t>
      </w:r>
      <w:r w:rsidR="00AB0B1D" w:rsidRPr="00480F9B">
        <w:rPr>
          <w:rFonts w:ascii="Calibri" w:eastAsia="Arial Unicode MS" w:hAnsi="Calibri" w:cs="Arial Unicode MS"/>
          <w:sz w:val="22"/>
          <w:szCs w:val="22"/>
          <w:lang w:eastAsia="en-US"/>
        </w:rPr>
        <w:t>n rapport final</w:t>
      </w:r>
      <w:r w:rsidR="00E37F23">
        <w:rPr>
          <w:rFonts w:ascii="Calibri" w:eastAsia="Arial Unicode MS" w:hAnsi="Calibri" w:cs="Arial Unicode MS"/>
          <w:sz w:val="22"/>
          <w:szCs w:val="22"/>
          <w:lang w:eastAsia="en-US"/>
        </w:rPr>
        <w:t xml:space="preserve"> centré sur la composante</w:t>
      </w:r>
      <w:r w:rsidR="00AB0B1D" w:rsidRPr="00480F9B">
        <w:rPr>
          <w:rFonts w:ascii="Calibri" w:eastAsia="Arial Unicode MS" w:hAnsi="Calibri" w:cs="Arial Unicode MS"/>
          <w:sz w:val="22"/>
          <w:szCs w:val="22"/>
          <w:lang w:eastAsia="en-US"/>
        </w:rPr>
        <w:t xml:space="preserve"> </w:t>
      </w:r>
      <w:r>
        <w:rPr>
          <w:rFonts w:ascii="Calibri" w:eastAsia="Arial Unicode MS" w:hAnsi="Calibri" w:cs="Arial Unicode MS"/>
          <w:sz w:val="22"/>
          <w:szCs w:val="22"/>
          <w:lang w:eastAsia="en-US"/>
        </w:rPr>
        <w:t>de l’assistance technique ;</w:t>
      </w:r>
    </w:p>
    <w:p w14:paraId="2CF60E6F" w14:textId="299A52C5" w:rsidR="007D410B" w:rsidRDefault="007D410B" w:rsidP="001C6EAB">
      <w:pPr>
        <w:pStyle w:val="Paragraphedeliste"/>
        <w:numPr>
          <w:ilvl w:val="1"/>
          <w:numId w:val="52"/>
        </w:numPr>
        <w:spacing w:before="240" w:after="240"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U</w:t>
      </w:r>
      <w:r w:rsidR="00AB0B1D" w:rsidRPr="00480F9B">
        <w:rPr>
          <w:rFonts w:ascii="Calibri" w:eastAsia="Arial Unicode MS" w:hAnsi="Calibri" w:cs="Arial Unicode MS"/>
          <w:sz w:val="22"/>
          <w:szCs w:val="22"/>
          <w:lang w:eastAsia="en-US"/>
        </w:rPr>
        <w:t xml:space="preserve">n </w:t>
      </w:r>
      <w:r w:rsidRPr="0093153D">
        <w:rPr>
          <w:rFonts w:ascii="Calibri" w:eastAsia="Arial Unicode MS" w:hAnsi="Calibri" w:cs="Arial Unicode MS"/>
          <w:sz w:val="22"/>
          <w:szCs w:val="22"/>
          <w:lang w:eastAsia="en-US"/>
        </w:rPr>
        <w:t>compte-rendu</w:t>
      </w:r>
      <w:r w:rsidR="00AB0B1D" w:rsidRPr="00480F9B">
        <w:rPr>
          <w:rFonts w:ascii="Calibri" w:eastAsia="Arial Unicode MS" w:hAnsi="Calibri" w:cs="Arial Unicode MS"/>
          <w:sz w:val="22"/>
          <w:szCs w:val="22"/>
          <w:lang w:eastAsia="en-US"/>
        </w:rPr>
        <w:t xml:space="preserve"> pour chaque mission </w:t>
      </w:r>
      <w:r>
        <w:rPr>
          <w:rFonts w:ascii="Calibri" w:eastAsia="Arial Unicode MS" w:hAnsi="Calibri" w:cs="Arial Unicode MS"/>
          <w:sz w:val="22"/>
          <w:szCs w:val="22"/>
          <w:lang w:eastAsia="en-US"/>
        </w:rPr>
        <w:t xml:space="preserve">menée présentant les </w:t>
      </w:r>
      <w:r w:rsidRPr="007D410B">
        <w:rPr>
          <w:rFonts w:ascii="Calibri" w:eastAsia="Arial Unicode MS" w:hAnsi="Calibri" w:cs="Arial Unicode MS"/>
          <w:sz w:val="22"/>
          <w:szCs w:val="22"/>
          <w:lang w:eastAsia="en-US"/>
        </w:rPr>
        <w:t xml:space="preserve">principales observations lors des réunions, </w:t>
      </w:r>
      <w:r>
        <w:rPr>
          <w:rFonts w:ascii="Calibri" w:eastAsia="Arial Unicode MS" w:hAnsi="Calibri" w:cs="Arial Unicode MS"/>
          <w:sz w:val="22"/>
          <w:szCs w:val="22"/>
          <w:lang w:eastAsia="en-US"/>
        </w:rPr>
        <w:t xml:space="preserve">les </w:t>
      </w:r>
      <w:r w:rsidRPr="007D410B">
        <w:rPr>
          <w:rFonts w:ascii="Calibri" w:eastAsia="Arial Unicode MS" w:hAnsi="Calibri" w:cs="Arial Unicode MS"/>
          <w:sz w:val="22"/>
          <w:szCs w:val="22"/>
          <w:lang w:eastAsia="en-US"/>
        </w:rPr>
        <w:t>éventuelles difficultés rencontrées</w:t>
      </w:r>
      <w:r>
        <w:rPr>
          <w:rFonts w:ascii="Calibri" w:eastAsia="Arial Unicode MS" w:hAnsi="Calibri" w:cs="Arial Unicode MS"/>
          <w:sz w:val="22"/>
          <w:szCs w:val="22"/>
          <w:lang w:eastAsia="en-US"/>
        </w:rPr>
        <w:t>, les résultats attendus</w:t>
      </w:r>
      <w:r w:rsidRPr="007D410B">
        <w:rPr>
          <w:rFonts w:ascii="Calibri" w:eastAsia="Arial Unicode MS" w:hAnsi="Calibri" w:cs="Arial Unicode MS"/>
          <w:sz w:val="22"/>
          <w:szCs w:val="22"/>
          <w:lang w:eastAsia="en-US"/>
        </w:rPr>
        <w:t xml:space="preserve"> et </w:t>
      </w:r>
      <w:r>
        <w:rPr>
          <w:rFonts w:ascii="Calibri" w:eastAsia="Arial Unicode MS" w:hAnsi="Calibri" w:cs="Arial Unicode MS"/>
          <w:sz w:val="22"/>
          <w:szCs w:val="22"/>
          <w:lang w:eastAsia="en-US"/>
        </w:rPr>
        <w:t xml:space="preserve">les </w:t>
      </w:r>
      <w:r w:rsidRPr="007D410B">
        <w:rPr>
          <w:rFonts w:ascii="Calibri" w:eastAsia="Arial Unicode MS" w:hAnsi="Calibri" w:cs="Arial Unicode MS"/>
          <w:sz w:val="22"/>
          <w:szCs w:val="22"/>
          <w:lang w:eastAsia="en-US"/>
        </w:rPr>
        <w:t>propositions</w:t>
      </w:r>
      <w:r>
        <w:rPr>
          <w:rFonts w:ascii="Calibri" w:eastAsia="Arial Unicode MS" w:hAnsi="Calibri" w:cs="Arial Unicode MS"/>
          <w:sz w:val="22"/>
          <w:szCs w:val="22"/>
          <w:lang w:eastAsia="en-US"/>
        </w:rPr>
        <w:t>/objectifs</w:t>
      </w:r>
      <w:r w:rsidRPr="007D410B">
        <w:rPr>
          <w:rFonts w:ascii="Calibri" w:eastAsia="Arial Unicode MS" w:hAnsi="Calibri" w:cs="Arial Unicode MS"/>
          <w:sz w:val="22"/>
          <w:szCs w:val="22"/>
          <w:lang w:eastAsia="en-US"/>
        </w:rPr>
        <w:t xml:space="preserve"> pour les prochaines étapes</w:t>
      </w:r>
      <w:r>
        <w:rPr>
          <w:rFonts w:ascii="Calibri" w:eastAsia="Arial Unicode MS" w:hAnsi="Calibri" w:cs="Arial Unicode MS"/>
          <w:sz w:val="22"/>
          <w:szCs w:val="22"/>
          <w:lang w:eastAsia="en-US"/>
        </w:rPr>
        <w:t>.</w:t>
      </w:r>
    </w:p>
    <w:p w14:paraId="3CC8A15A" w14:textId="3F804D76" w:rsidR="00E37F23" w:rsidRPr="001C6EAB" w:rsidRDefault="007D410B" w:rsidP="001C6EAB">
      <w:pPr>
        <w:pStyle w:val="Paragraphedeliste"/>
        <w:numPr>
          <w:ilvl w:val="0"/>
          <w:numId w:val="52"/>
        </w:numPr>
        <w:spacing w:before="240" w:after="240" w:line="276" w:lineRule="auto"/>
        <w:jc w:val="both"/>
        <w:rPr>
          <w:rFonts w:ascii="Calibri" w:eastAsia="Arial Unicode MS" w:hAnsi="Calibri" w:cs="Arial Unicode MS"/>
          <w:sz w:val="22"/>
          <w:szCs w:val="22"/>
          <w:lang w:eastAsia="en-US"/>
        </w:rPr>
      </w:pPr>
      <w:r w:rsidRPr="001C6EAB">
        <w:rPr>
          <w:rFonts w:ascii="Calibri" w:eastAsia="Arial Unicode MS" w:hAnsi="Calibri" w:cs="Arial Unicode MS"/>
          <w:b/>
          <w:sz w:val="22"/>
          <w:szCs w:val="22"/>
          <w:lang w:eastAsia="en-US"/>
        </w:rPr>
        <w:t>Des l</w:t>
      </w:r>
      <w:r w:rsidR="00AB0B1D" w:rsidRPr="001C6EAB">
        <w:rPr>
          <w:rFonts w:ascii="Calibri" w:eastAsia="Arial Unicode MS" w:hAnsi="Calibri" w:cs="Arial Unicode MS"/>
          <w:b/>
          <w:sz w:val="22"/>
          <w:szCs w:val="22"/>
          <w:lang w:eastAsia="en-US"/>
        </w:rPr>
        <w:t>ivrables techniques</w:t>
      </w:r>
      <w:r w:rsidR="00AB0B1D" w:rsidRPr="00480F9B">
        <w:rPr>
          <w:rFonts w:ascii="Calibri" w:eastAsia="Arial Unicode MS" w:hAnsi="Calibri" w:cs="Arial Unicode MS"/>
          <w:sz w:val="22"/>
          <w:szCs w:val="22"/>
          <w:lang w:eastAsia="en-US"/>
        </w:rPr>
        <w:t> : seront détaillés dans les programmes de travail annuels de chaque composante.</w:t>
      </w:r>
    </w:p>
    <w:tbl>
      <w:tblPr>
        <w:tblStyle w:val="Grilledutableau"/>
        <w:tblW w:w="0" w:type="auto"/>
        <w:tblInd w:w="360" w:type="dxa"/>
        <w:tblLook w:val="04A0" w:firstRow="1" w:lastRow="0" w:firstColumn="1" w:lastColumn="0" w:noHBand="0" w:noVBand="1"/>
      </w:tblPr>
      <w:tblGrid>
        <w:gridCol w:w="5872"/>
        <w:gridCol w:w="2830"/>
      </w:tblGrid>
      <w:tr w:rsidR="000630CD" w14:paraId="06F4BD3E" w14:textId="77777777" w:rsidTr="001C6EAB">
        <w:tc>
          <w:tcPr>
            <w:tcW w:w="5872" w:type="dxa"/>
            <w:shd w:val="clear" w:color="auto" w:fill="DBE5F1" w:themeFill="accent1" w:themeFillTint="33"/>
          </w:tcPr>
          <w:p w14:paraId="00060501" w14:textId="5D8D1EDB" w:rsidR="000630CD" w:rsidRDefault="000630CD" w:rsidP="001C6EAB">
            <w:p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Livrables</w:t>
            </w:r>
          </w:p>
        </w:tc>
        <w:tc>
          <w:tcPr>
            <w:tcW w:w="2830" w:type="dxa"/>
            <w:shd w:val="clear" w:color="auto" w:fill="DBE5F1" w:themeFill="accent1" w:themeFillTint="33"/>
          </w:tcPr>
          <w:p w14:paraId="01FAA0BA" w14:textId="09E5990B" w:rsidR="000630CD" w:rsidRDefault="000630CD" w:rsidP="001C6EAB">
            <w:p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 de livraison</w:t>
            </w:r>
          </w:p>
        </w:tc>
      </w:tr>
      <w:tr w:rsidR="000630CD" w14:paraId="2FBD2C5B" w14:textId="77777777" w:rsidTr="000630CD">
        <w:tc>
          <w:tcPr>
            <w:tcW w:w="5872" w:type="dxa"/>
          </w:tcPr>
          <w:p w14:paraId="50BAB746" w14:textId="64DEF7A0" w:rsidR="000630CD" w:rsidRPr="000630CD" w:rsidRDefault="001058F5" w:rsidP="001C6EAB">
            <w:pPr>
              <w:pStyle w:val="Paragraphedeliste"/>
              <w:numPr>
                <w:ilvl w:val="0"/>
                <w:numId w:val="43"/>
              </w:num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w:t>
            </w:r>
            <w:r w:rsidRPr="00C34CB2">
              <w:rPr>
                <w:rFonts w:ascii="Calibri" w:eastAsia="Arial Unicode MS" w:hAnsi="Calibri" w:cs="Arial Unicode MS"/>
                <w:sz w:val="22"/>
                <w:szCs w:val="22"/>
                <w:lang w:eastAsia="en-US"/>
              </w:rPr>
              <w:t>apport</w:t>
            </w:r>
            <w:r w:rsidR="00EB3B4C">
              <w:rPr>
                <w:rFonts w:ascii="Calibri" w:eastAsia="Arial Unicode MS" w:hAnsi="Calibri" w:cs="Arial Unicode MS"/>
                <w:sz w:val="22"/>
                <w:szCs w:val="22"/>
                <w:lang w:eastAsia="en-US"/>
              </w:rPr>
              <w:t>s</w:t>
            </w:r>
            <w:r w:rsidRPr="00C34CB2">
              <w:rPr>
                <w:rFonts w:ascii="Calibri" w:eastAsia="Arial Unicode MS" w:hAnsi="Calibri" w:cs="Arial Unicode MS"/>
                <w:sz w:val="22"/>
                <w:szCs w:val="22"/>
                <w:lang w:eastAsia="en-US"/>
              </w:rPr>
              <w:t xml:space="preserve"> d’avancement </w:t>
            </w:r>
            <w:r>
              <w:rPr>
                <w:rFonts w:ascii="Calibri" w:eastAsia="Arial Unicode MS" w:hAnsi="Calibri" w:cs="Arial Unicode MS"/>
                <w:sz w:val="22"/>
                <w:szCs w:val="22"/>
                <w:lang w:eastAsia="en-US"/>
              </w:rPr>
              <w:t>des activités de la composante</w:t>
            </w:r>
          </w:p>
        </w:tc>
        <w:tc>
          <w:tcPr>
            <w:tcW w:w="2830" w:type="dxa"/>
          </w:tcPr>
          <w:p w14:paraId="2615DC9D" w14:textId="3EB0348D" w:rsidR="000630CD" w:rsidRDefault="000630CD" w:rsidP="005964D5">
            <w:p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5964D5">
              <w:rPr>
                <w:rFonts w:ascii="Calibri" w:eastAsia="Arial Unicode MS" w:hAnsi="Calibri" w:cs="Arial Unicode MS"/>
                <w:sz w:val="22"/>
                <w:szCs w:val="22"/>
                <w:lang w:eastAsia="en-US"/>
              </w:rPr>
              <w:t>6</w:t>
            </w:r>
            <w:r w:rsidR="001058F5">
              <w:rPr>
                <w:rFonts w:ascii="Calibri" w:eastAsia="Arial Unicode MS" w:hAnsi="Calibri" w:cs="Arial Unicode MS"/>
                <w:sz w:val="22"/>
                <w:szCs w:val="22"/>
                <w:lang w:eastAsia="en-US"/>
              </w:rPr>
              <w:t xml:space="preserve"> </w:t>
            </w:r>
            <w:r>
              <w:rPr>
                <w:rFonts w:ascii="Calibri" w:eastAsia="Arial Unicode MS" w:hAnsi="Calibri" w:cs="Arial Unicode MS"/>
                <w:sz w:val="22"/>
                <w:szCs w:val="22"/>
                <w:lang w:eastAsia="en-US"/>
              </w:rPr>
              <w:t>mois</w:t>
            </w:r>
          </w:p>
        </w:tc>
      </w:tr>
      <w:tr w:rsidR="005A0EBB" w14:paraId="3A55F80D" w14:textId="77777777" w:rsidTr="000630CD">
        <w:tc>
          <w:tcPr>
            <w:tcW w:w="5872" w:type="dxa"/>
          </w:tcPr>
          <w:p w14:paraId="6BEF692E" w14:textId="0554FC3F" w:rsidR="005A0EBB" w:rsidRPr="000630CD" w:rsidRDefault="005A0EBB" w:rsidP="001C6EAB">
            <w:pPr>
              <w:pStyle w:val="Paragraphedeliste"/>
              <w:numPr>
                <w:ilvl w:val="0"/>
                <w:numId w:val="43"/>
              </w:num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w:t>
            </w:r>
            <w:r w:rsidR="001058F5" w:rsidRPr="00C34CB2">
              <w:rPr>
                <w:rFonts w:ascii="Calibri" w:eastAsia="Arial Unicode MS" w:hAnsi="Calibri" w:cs="Arial Unicode MS"/>
                <w:sz w:val="22"/>
                <w:szCs w:val="22"/>
                <w:lang w:eastAsia="en-US"/>
              </w:rPr>
              <w:t xml:space="preserve">de démarrage </w:t>
            </w:r>
            <w:r w:rsidR="001058F5">
              <w:rPr>
                <w:rFonts w:ascii="Calibri" w:eastAsia="Arial Unicode MS" w:hAnsi="Calibri" w:cs="Arial Unicode MS"/>
                <w:sz w:val="22"/>
                <w:szCs w:val="22"/>
                <w:lang w:eastAsia="en-US"/>
              </w:rPr>
              <w:t>centré sur la composante</w:t>
            </w:r>
          </w:p>
        </w:tc>
        <w:tc>
          <w:tcPr>
            <w:tcW w:w="2830" w:type="dxa"/>
          </w:tcPr>
          <w:p w14:paraId="5AA30079" w14:textId="531DD096" w:rsidR="005A0EBB" w:rsidRDefault="005A0EBB" w:rsidP="001C6EAB">
            <w:pPr>
              <w:spacing w:line="276" w:lineRule="auto"/>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sidR="005964D5">
              <w:rPr>
                <w:rFonts w:ascii="Calibri" w:eastAsia="Arial Unicode MS" w:hAnsi="Calibri" w:cs="Arial Unicode MS"/>
                <w:sz w:val="22"/>
                <w:szCs w:val="22"/>
                <w:lang w:eastAsia="en-US"/>
              </w:rPr>
              <w:t>4</w:t>
            </w:r>
            <w:r w:rsidR="001058F5">
              <w:rPr>
                <w:rFonts w:ascii="Calibri" w:eastAsia="Arial Unicode MS" w:hAnsi="Calibri" w:cs="Arial Unicode MS"/>
                <w:sz w:val="22"/>
                <w:szCs w:val="22"/>
                <w:lang w:eastAsia="en-US"/>
              </w:rPr>
              <w:t xml:space="preserve"> </w:t>
            </w:r>
            <w:r w:rsidRPr="00333BA3">
              <w:rPr>
                <w:rFonts w:ascii="Calibri" w:eastAsia="Arial Unicode MS" w:hAnsi="Calibri" w:cs="Arial Unicode MS"/>
                <w:sz w:val="22"/>
                <w:szCs w:val="22"/>
                <w:lang w:eastAsia="en-US"/>
              </w:rPr>
              <w:t>mois</w:t>
            </w:r>
          </w:p>
        </w:tc>
      </w:tr>
      <w:tr w:rsidR="005A0EBB" w14:paraId="743FEB43" w14:textId="77777777" w:rsidTr="005443AB">
        <w:tc>
          <w:tcPr>
            <w:tcW w:w="5872" w:type="dxa"/>
          </w:tcPr>
          <w:p w14:paraId="406BB8BC" w14:textId="06020D51" w:rsidR="005A0EBB" w:rsidRDefault="001058F5" w:rsidP="001C6EAB">
            <w:pPr>
              <w:pStyle w:val="Paragraphedeliste"/>
              <w:numPr>
                <w:ilvl w:val="0"/>
                <w:numId w:val="43"/>
              </w:num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w:t>
            </w:r>
            <w:r w:rsidRPr="00C34CB2">
              <w:rPr>
                <w:rFonts w:ascii="Calibri" w:eastAsia="Arial Unicode MS" w:hAnsi="Calibri" w:cs="Arial Unicode MS"/>
                <w:sz w:val="22"/>
                <w:szCs w:val="22"/>
                <w:lang w:eastAsia="en-US"/>
              </w:rPr>
              <w:t>apport final</w:t>
            </w:r>
            <w:r>
              <w:rPr>
                <w:rFonts w:ascii="Calibri" w:eastAsia="Arial Unicode MS" w:hAnsi="Calibri" w:cs="Arial Unicode MS"/>
                <w:sz w:val="22"/>
                <w:szCs w:val="22"/>
                <w:lang w:eastAsia="en-US"/>
              </w:rPr>
              <w:t xml:space="preserve"> centré sur la composante</w:t>
            </w:r>
          </w:p>
        </w:tc>
        <w:tc>
          <w:tcPr>
            <w:tcW w:w="2830" w:type="dxa"/>
          </w:tcPr>
          <w:p w14:paraId="7F9AE494" w14:textId="128AC4EE" w:rsidR="005A0EBB" w:rsidRDefault="005A0EBB" w:rsidP="001C6EAB">
            <w:pPr>
              <w:spacing w:line="276" w:lineRule="auto"/>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sidR="001058F5">
              <w:rPr>
                <w:rFonts w:ascii="Calibri" w:eastAsia="Arial Unicode MS" w:hAnsi="Calibri" w:cs="Arial Unicode MS"/>
                <w:sz w:val="22"/>
                <w:szCs w:val="22"/>
                <w:lang w:eastAsia="en-US"/>
              </w:rPr>
              <w:t>1</w:t>
            </w:r>
            <w:r w:rsidR="005964D5">
              <w:rPr>
                <w:rFonts w:ascii="Calibri" w:eastAsia="Arial Unicode MS" w:hAnsi="Calibri" w:cs="Arial Unicode MS"/>
                <w:sz w:val="22"/>
                <w:szCs w:val="22"/>
                <w:lang w:eastAsia="en-US"/>
              </w:rPr>
              <w:t>2</w:t>
            </w:r>
            <w:r w:rsidR="001058F5">
              <w:rPr>
                <w:rFonts w:ascii="Calibri" w:eastAsia="Arial Unicode MS" w:hAnsi="Calibri" w:cs="Arial Unicode MS"/>
                <w:sz w:val="22"/>
                <w:szCs w:val="22"/>
                <w:lang w:eastAsia="en-US"/>
              </w:rPr>
              <w:t xml:space="preserve"> </w:t>
            </w:r>
            <w:r w:rsidRPr="00333BA3">
              <w:rPr>
                <w:rFonts w:ascii="Calibri" w:eastAsia="Arial Unicode MS" w:hAnsi="Calibri" w:cs="Arial Unicode MS"/>
                <w:sz w:val="22"/>
                <w:szCs w:val="22"/>
                <w:lang w:eastAsia="en-US"/>
              </w:rPr>
              <w:t>mois</w:t>
            </w:r>
            <w:r w:rsidR="00927909">
              <w:rPr>
                <w:rFonts w:ascii="Calibri" w:eastAsia="Arial Unicode MS" w:hAnsi="Calibri" w:cs="Arial Unicode MS"/>
                <w:sz w:val="22"/>
                <w:szCs w:val="22"/>
                <w:lang w:eastAsia="en-US"/>
              </w:rPr>
              <w:t xml:space="preserve"> </w:t>
            </w:r>
          </w:p>
        </w:tc>
      </w:tr>
      <w:tr w:rsidR="005A0EBB" w14:paraId="750EF7E0" w14:textId="77777777" w:rsidTr="005443AB">
        <w:tc>
          <w:tcPr>
            <w:tcW w:w="5872" w:type="dxa"/>
          </w:tcPr>
          <w:p w14:paraId="53315FF3" w14:textId="107A2A5D" w:rsidR="005A0EBB" w:rsidRDefault="001058F5" w:rsidP="001C6EAB">
            <w:pPr>
              <w:pStyle w:val="Paragraphedeliste"/>
              <w:numPr>
                <w:ilvl w:val="0"/>
                <w:numId w:val="43"/>
              </w:numPr>
              <w:spacing w:line="276"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C</w:t>
            </w:r>
            <w:r w:rsidRPr="0093153D">
              <w:rPr>
                <w:rFonts w:ascii="Calibri" w:eastAsia="Arial Unicode MS" w:hAnsi="Calibri" w:cs="Arial Unicode MS"/>
                <w:sz w:val="22"/>
                <w:szCs w:val="22"/>
                <w:lang w:eastAsia="en-US"/>
              </w:rPr>
              <w:t>ompte-rendu</w:t>
            </w:r>
            <w:r w:rsidRPr="00C34CB2">
              <w:rPr>
                <w:rFonts w:ascii="Calibri" w:eastAsia="Arial Unicode MS" w:hAnsi="Calibri" w:cs="Arial Unicode MS"/>
                <w:sz w:val="22"/>
                <w:szCs w:val="22"/>
                <w:lang w:eastAsia="en-US"/>
              </w:rPr>
              <w:t xml:space="preserve"> pour chaque mission </w:t>
            </w:r>
            <w:r>
              <w:rPr>
                <w:rFonts w:ascii="Calibri" w:eastAsia="Arial Unicode MS" w:hAnsi="Calibri" w:cs="Arial Unicode MS"/>
                <w:sz w:val="22"/>
                <w:szCs w:val="22"/>
                <w:lang w:eastAsia="en-US"/>
              </w:rPr>
              <w:t xml:space="preserve">menée </w:t>
            </w:r>
          </w:p>
        </w:tc>
        <w:tc>
          <w:tcPr>
            <w:tcW w:w="2830" w:type="dxa"/>
          </w:tcPr>
          <w:p w14:paraId="283ADBCC" w14:textId="72131FA0" w:rsidR="005A0EBB" w:rsidRDefault="005A0EBB" w:rsidP="001C6EAB">
            <w:pPr>
              <w:spacing w:line="276" w:lineRule="auto"/>
              <w:jc w:val="both"/>
              <w:rPr>
                <w:rFonts w:ascii="Calibri" w:eastAsia="Arial Unicode MS" w:hAnsi="Calibri" w:cs="Arial Unicode MS"/>
                <w:sz w:val="22"/>
                <w:szCs w:val="22"/>
                <w:lang w:eastAsia="en-US"/>
              </w:rPr>
            </w:pPr>
            <w:r w:rsidRPr="00333BA3">
              <w:rPr>
                <w:rFonts w:ascii="Calibri" w:eastAsia="Arial Unicode MS" w:hAnsi="Calibri" w:cs="Arial Unicode MS"/>
                <w:sz w:val="22"/>
                <w:szCs w:val="22"/>
                <w:lang w:eastAsia="en-US"/>
              </w:rPr>
              <w:t xml:space="preserve">T0 + </w:t>
            </w:r>
            <w:r w:rsidR="001058F5">
              <w:rPr>
                <w:rFonts w:ascii="Calibri" w:eastAsia="Arial Unicode MS" w:hAnsi="Calibri" w:cs="Arial Unicode MS"/>
                <w:sz w:val="22"/>
                <w:szCs w:val="22"/>
                <w:lang w:eastAsia="en-US"/>
              </w:rPr>
              <w:t xml:space="preserve">2 </w:t>
            </w:r>
            <w:r w:rsidRPr="00333BA3">
              <w:rPr>
                <w:rFonts w:ascii="Calibri" w:eastAsia="Arial Unicode MS" w:hAnsi="Calibri" w:cs="Arial Unicode MS"/>
                <w:sz w:val="22"/>
                <w:szCs w:val="22"/>
                <w:lang w:eastAsia="en-US"/>
              </w:rPr>
              <w:t>semaines</w:t>
            </w:r>
          </w:p>
        </w:tc>
      </w:tr>
    </w:tbl>
    <w:p w14:paraId="397F2D33" w14:textId="77777777" w:rsidR="00965444" w:rsidRPr="009236DE" w:rsidRDefault="00965444"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1731AFE3" w14:textId="1F9AEE2D" w:rsidR="001C6D6C" w:rsidRDefault="009236DE" w:rsidP="001C6EAB">
      <w:pPr>
        <w:spacing w:before="240" w:after="240" w:line="276" w:lineRule="auto"/>
        <w:jc w:val="both"/>
        <w:rPr>
          <w:rFonts w:ascii="Calibri" w:hAnsi="Calibri"/>
          <w:sz w:val="22"/>
          <w:szCs w:val="22"/>
        </w:rPr>
      </w:pPr>
      <w:r w:rsidRPr="00966F8F">
        <w:rPr>
          <w:rFonts w:ascii="Calibri" w:hAnsi="Calibri"/>
          <w:sz w:val="22"/>
          <w:szCs w:val="22"/>
        </w:rPr>
        <w:t>L</w:t>
      </w:r>
      <w:r w:rsidR="00EF6139">
        <w:rPr>
          <w:rFonts w:ascii="Calibri" w:hAnsi="Calibri"/>
          <w:sz w:val="22"/>
          <w:szCs w:val="22"/>
        </w:rPr>
        <w:t>e prestataire désignera un interlocuteur unique pour la mise en œuvre de projet.</w:t>
      </w:r>
    </w:p>
    <w:p w14:paraId="15B00772" w14:textId="05C7448C" w:rsidR="00EF6139" w:rsidRDefault="006B5831" w:rsidP="001C6EAB">
      <w:pPr>
        <w:spacing w:before="240" w:after="240" w:line="276" w:lineRule="auto"/>
        <w:jc w:val="both"/>
        <w:rPr>
          <w:rFonts w:ascii="Calibri" w:hAnsi="Calibri"/>
          <w:sz w:val="22"/>
          <w:szCs w:val="22"/>
        </w:rPr>
      </w:pPr>
      <w:r>
        <w:rPr>
          <w:rFonts w:ascii="Calibri" w:hAnsi="Calibri"/>
          <w:sz w:val="22"/>
          <w:szCs w:val="22"/>
        </w:rPr>
        <w:lastRenderedPageBreak/>
        <w:t>M</w:t>
      </w:r>
      <w:r w:rsidR="008632FA">
        <w:rPr>
          <w:rFonts w:ascii="Calibri" w:hAnsi="Calibri"/>
          <w:sz w:val="22"/>
          <w:szCs w:val="22"/>
        </w:rPr>
        <w:t xml:space="preserve">adame Cécile </w:t>
      </w:r>
      <w:proofErr w:type="spellStart"/>
      <w:r w:rsidR="008632FA">
        <w:rPr>
          <w:rFonts w:ascii="Calibri" w:hAnsi="Calibri"/>
          <w:sz w:val="22"/>
          <w:szCs w:val="22"/>
        </w:rPr>
        <w:t>Valadier</w:t>
      </w:r>
      <w:proofErr w:type="spellEnd"/>
      <w:r>
        <w:rPr>
          <w:rFonts w:ascii="Calibri" w:hAnsi="Calibri"/>
          <w:sz w:val="22"/>
          <w:szCs w:val="22"/>
        </w:rPr>
        <w:t>, sera l’interlocut</w:t>
      </w:r>
      <w:r w:rsidR="008632FA">
        <w:rPr>
          <w:rFonts w:ascii="Calibri" w:hAnsi="Calibri"/>
          <w:sz w:val="22"/>
          <w:szCs w:val="22"/>
        </w:rPr>
        <w:t>rice</w:t>
      </w:r>
      <w:r>
        <w:rPr>
          <w:rFonts w:ascii="Calibri" w:hAnsi="Calibri"/>
          <w:sz w:val="22"/>
          <w:szCs w:val="22"/>
        </w:rPr>
        <w:t xml:space="preserve"> unique du prestataire pour Expertise France</w:t>
      </w:r>
    </w:p>
    <w:p w14:paraId="332108AF" w14:textId="4875F26A" w:rsidR="006B5831" w:rsidRDefault="006B5831" w:rsidP="001C6EAB">
      <w:pPr>
        <w:spacing w:before="240" w:after="240" w:line="276" w:lineRule="auto"/>
        <w:jc w:val="both"/>
        <w:rPr>
          <w:rFonts w:ascii="Calibri" w:hAnsi="Calibri"/>
          <w:sz w:val="22"/>
          <w:szCs w:val="22"/>
        </w:rPr>
      </w:pPr>
      <w:r>
        <w:rPr>
          <w:rFonts w:ascii="Calibri" w:hAnsi="Calibri"/>
          <w:sz w:val="22"/>
          <w:szCs w:val="22"/>
        </w:rPr>
        <w:t>Courriel :</w:t>
      </w:r>
      <w:r w:rsidR="00DB2780">
        <w:rPr>
          <w:rFonts w:ascii="Calibri" w:hAnsi="Calibri"/>
          <w:sz w:val="22"/>
          <w:szCs w:val="22"/>
        </w:rPr>
        <w:t xml:space="preserve"> </w:t>
      </w:r>
      <w:r w:rsidR="008632FA" w:rsidRPr="008632FA">
        <w:rPr>
          <w:rFonts w:ascii="Calibri" w:hAnsi="Calibri"/>
          <w:sz w:val="22"/>
          <w:szCs w:val="22"/>
        </w:rPr>
        <w:t>cecile.valadier@expertisefrance.fr</w:t>
      </w:r>
    </w:p>
    <w:p w14:paraId="5DFAFC2C" w14:textId="4473414F" w:rsidR="003A7507" w:rsidRPr="00D15F32" w:rsidRDefault="009236DE" w:rsidP="001C6EAB">
      <w:pPr>
        <w:spacing w:before="240" w:after="240" w:line="276" w:lineRule="auto"/>
        <w:jc w:val="both"/>
        <w:rPr>
          <w:rFonts w:ascii="Calibri" w:hAnsi="Calibri"/>
          <w:sz w:val="22"/>
          <w:szCs w:val="22"/>
        </w:rPr>
      </w:pPr>
      <w:r w:rsidRPr="00F67012">
        <w:rPr>
          <w:rFonts w:ascii="Calibri" w:hAnsi="Calibri"/>
          <w:sz w:val="22"/>
          <w:szCs w:val="22"/>
        </w:rPr>
        <w:t>Une coordination étroite avec l</w:t>
      </w:r>
      <w:r w:rsidR="0076221F">
        <w:rPr>
          <w:rFonts w:ascii="Calibri" w:hAnsi="Calibri"/>
          <w:sz w:val="22"/>
          <w:szCs w:val="22"/>
        </w:rPr>
        <w:t xml:space="preserve">es </w:t>
      </w:r>
      <w:r w:rsidRPr="00F67012">
        <w:rPr>
          <w:rFonts w:ascii="Calibri" w:hAnsi="Calibri"/>
          <w:sz w:val="22"/>
          <w:szCs w:val="22"/>
        </w:rPr>
        <w:t>équipe</w:t>
      </w:r>
      <w:r w:rsidR="0076221F">
        <w:rPr>
          <w:rFonts w:ascii="Calibri" w:hAnsi="Calibri"/>
          <w:sz w:val="22"/>
          <w:szCs w:val="22"/>
        </w:rPr>
        <w:t>s</w:t>
      </w:r>
      <w:r w:rsidRPr="00F67012">
        <w:rPr>
          <w:rFonts w:ascii="Calibri" w:hAnsi="Calibri"/>
          <w:sz w:val="22"/>
          <w:szCs w:val="22"/>
        </w:rPr>
        <w:t xml:space="preserve"> </w:t>
      </w:r>
      <w:r w:rsidR="00AB0B1D">
        <w:rPr>
          <w:rFonts w:ascii="Calibri" w:hAnsi="Calibri"/>
          <w:sz w:val="22"/>
          <w:szCs w:val="22"/>
        </w:rPr>
        <w:t>du projet</w:t>
      </w:r>
      <w:r w:rsidR="00AB0B1D" w:rsidRPr="00F67012">
        <w:rPr>
          <w:rFonts w:ascii="Calibri" w:hAnsi="Calibri"/>
          <w:sz w:val="22"/>
          <w:szCs w:val="22"/>
        </w:rPr>
        <w:t xml:space="preserve">, </w:t>
      </w:r>
      <w:r w:rsidRPr="00F67012">
        <w:rPr>
          <w:rFonts w:ascii="Calibri" w:hAnsi="Calibri"/>
          <w:sz w:val="22"/>
          <w:szCs w:val="22"/>
        </w:rPr>
        <w:t>devra impérativement être mise en place dès la préparation de</w:t>
      </w:r>
      <w:r w:rsidR="0076221F">
        <w:rPr>
          <w:rFonts w:ascii="Calibri" w:hAnsi="Calibri"/>
          <w:sz w:val="22"/>
          <w:szCs w:val="22"/>
        </w:rPr>
        <w:t>s</w:t>
      </w:r>
      <w:r w:rsidRPr="00F67012">
        <w:rPr>
          <w:rFonts w:ascii="Calibri" w:hAnsi="Calibri"/>
          <w:sz w:val="22"/>
          <w:szCs w:val="22"/>
        </w:rPr>
        <w:t xml:space="preserve"> mission</w:t>
      </w:r>
      <w:r w:rsidR="0076221F">
        <w:rPr>
          <w:rFonts w:ascii="Calibri" w:hAnsi="Calibri"/>
          <w:sz w:val="22"/>
          <w:szCs w:val="22"/>
        </w:rPr>
        <w:t>s</w:t>
      </w:r>
      <w:r w:rsidRPr="00F67012">
        <w:rPr>
          <w:rFonts w:ascii="Calibri" w:hAnsi="Calibri"/>
          <w:sz w:val="22"/>
          <w:szCs w:val="22"/>
        </w:rPr>
        <w:t xml:space="preserve"> et jusqu’à </w:t>
      </w:r>
      <w:r w:rsidR="0076221F">
        <w:rPr>
          <w:rFonts w:ascii="Calibri" w:hAnsi="Calibri"/>
          <w:sz w:val="22"/>
          <w:szCs w:val="22"/>
        </w:rPr>
        <w:t>leur</w:t>
      </w:r>
      <w:r w:rsidRPr="00F67012">
        <w:rPr>
          <w:rFonts w:ascii="Calibri" w:hAnsi="Calibri"/>
          <w:sz w:val="22"/>
          <w:szCs w:val="22"/>
        </w:rPr>
        <w:t xml:space="preserve"> finalisation. En outre, des échanges réguliers avec </w:t>
      </w:r>
      <w:r w:rsidR="00AB0B1D">
        <w:rPr>
          <w:rFonts w:ascii="Calibri" w:hAnsi="Calibri"/>
          <w:sz w:val="22"/>
          <w:szCs w:val="22"/>
        </w:rPr>
        <w:t xml:space="preserve">la chefferie du projet </w:t>
      </w:r>
      <w:r w:rsidRPr="00F67012">
        <w:rPr>
          <w:rFonts w:ascii="Calibri" w:hAnsi="Calibri"/>
          <w:sz w:val="22"/>
          <w:szCs w:val="22"/>
        </w:rPr>
        <w:t>seront à prévoir sur l’état d’avancement de</w:t>
      </w:r>
      <w:r w:rsidR="0076221F">
        <w:rPr>
          <w:rFonts w:ascii="Calibri" w:hAnsi="Calibri"/>
          <w:sz w:val="22"/>
          <w:szCs w:val="22"/>
        </w:rPr>
        <w:t>s</w:t>
      </w:r>
      <w:r w:rsidRPr="00F67012">
        <w:rPr>
          <w:rFonts w:ascii="Calibri" w:hAnsi="Calibri"/>
          <w:sz w:val="22"/>
          <w:szCs w:val="22"/>
        </w:rPr>
        <w:t xml:space="preserve"> mission</w:t>
      </w:r>
      <w:r w:rsidR="00257A40">
        <w:rPr>
          <w:rFonts w:ascii="Calibri" w:hAnsi="Calibri"/>
          <w:sz w:val="22"/>
          <w:szCs w:val="22"/>
        </w:rPr>
        <w:t>s</w:t>
      </w:r>
      <w:r w:rsidRPr="00F67012">
        <w:rPr>
          <w:rFonts w:ascii="Calibri" w:hAnsi="Calibri"/>
          <w:sz w:val="22"/>
          <w:szCs w:val="22"/>
        </w:rPr>
        <w:t xml:space="preserve"> et éventuellement les difficultés rencontrées.</w:t>
      </w:r>
    </w:p>
    <w:p w14:paraId="00A8F97B" w14:textId="77777777" w:rsidR="003A7507" w:rsidRPr="00D15F32" w:rsidRDefault="003A7507"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3965E893" w14:textId="45E97B2C" w:rsidR="003A7507" w:rsidRPr="001C6EAB" w:rsidRDefault="003A7507" w:rsidP="001C6EAB">
      <w:pPr>
        <w:numPr>
          <w:ilvl w:val="1"/>
          <w:numId w:val="14"/>
        </w:numPr>
        <w:tabs>
          <w:tab w:val="clear" w:pos="1440"/>
          <w:tab w:val="num" w:pos="900"/>
        </w:tabs>
        <w:spacing w:before="240" w:after="240" w:line="276" w:lineRule="auto"/>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401DD6">
        <w:rPr>
          <w:rFonts w:ascii="Calibri" w:eastAsia="Arial Unicode MS" w:hAnsi="Calibri" w:cs="Arial Unicode MS"/>
          <w:b/>
          <w:sz w:val="22"/>
          <w:szCs w:val="22"/>
          <w:lang w:eastAsia="en-US"/>
        </w:rPr>
        <w:t xml:space="preserve">l’assistance </w:t>
      </w:r>
      <w:r w:rsidR="00CA34B7">
        <w:rPr>
          <w:rFonts w:ascii="Calibri" w:eastAsia="Arial Unicode MS" w:hAnsi="Calibri" w:cs="Arial Unicode MS"/>
          <w:b/>
          <w:sz w:val="22"/>
          <w:szCs w:val="22"/>
          <w:lang w:eastAsia="en-US"/>
        </w:rPr>
        <w:t xml:space="preserve">technique durera </w:t>
      </w:r>
      <w:r w:rsidR="00CD44BB">
        <w:rPr>
          <w:rFonts w:ascii="Calibri" w:eastAsia="Arial Unicode MS" w:hAnsi="Calibri" w:cs="Arial Unicode MS"/>
          <w:b/>
          <w:sz w:val="22"/>
          <w:szCs w:val="22"/>
          <w:lang w:eastAsia="en-US"/>
        </w:rPr>
        <w:t>46</w:t>
      </w:r>
      <w:r w:rsidR="00401DD6">
        <w:rPr>
          <w:rFonts w:ascii="Calibri" w:eastAsia="Arial Unicode MS" w:hAnsi="Calibri" w:cs="Arial Unicode MS"/>
          <w:b/>
          <w:sz w:val="22"/>
          <w:szCs w:val="22"/>
          <w:lang w:eastAsia="en-US"/>
        </w:rPr>
        <w:t xml:space="preserve"> mois à partir du </w:t>
      </w:r>
      <w:r w:rsidR="00CD44BB">
        <w:rPr>
          <w:rFonts w:ascii="Calibri" w:eastAsia="Arial Unicode MS" w:hAnsi="Calibri" w:cs="Arial Unicode MS"/>
          <w:b/>
          <w:sz w:val="22"/>
          <w:szCs w:val="22"/>
          <w:lang w:eastAsia="en-US"/>
        </w:rPr>
        <w:t>06</w:t>
      </w:r>
      <w:r w:rsidR="008D6E1B">
        <w:rPr>
          <w:rFonts w:ascii="Calibri" w:eastAsia="Arial Unicode MS" w:hAnsi="Calibri" w:cs="Arial Unicode MS"/>
          <w:b/>
          <w:sz w:val="22"/>
          <w:szCs w:val="22"/>
          <w:lang w:eastAsia="en-US"/>
        </w:rPr>
        <w:t xml:space="preserve"> </w:t>
      </w:r>
      <w:r w:rsidR="00B75445">
        <w:rPr>
          <w:rFonts w:ascii="Calibri" w:eastAsia="Arial Unicode MS" w:hAnsi="Calibri" w:cs="Arial Unicode MS"/>
          <w:b/>
          <w:sz w:val="22"/>
          <w:szCs w:val="22"/>
          <w:lang w:eastAsia="en-US"/>
        </w:rPr>
        <w:t>avril</w:t>
      </w:r>
      <w:r w:rsidR="008D6E1B">
        <w:rPr>
          <w:rFonts w:ascii="Calibri" w:eastAsia="Arial Unicode MS" w:hAnsi="Calibri" w:cs="Arial Unicode MS"/>
          <w:b/>
          <w:sz w:val="22"/>
          <w:szCs w:val="22"/>
          <w:lang w:eastAsia="en-US"/>
        </w:rPr>
        <w:t xml:space="preserve"> </w:t>
      </w:r>
      <w:r w:rsidR="00401DD6">
        <w:rPr>
          <w:rFonts w:ascii="Calibri" w:eastAsia="Arial Unicode MS" w:hAnsi="Calibri" w:cs="Arial Unicode MS"/>
          <w:b/>
          <w:sz w:val="22"/>
          <w:szCs w:val="22"/>
          <w:lang w:eastAsia="en-US"/>
        </w:rPr>
        <w:t>202</w:t>
      </w:r>
      <w:r w:rsidR="008D6E1B">
        <w:rPr>
          <w:rFonts w:ascii="Calibri" w:eastAsia="Arial Unicode MS" w:hAnsi="Calibri" w:cs="Arial Unicode MS"/>
          <w:b/>
          <w:sz w:val="22"/>
          <w:szCs w:val="22"/>
          <w:lang w:eastAsia="en-US"/>
        </w:rPr>
        <w:t>5</w:t>
      </w:r>
      <w:r w:rsidR="00B75445">
        <w:rPr>
          <w:rFonts w:ascii="Calibri" w:eastAsia="Arial Unicode MS" w:hAnsi="Calibri" w:cs="Arial Unicode MS"/>
          <w:b/>
          <w:sz w:val="22"/>
          <w:szCs w:val="22"/>
          <w:lang w:eastAsia="en-US"/>
        </w:rPr>
        <w:t xml:space="preserve"> (date estimative)</w:t>
      </w:r>
      <w:r w:rsidR="00401DD6">
        <w:rPr>
          <w:rFonts w:ascii="Calibri" w:eastAsia="Arial Unicode MS" w:hAnsi="Calibri" w:cs="Arial Unicode MS"/>
          <w:b/>
          <w:sz w:val="22"/>
          <w:szCs w:val="22"/>
          <w:lang w:eastAsia="en-US"/>
        </w:rPr>
        <w:t xml:space="preserve">. </w:t>
      </w:r>
      <w:r w:rsidR="00401DD6" w:rsidRPr="00401DD6">
        <w:rPr>
          <w:rFonts w:ascii="Calibri" w:eastAsia="Arial Unicode MS" w:hAnsi="Calibri" w:cs="Arial Unicode MS"/>
          <w:b/>
          <w:sz w:val="22"/>
          <w:szCs w:val="22"/>
          <w:lang w:eastAsia="en-US"/>
        </w:rPr>
        <w:t xml:space="preserve">Expertise </w:t>
      </w:r>
      <w:r w:rsidR="00401DD6">
        <w:rPr>
          <w:rFonts w:ascii="Calibri" w:eastAsia="Arial Unicode MS" w:hAnsi="Calibri" w:cs="Arial Unicode MS"/>
          <w:b/>
          <w:sz w:val="22"/>
          <w:szCs w:val="22"/>
          <w:lang w:eastAsia="en-US"/>
        </w:rPr>
        <w:t>France compte mobiliser l’expertise pour la durée totale de l’assistance technique.</w:t>
      </w:r>
    </w:p>
    <w:p w14:paraId="0A16D9D4" w14:textId="70F4D34E" w:rsidR="00AC0DEF" w:rsidRPr="001C6EAB" w:rsidRDefault="003A7507" w:rsidP="001C6EAB">
      <w:pPr>
        <w:numPr>
          <w:ilvl w:val="1"/>
          <w:numId w:val="14"/>
        </w:numPr>
        <w:tabs>
          <w:tab w:val="clear" w:pos="1440"/>
          <w:tab w:val="num" w:pos="900"/>
        </w:tabs>
        <w:spacing w:before="240" w:after="240" w:line="276" w:lineRule="auto"/>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F73A14">
        <w:rPr>
          <w:rFonts w:ascii="Calibri" w:eastAsia="Arial Unicode MS" w:hAnsi="Calibri" w:cs="Arial Unicode MS"/>
          <w:b/>
          <w:sz w:val="22"/>
          <w:szCs w:val="22"/>
          <w:lang w:eastAsia="en-US"/>
        </w:rPr>
        <w:t>06</w:t>
      </w:r>
      <w:r w:rsidR="0037712C">
        <w:rPr>
          <w:rFonts w:ascii="Calibri" w:eastAsia="Arial Unicode MS" w:hAnsi="Calibri" w:cs="Arial Unicode MS"/>
          <w:b/>
          <w:sz w:val="22"/>
          <w:szCs w:val="22"/>
          <w:lang w:eastAsia="en-US"/>
        </w:rPr>
        <w:t>/</w:t>
      </w:r>
      <w:r w:rsidR="0062007F">
        <w:rPr>
          <w:rFonts w:ascii="Calibri" w:eastAsia="Arial Unicode MS" w:hAnsi="Calibri" w:cs="Arial Unicode MS"/>
          <w:b/>
          <w:sz w:val="22"/>
          <w:szCs w:val="22"/>
          <w:lang w:eastAsia="en-US"/>
        </w:rPr>
        <w:t>04</w:t>
      </w:r>
      <w:r w:rsidR="0037712C">
        <w:rPr>
          <w:rFonts w:ascii="Calibri" w:eastAsia="Arial Unicode MS" w:hAnsi="Calibri" w:cs="Arial Unicode MS"/>
          <w:b/>
          <w:sz w:val="22"/>
          <w:szCs w:val="22"/>
          <w:lang w:eastAsia="en-US"/>
        </w:rPr>
        <w:t>/202</w:t>
      </w:r>
      <w:r w:rsidR="00E85D5A">
        <w:rPr>
          <w:rFonts w:ascii="Calibri" w:eastAsia="Arial Unicode MS" w:hAnsi="Calibri" w:cs="Arial Unicode MS"/>
          <w:b/>
          <w:sz w:val="22"/>
          <w:szCs w:val="22"/>
          <w:lang w:eastAsia="en-US"/>
        </w:rPr>
        <w:t>5</w:t>
      </w:r>
    </w:p>
    <w:p w14:paraId="05A36279" w14:textId="5223F9B5" w:rsidR="006B5831" w:rsidRPr="001C6EAB" w:rsidRDefault="003A7507" w:rsidP="001C6EAB">
      <w:pPr>
        <w:numPr>
          <w:ilvl w:val="1"/>
          <w:numId w:val="14"/>
        </w:numPr>
        <w:tabs>
          <w:tab w:val="clear" w:pos="1440"/>
          <w:tab w:val="num" w:pos="900"/>
        </w:tabs>
        <w:spacing w:before="240" w:after="240" w:line="276" w:lineRule="auto"/>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F73A14">
        <w:rPr>
          <w:rFonts w:ascii="Calibri" w:eastAsia="Arial Unicode MS" w:hAnsi="Calibri" w:cs="Arial Unicode MS"/>
          <w:b/>
          <w:sz w:val="22"/>
          <w:szCs w:val="22"/>
          <w:lang w:eastAsia="en-US"/>
        </w:rPr>
        <w:t>06</w:t>
      </w:r>
      <w:r w:rsidR="00B23A4B">
        <w:rPr>
          <w:rFonts w:ascii="Calibri" w:eastAsia="Arial Unicode MS" w:hAnsi="Calibri" w:cs="Arial Unicode MS"/>
          <w:b/>
          <w:sz w:val="22"/>
          <w:szCs w:val="22"/>
          <w:lang w:eastAsia="en-US"/>
        </w:rPr>
        <w:t>/05</w:t>
      </w:r>
      <w:r w:rsidR="0037712C">
        <w:rPr>
          <w:rFonts w:ascii="Calibri" w:eastAsia="Arial Unicode MS" w:hAnsi="Calibri" w:cs="Arial Unicode MS"/>
          <w:b/>
          <w:sz w:val="22"/>
          <w:szCs w:val="22"/>
          <w:lang w:eastAsia="en-US"/>
        </w:rPr>
        <w:t>/202</w:t>
      </w:r>
      <w:r w:rsidR="00E85D5A">
        <w:rPr>
          <w:rFonts w:ascii="Calibri" w:eastAsia="Arial Unicode MS" w:hAnsi="Calibri" w:cs="Arial Unicode MS"/>
          <w:b/>
          <w:sz w:val="22"/>
          <w:szCs w:val="22"/>
          <w:lang w:eastAsia="en-US"/>
        </w:rPr>
        <w:t>8</w:t>
      </w:r>
    </w:p>
    <w:p w14:paraId="57A33242" w14:textId="577EB0E2" w:rsidR="003A7507" w:rsidRPr="001C6EAB" w:rsidRDefault="003A7507"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p>
    <w:p w14:paraId="6C8EA2D4" w14:textId="1DCB8718" w:rsidR="009236DE" w:rsidRPr="001C6EAB" w:rsidRDefault="003A7507" w:rsidP="001C6EAB">
      <w:pPr>
        <w:spacing w:before="240" w:after="240" w:line="276" w:lineRule="auto"/>
        <w:jc w:val="both"/>
        <w:rPr>
          <w:rFonts w:ascii="Calibri" w:hAnsi="Calibri"/>
          <w:i/>
          <w:sz w:val="22"/>
          <w:szCs w:val="22"/>
        </w:rPr>
      </w:pPr>
      <w:r w:rsidRPr="00D15F32">
        <w:rPr>
          <w:rFonts w:ascii="Calibri" w:hAnsi="Calibri"/>
          <w:i/>
          <w:sz w:val="22"/>
          <w:szCs w:val="22"/>
        </w:rPr>
        <w:t>Le calendrier prévisionnel d’exécution des missions se présente comme suit :</w:t>
      </w:r>
    </w:p>
    <w:tbl>
      <w:tblPr>
        <w:tblStyle w:val="Grilledutableau1"/>
        <w:tblW w:w="0" w:type="auto"/>
        <w:jc w:val="center"/>
        <w:tblLook w:val="04A0" w:firstRow="1" w:lastRow="0" w:firstColumn="1" w:lastColumn="0" w:noHBand="0" w:noVBand="1"/>
      </w:tblPr>
      <w:tblGrid>
        <w:gridCol w:w="5633"/>
        <w:gridCol w:w="1597"/>
        <w:gridCol w:w="1597"/>
      </w:tblGrid>
      <w:tr w:rsidR="001C6EAB" w:rsidRPr="00AC0DEF" w14:paraId="34B37B3D" w14:textId="77777777" w:rsidTr="001C6EAB">
        <w:trPr>
          <w:trHeight w:val="403"/>
          <w:jc w:val="center"/>
        </w:trPr>
        <w:tc>
          <w:tcPr>
            <w:tcW w:w="5633" w:type="dxa"/>
            <w:shd w:val="clear" w:color="auto" w:fill="DBE5F1" w:themeFill="accent1" w:themeFillTint="33"/>
          </w:tcPr>
          <w:p w14:paraId="37098106" w14:textId="77777777" w:rsidR="001C6EAB" w:rsidRPr="00AC0DEF" w:rsidRDefault="001C6EAB" w:rsidP="001C6EAB">
            <w:pPr>
              <w:spacing w:line="276" w:lineRule="auto"/>
              <w:jc w:val="center"/>
              <w:rPr>
                <w:rFonts w:ascii="Calibri" w:eastAsia="Times New Roman" w:hAnsi="Calibri" w:cs="Times New Roman"/>
                <w:b/>
                <w:lang w:eastAsia="fr-FR"/>
              </w:rPr>
            </w:pPr>
            <w:r w:rsidRPr="00AC0DEF">
              <w:rPr>
                <w:rFonts w:ascii="Calibri" w:eastAsia="Times New Roman" w:hAnsi="Calibri" w:cs="Times New Roman"/>
                <w:b/>
                <w:lang w:eastAsia="fr-FR"/>
              </w:rPr>
              <w:t>Activités</w:t>
            </w:r>
          </w:p>
        </w:tc>
        <w:tc>
          <w:tcPr>
            <w:tcW w:w="1597" w:type="dxa"/>
            <w:shd w:val="clear" w:color="auto" w:fill="DBE5F1" w:themeFill="accent1" w:themeFillTint="33"/>
          </w:tcPr>
          <w:p w14:paraId="02A78D23" w14:textId="77777777" w:rsidR="001C6EAB" w:rsidRPr="00D4352B" w:rsidRDefault="001C6EAB" w:rsidP="001C6EAB">
            <w:pPr>
              <w:spacing w:line="276" w:lineRule="auto"/>
              <w:jc w:val="center"/>
              <w:rPr>
                <w:rFonts w:ascii="Calibri" w:hAnsi="Calibri"/>
                <w:b/>
              </w:rPr>
            </w:pPr>
            <w:r w:rsidRPr="00D4352B">
              <w:rPr>
                <w:rFonts w:ascii="Calibri" w:hAnsi="Calibri"/>
                <w:b/>
              </w:rPr>
              <w:t>Lieu</w:t>
            </w:r>
          </w:p>
        </w:tc>
        <w:tc>
          <w:tcPr>
            <w:tcW w:w="1597" w:type="dxa"/>
            <w:shd w:val="clear" w:color="auto" w:fill="DBE5F1" w:themeFill="accent1" w:themeFillTint="33"/>
          </w:tcPr>
          <w:p w14:paraId="70DE35E7" w14:textId="77777777" w:rsidR="001C6EAB" w:rsidRPr="00D4352B" w:rsidRDefault="001C6EAB" w:rsidP="001C6EAB">
            <w:pPr>
              <w:spacing w:line="276" w:lineRule="auto"/>
              <w:jc w:val="center"/>
              <w:rPr>
                <w:rFonts w:ascii="Calibri" w:hAnsi="Calibri"/>
                <w:b/>
              </w:rPr>
            </w:pPr>
            <w:r w:rsidRPr="00D4352B">
              <w:rPr>
                <w:rFonts w:ascii="Calibri" w:hAnsi="Calibri"/>
                <w:b/>
              </w:rPr>
              <w:t>Période</w:t>
            </w:r>
          </w:p>
        </w:tc>
      </w:tr>
      <w:tr w:rsidR="00BE01CD" w:rsidRPr="00AC0DEF" w14:paraId="4C36463F" w14:textId="77777777" w:rsidTr="00480F9B">
        <w:trPr>
          <w:trHeight w:val="245"/>
          <w:jc w:val="center"/>
        </w:trPr>
        <w:tc>
          <w:tcPr>
            <w:tcW w:w="5633" w:type="dxa"/>
          </w:tcPr>
          <w:p w14:paraId="0260EC04" w14:textId="239A0600" w:rsidR="00BE01CD" w:rsidRPr="0031656C" w:rsidRDefault="00BE01CD" w:rsidP="001C6EAB">
            <w:pPr>
              <w:spacing w:line="276" w:lineRule="auto"/>
              <w:rPr>
                <w:rFonts w:cstheme="minorHAnsi"/>
                <w:sz w:val="20"/>
                <w:szCs w:val="20"/>
              </w:rPr>
            </w:pPr>
            <w:r w:rsidRPr="0031656C">
              <w:rPr>
                <w:rFonts w:cstheme="minorHAnsi"/>
                <w:sz w:val="20"/>
                <w:szCs w:val="20"/>
              </w:rPr>
              <w:t>Coordination</w:t>
            </w:r>
          </w:p>
        </w:tc>
        <w:tc>
          <w:tcPr>
            <w:tcW w:w="1597" w:type="dxa"/>
          </w:tcPr>
          <w:p w14:paraId="5B4AF705" w14:textId="0B2073C4" w:rsidR="00BE01CD" w:rsidRPr="0031656C" w:rsidRDefault="00BE01CD" w:rsidP="001C6EAB">
            <w:pPr>
              <w:spacing w:line="276" w:lineRule="auto"/>
              <w:jc w:val="center"/>
              <w:rPr>
                <w:rFonts w:cstheme="minorHAnsi"/>
                <w:sz w:val="20"/>
                <w:szCs w:val="20"/>
              </w:rPr>
            </w:pPr>
            <w:r w:rsidRPr="0031656C">
              <w:rPr>
                <w:rFonts w:cstheme="minorHAnsi"/>
                <w:sz w:val="20"/>
                <w:szCs w:val="20"/>
              </w:rPr>
              <w:t>Angola</w:t>
            </w:r>
          </w:p>
        </w:tc>
        <w:tc>
          <w:tcPr>
            <w:tcW w:w="1597" w:type="dxa"/>
          </w:tcPr>
          <w:p w14:paraId="65F3630B" w14:textId="3E049B04" w:rsidR="00BE01CD" w:rsidRPr="0031656C" w:rsidRDefault="0062007F" w:rsidP="001C6EAB">
            <w:pPr>
              <w:spacing w:line="276" w:lineRule="auto"/>
              <w:jc w:val="center"/>
              <w:rPr>
                <w:rFonts w:cstheme="minorHAnsi"/>
                <w:sz w:val="20"/>
                <w:szCs w:val="20"/>
              </w:rPr>
            </w:pPr>
            <w:r>
              <w:rPr>
                <w:rFonts w:cstheme="minorHAnsi"/>
                <w:sz w:val="20"/>
                <w:szCs w:val="20"/>
              </w:rPr>
              <w:t>Avril</w:t>
            </w:r>
            <w:r w:rsidR="009C42B4" w:rsidRPr="0031656C">
              <w:rPr>
                <w:rFonts w:cstheme="minorHAnsi"/>
                <w:sz w:val="20"/>
                <w:szCs w:val="20"/>
              </w:rPr>
              <w:t xml:space="preserve"> </w:t>
            </w:r>
            <w:r w:rsidR="00FF12F2" w:rsidRPr="0031656C">
              <w:rPr>
                <w:rFonts w:cstheme="minorHAnsi"/>
                <w:sz w:val="20"/>
                <w:szCs w:val="20"/>
              </w:rPr>
              <w:t>2025</w:t>
            </w:r>
            <w:r w:rsidR="00480F9B" w:rsidRPr="0031656C">
              <w:rPr>
                <w:rFonts w:cstheme="minorHAnsi"/>
                <w:sz w:val="20"/>
                <w:szCs w:val="20"/>
              </w:rPr>
              <w:t xml:space="preserve"> – Mai 2028</w:t>
            </w:r>
          </w:p>
        </w:tc>
      </w:tr>
      <w:tr w:rsidR="00BE01CD" w:rsidRPr="00AC0DEF" w14:paraId="15AB5A12" w14:textId="77777777" w:rsidTr="00480F9B">
        <w:trPr>
          <w:trHeight w:val="769"/>
          <w:jc w:val="center"/>
        </w:trPr>
        <w:tc>
          <w:tcPr>
            <w:tcW w:w="5633" w:type="dxa"/>
          </w:tcPr>
          <w:p w14:paraId="5931B8F3" w14:textId="7DCB5106" w:rsidR="00BE01CD" w:rsidRPr="0031656C" w:rsidRDefault="00BE01CD" w:rsidP="001C6EAB">
            <w:pPr>
              <w:spacing w:line="276" w:lineRule="auto"/>
              <w:rPr>
                <w:rFonts w:cstheme="minorHAnsi"/>
                <w:sz w:val="20"/>
                <w:szCs w:val="20"/>
              </w:rPr>
            </w:pPr>
            <w:r w:rsidRPr="0031656C">
              <w:rPr>
                <w:rFonts w:cstheme="minorHAnsi"/>
                <w:sz w:val="20"/>
                <w:szCs w:val="20"/>
              </w:rPr>
              <w:t>Activité 1 : Support à la création d’une boite à outils pour les PPP</w:t>
            </w:r>
          </w:p>
        </w:tc>
        <w:tc>
          <w:tcPr>
            <w:tcW w:w="1597" w:type="dxa"/>
          </w:tcPr>
          <w:p w14:paraId="639128DA" w14:textId="6BFA838D" w:rsidR="00BE01CD" w:rsidRPr="0031656C" w:rsidRDefault="00BE01CD" w:rsidP="001C6EAB">
            <w:pPr>
              <w:spacing w:line="276" w:lineRule="auto"/>
              <w:jc w:val="center"/>
              <w:rPr>
                <w:rFonts w:cstheme="minorHAnsi"/>
                <w:color w:val="000000"/>
                <w:sz w:val="20"/>
                <w:szCs w:val="20"/>
              </w:rPr>
            </w:pPr>
            <w:r w:rsidRPr="0031656C">
              <w:rPr>
                <w:rFonts w:cstheme="minorHAnsi"/>
                <w:sz w:val="20"/>
                <w:szCs w:val="20"/>
              </w:rPr>
              <w:t>Angola</w:t>
            </w:r>
          </w:p>
        </w:tc>
        <w:tc>
          <w:tcPr>
            <w:tcW w:w="1597" w:type="dxa"/>
          </w:tcPr>
          <w:p w14:paraId="52D92696" w14:textId="406BFF46" w:rsidR="00BE01CD" w:rsidRPr="0031656C" w:rsidRDefault="0062007F" w:rsidP="00A52904">
            <w:pPr>
              <w:spacing w:line="276" w:lineRule="auto"/>
              <w:jc w:val="center"/>
              <w:rPr>
                <w:rFonts w:cstheme="minorHAnsi"/>
                <w:color w:val="000000"/>
                <w:sz w:val="20"/>
                <w:szCs w:val="20"/>
              </w:rPr>
            </w:pPr>
            <w:r>
              <w:rPr>
                <w:rFonts w:cstheme="minorHAnsi"/>
                <w:color w:val="000000"/>
                <w:sz w:val="20"/>
                <w:szCs w:val="20"/>
              </w:rPr>
              <w:t>Avril</w:t>
            </w:r>
            <w:r w:rsidR="00A52904" w:rsidRPr="0031656C">
              <w:rPr>
                <w:rFonts w:cstheme="minorHAnsi"/>
                <w:color w:val="000000"/>
                <w:sz w:val="20"/>
                <w:szCs w:val="20"/>
              </w:rPr>
              <w:t xml:space="preserve"> </w:t>
            </w:r>
            <w:r w:rsidR="00BE01CD" w:rsidRPr="0031656C">
              <w:rPr>
                <w:rFonts w:cstheme="minorHAnsi"/>
                <w:color w:val="000000"/>
                <w:sz w:val="20"/>
                <w:szCs w:val="20"/>
              </w:rPr>
              <w:t>202</w:t>
            </w:r>
            <w:r w:rsidR="00A52904" w:rsidRPr="0031656C">
              <w:rPr>
                <w:rFonts w:cstheme="minorHAnsi"/>
                <w:color w:val="000000"/>
                <w:sz w:val="20"/>
                <w:szCs w:val="20"/>
              </w:rPr>
              <w:t>5</w:t>
            </w:r>
            <w:r w:rsidR="00BE01CD" w:rsidRPr="0031656C">
              <w:rPr>
                <w:rFonts w:cstheme="minorHAnsi"/>
                <w:color w:val="000000"/>
                <w:sz w:val="20"/>
                <w:szCs w:val="20"/>
              </w:rPr>
              <w:t xml:space="preserve"> – Mai 2028</w:t>
            </w:r>
          </w:p>
        </w:tc>
      </w:tr>
      <w:tr w:rsidR="00BE01CD" w:rsidRPr="00AC0DEF" w14:paraId="5B512B66" w14:textId="77777777" w:rsidTr="00480F9B">
        <w:trPr>
          <w:trHeight w:val="512"/>
          <w:jc w:val="center"/>
        </w:trPr>
        <w:tc>
          <w:tcPr>
            <w:tcW w:w="5633" w:type="dxa"/>
          </w:tcPr>
          <w:p w14:paraId="69AB32B0" w14:textId="10C33668" w:rsidR="00BE01CD" w:rsidRPr="0031656C" w:rsidRDefault="00BE01CD" w:rsidP="001C6EAB">
            <w:pPr>
              <w:spacing w:line="276" w:lineRule="auto"/>
              <w:rPr>
                <w:rFonts w:cstheme="minorHAnsi"/>
                <w:sz w:val="20"/>
                <w:szCs w:val="20"/>
              </w:rPr>
            </w:pPr>
            <w:r w:rsidRPr="0031656C">
              <w:rPr>
                <w:rFonts w:cstheme="minorHAnsi"/>
                <w:sz w:val="20"/>
                <w:szCs w:val="20"/>
              </w:rPr>
              <w:t>Activité 2 : Support à la réalisation d’études de faisabilité sur le projet pilote</w:t>
            </w:r>
          </w:p>
        </w:tc>
        <w:tc>
          <w:tcPr>
            <w:tcW w:w="1597" w:type="dxa"/>
          </w:tcPr>
          <w:p w14:paraId="67C47515" w14:textId="6442E624" w:rsidR="00BE01CD" w:rsidRPr="0031656C" w:rsidRDefault="00BE01CD" w:rsidP="001C6EAB">
            <w:pPr>
              <w:spacing w:line="276" w:lineRule="auto"/>
              <w:jc w:val="center"/>
              <w:rPr>
                <w:rFonts w:cstheme="minorHAnsi"/>
                <w:sz w:val="20"/>
                <w:szCs w:val="20"/>
              </w:rPr>
            </w:pPr>
            <w:r w:rsidRPr="0031656C">
              <w:rPr>
                <w:rFonts w:cstheme="minorHAnsi"/>
                <w:sz w:val="20"/>
                <w:szCs w:val="20"/>
              </w:rPr>
              <w:t>Angola</w:t>
            </w:r>
          </w:p>
        </w:tc>
        <w:tc>
          <w:tcPr>
            <w:tcW w:w="1597" w:type="dxa"/>
          </w:tcPr>
          <w:p w14:paraId="76CC9D16" w14:textId="6F676DE4" w:rsidR="00BE01CD" w:rsidRPr="0031656C" w:rsidRDefault="0062007F" w:rsidP="00A52904">
            <w:pPr>
              <w:spacing w:line="276" w:lineRule="auto"/>
              <w:jc w:val="center"/>
              <w:rPr>
                <w:rFonts w:cstheme="minorHAnsi"/>
                <w:sz w:val="20"/>
                <w:szCs w:val="20"/>
              </w:rPr>
            </w:pPr>
            <w:r>
              <w:rPr>
                <w:rFonts w:cstheme="minorHAnsi"/>
                <w:sz w:val="20"/>
                <w:szCs w:val="20"/>
              </w:rPr>
              <w:t>Avril</w:t>
            </w:r>
            <w:r w:rsidR="00A52904" w:rsidRPr="0031656C">
              <w:rPr>
                <w:rFonts w:cstheme="minorHAnsi"/>
                <w:sz w:val="20"/>
                <w:szCs w:val="20"/>
              </w:rPr>
              <w:t xml:space="preserve"> 2025</w:t>
            </w:r>
            <w:r w:rsidR="00BE01CD" w:rsidRPr="0031656C">
              <w:rPr>
                <w:rFonts w:cstheme="minorHAnsi"/>
                <w:sz w:val="20"/>
                <w:szCs w:val="20"/>
              </w:rPr>
              <w:t>-</w:t>
            </w:r>
            <w:r w:rsidR="00A52904" w:rsidRPr="0031656C">
              <w:rPr>
                <w:rFonts w:cstheme="minorHAnsi"/>
                <w:sz w:val="20"/>
                <w:szCs w:val="20"/>
              </w:rPr>
              <w:t>Mai</w:t>
            </w:r>
            <w:r w:rsidR="00BE01CD" w:rsidRPr="0031656C">
              <w:rPr>
                <w:rFonts w:cstheme="minorHAnsi"/>
                <w:sz w:val="20"/>
                <w:szCs w:val="20"/>
              </w:rPr>
              <w:t xml:space="preserve"> 202</w:t>
            </w:r>
            <w:r w:rsidR="00A52904" w:rsidRPr="0031656C">
              <w:rPr>
                <w:rFonts w:cstheme="minorHAnsi"/>
                <w:sz w:val="20"/>
                <w:szCs w:val="20"/>
              </w:rPr>
              <w:t>8</w:t>
            </w:r>
          </w:p>
        </w:tc>
      </w:tr>
      <w:tr w:rsidR="00BE01CD" w:rsidRPr="00AC0DEF" w14:paraId="35692C9E" w14:textId="77777777" w:rsidTr="00480F9B">
        <w:trPr>
          <w:trHeight w:val="758"/>
          <w:jc w:val="center"/>
        </w:trPr>
        <w:tc>
          <w:tcPr>
            <w:tcW w:w="5633" w:type="dxa"/>
          </w:tcPr>
          <w:p w14:paraId="53FAD79F" w14:textId="1BF59901" w:rsidR="00BE01CD" w:rsidRPr="0031656C" w:rsidRDefault="00BE01CD" w:rsidP="001C6EAB">
            <w:pPr>
              <w:spacing w:line="276" w:lineRule="auto"/>
              <w:rPr>
                <w:rFonts w:cstheme="minorHAnsi"/>
                <w:sz w:val="20"/>
                <w:szCs w:val="20"/>
              </w:rPr>
            </w:pPr>
            <w:r w:rsidRPr="0031656C">
              <w:rPr>
                <w:rFonts w:cstheme="minorHAnsi"/>
                <w:sz w:val="20"/>
                <w:szCs w:val="20"/>
              </w:rPr>
              <w:t>Activité 3 : Conception de formations techniques spécifiques aux chefs de projet DN PPP, MINFIN et PPP</w:t>
            </w:r>
          </w:p>
        </w:tc>
        <w:tc>
          <w:tcPr>
            <w:tcW w:w="1597" w:type="dxa"/>
          </w:tcPr>
          <w:p w14:paraId="592EDA5C" w14:textId="1817AC71" w:rsidR="00BE01CD" w:rsidRPr="0031656C" w:rsidRDefault="00BE01CD" w:rsidP="001C6EAB">
            <w:pPr>
              <w:spacing w:line="276" w:lineRule="auto"/>
              <w:jc w:val="center"/>
              <w:rPr>
                <w:rFonts w:cstheme="minorHAnsi"/>
                <w:sz w:val="20"/>
                <w:szCs w:val="20"/>
              </w:rPr>
            </w:pPr>
            <w:r w:rsidRPr="0031656C">
              <w:rPr>
                <w:rFonts w:cstheme="minorHAnsi"/>
                <w:sz w:val="20"/>
                <w:szCs w:val="20"/>
              </w:rPr>
              <w:t>Angola</w:t>
            </w:r>
          </w:p>
        </w:tc>
        <w:tc>
          <w:tcPr>
            <w:tcW w:w="1597" w:type="dxa"/>
          </w:tcPr>
          <w:p w14:paraId="757BCEF7" w14:textId="1F9C53F7" w:rsidR="00BE01CD" w:rsidRPr="0031656C" w:rsidRDefault="0062007F" w:rsidP="001C6EAB">
            <w:pPr>
              <w:spacing w:line="276" w:lineRule="auto"/>
              <w:jc w:val="center"/>
              <w:rPr>
                <w:rFonts w:cstheme="minorHAnsi"/>
                <w:sz w:val="20"/>
                <w:szCs w:val="20"/>
              </w:rPr>
            </w:pPr>
            <w:r>
              <w:rPr>
                <w:rFonts w:cstheme="minorHAnsi"/>
                <w:color w:val="000000"/>
                <w:sz w:val="20"/>
                <w:szCs w:val="20"/>
              </w:rPr>
              <w:t>Avril</w:t>
            </w:r>
            <w:r w:rsidR="00A52904" w:rsidRPr="0031656C">
              <w:rPr>
                <w:rFonts w:cstheme="minorHAnsi"/>
                <w:color w:val="000000"/>
                <w:sz w:val="20"/>
                <w:szCs w:val="20"/>
              </w:rPr>
              <w:t xml:space="preserve"> 2025</w:t>
            </w:r>
            <w:r w:rsidR="00BE01CD" w:rsidRPr="0031656C">
              <w:rPr>
                <w:rFonts w:cstheme="minorHAnsi"/>
                <w:color w:val="000000"/>
                <w:sz w:val="20"/>
                <w:szCs w:val="20"/>
              </w:rPr>
              <w:t xml:space="preserve"> – Mai 2028</w:t>
            </w:r>
          </w:p>
        </w:tc>
      </w:tr>
      <w:tr w:rsidR="00BE01CD" w:rsidRPr="00AC0DEF" w14:paraId="629BD93F" w14:textId="77777777" w:rsidTr="00480F9B">
        <w:trPr>
          <w:trHeight w:val="869"/>
          <w:jc w:val="center"/>
        </w:trPr>
        <w:tc>
          <w:tcPr>
            <w:tcW w:w="5633" w:type="dxa"/>
          </w:tcPr>
          <w:p w14:paraId="0E6BD773" w14:textId="219134DE" w:rsidR="00BE01CD" w:rsidRPr="0031656C" w:rsidRDefault="00BE01CD" w:rsidP="001C6EAB">
            <w:pPr>
              <w:spacing w:line="276" w:lineRule="auto"/>
              <w:rPr>
                <w:rFonts w:cstheme="minorHAnsi"/>
                <w:sz w:val="20"/>
                <w:szCs w:val="20"/>
              </w:rPr>
            </w:pPr>
            <w:r w:rsidRPr="0031656C">
              <w:rPr>
                <w:rFonts w:cstheme="minorHAnsi"/>
                <w:sz w:val="20"/>
                <w:szCs w:val="20"/>
              </w:rPr>
              <w:t>Activité 4 : Appui à l’intégration du cadre de gouvernance des PPP</w:t>
            </w:r>
          </w:p>
        </w:tc>
        <w:tc>
          <w:tcPr>
            <w:tcW w:w="1597" w:type="dxa"/>
          </w:tcPr>
          <w:p w14:paraId="5A351245" w14:textId="71F0FDB8" w:rsidR="00BE01CD" w:rsidRPr="0031656C" w:rsidRDefault="00BE01CD" w:rsidP="001C6EAB">
            <w:pPr>
              <w:spacing w:line="276" w:lineRule="auto"/>
              <w:jc w:val="center"/>
              <w:rPr>
                <w:rFonts w:cstheme="minorHAnsi"/>
                <w:color w:val="000000"/>
                <w:sz w:val="20"/>
                <w:szCs w:val="20"/>
              </w:rPr>
            </w:pPr>
            <w:r w:rsidRPr="0031656C">
              <w:rPr>
                <w:rFonts w:cstheme="minorHAnsi"/>
                <w:sz w:val="20"/>
                <w:szCs w:val="20"/>
              </w:rPr>
              <w:t>Angola</w:t>
            </w:r>
          </w:p>
        </w:tc>
        <w:tc>
          <w:tcPr>
            <w:tcW w:w="1597" w:type="dxa"/>
          </w:tcPr>
          <w:p w14:paraId="410AC373" w14:textId="2D9FF795" w:rsidR="00BE01CD" w:rsidRPr="0031656C" w:rsidRDefault="0062007F" w:rsidP="001C6EAB">
            <w:pPr>
              <w:spacing w:line="276" w:lineRule="auto"/>
              <w:jc w:val="center"/>
              <w:rPr>
                <w:rFonts w:cstheme="minorHAnsi"/>
                <w:color w:val="000000"/>
                <w:sz w:val="20"/>
                <w:szCs w:val="20"/>
              </w:rPr>
            </w:pPr>
            <w:r>
              <w:rPr>
                <w:rFonts w:cstheme="minorHAnsi"/>
                <w:color w:val="000000"/>
                <w:sz w:val="20"/>
                <w:szCs w:val="20"/>
              </w:rPr>
              <w:t>Avril</w:t>
            </w:r>
            <w:r w:rsidR="00A52904" w:rsidRPr="0031656C">
              <w:rPr>
                <w:rFonts w:cstheme="minorHAnsi"/>
                <w:color w:val="000000"/>
                <w:sz w:val="20"/>
                <w:szCs w:val="20"/>
              </w:rPr>
              <w:t xml:space="preserve"> 2025</w:t>
            </w:r>
            <w:r w:rsidR="00BE01CD" w:rsidRPr="0031656C">
              <w:rPr>
                <w:rFonts w:cstheme="minorHAnsi"/>
                <w:color w:val="000000"/>
                <w:sz w:val="20"/>
                <w:szCs w:val="20"/>
              </w:rPr>
              <w:t xml:space="preserve"> – Mai 2028</w:t>
            </w:r>
          </w:p>
        </w:tc>
      </w:tr>
      <w:tr w:rsidR="00BE01CD" w:rsidRPr="00AC0DEF" w14:paraId="252E6628" w14:textId="77777777" w:rsidTr="001C6EAB">
        <w:trPr>
          <w:trHeight w:val="289"/>
          <w:jc w:val="center"/>
        </w:trPr>
        <w:tc>
          <w:tcPr>
            <w:tcW w:w="5633" w:type="dxa"/>
            <w:shd w:val="clear" w:color="auto" w:fill="DBE5F1" w:themeFill="accent1" w:themeFillTint="33"/>
          </w:tcPr>
          <w:p w14:paraId="0FEA262C" w14:textId="77777777" w:rsidR="00BE01CD" w:rsidRPr="00AC0DEF" w:rsidRDefault="00BE01CD" w:rsidP="001C6EAB">
            <w:pPr>
              <w:spacing w:line="276" w:lineRule="auto"/>
              <w:jc w:val="center"/>
              <w:rPr>
                <w:b/>
                <w:bCs/>
                <w:sz w:val="20"/>
                <w:szCs w:val="20"/>
              </w:rPr>
            </w:pPr>
            <w:r w:rsidRPr="00A549E0">
              <w:rPr>
                <w:b/>
                <w:bCs/>
                <w:sz w:val="20"/>
                <w:szCs w:val="20"/>
              </w:rPr>
              <w:t xml:space="preserve">Total </w:t>
            </w:r>
          </w:p>
        </w:tc>
        <w:tc>
          <w:tcPr>
            <w:tcW w:w="1597" w:type="dxa"/>
            <w:shd w:val="clear" w:color="auto" w:fill="DBE5F1" w:themeFill="accent1" w:themeFillTint="33"/>
          </w:tcPr>
          <w:p w14:paraId="24C7291F" w14:textId="77777777" w:rsidR="00BE01CD" w:rsidRPr="00A549E0" w:rsidRDefault="00BE01CD" w:rsidP="001C6EAB">
            <w:pPr>
              <w:spacing w:line="276" w:lineRule="auto"/>
              <w:jc w:val="center"/>
              <w:rPr>
                <w:b/>
                <w:sz w:val="20"/>
                <w:szCs w:val="20"/>
              </w:rPr>
            </w:pPr>
          </w:p>
        </w:tc>
        <w:tc>
          <w:tcPr>
            <w:tcW w:w="1597" w:type="dxa"/>
            <w:shd w:val="clear" w:color="auto" w:fill="DBE5F1" w:themeFill="accent1" w:themeFillTint="33"/>
          </w:tcPr>
          <w:p w14:paraId="07815A84" w14:textId="77777777" w:rsidR="00BE01CD" w:rsidRPr="00A549E0" w:rsidRDefault="00BE01CD" w:rsidP="001C6EAB">
            <w:pPr>
              <w:spacing w:line="276" w:lineRule="auto"/>
              <w:jc w:val="center"/>
              <w:rPr>
                <w:b/>
                <w:sz w:val="20"/>
                <w:szCs w:val="20"/>
              </w:rPr>
            </w:pPr>
          </w:p>
        </w:tc>
      </w:tr>
    </w:tbl>
    <w:p w14:paraId="1982EB1F" w14:textId="77777777" w:rsidR="001D27F6" w:rsidRPr="00D15F32" w:rsidRDefault="0047117E" w:rsidP="001C6EAB">
      <w:pPr>
        <w:numPr>
          <w:ilvl w:val="0"/>
          <w:numId w:val="14"/>
        </w:numPr>
        <w:shd w:val="clear" w:color="auto" w:fill="DBE5F1" w:themeFill="accent1" w:themeFillTint="33"/>
        <w:tabs>
          <w:tab w:val="clear" w:pos="720"/>
          <w:tab w:val="num" w:pos="180"/>
        </w:tabs>
        <w:spacing w:before="240" w:after="240" w:line="276" w:lineRule="auto"/>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203D5820" w14:textId="3D551633" w:rsidR="00941327" w:rsidRDefault="00B66BE6"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Nombre d’experts</w:t>
      </w:r>
      <w:r w:rsidR="00BB0137">
        <w:rPr>
          <w:rFonts w:ascii="Calibri" w:eastAsia="Arial Unicode MS" w:hAnsi="Calibri" w:cs="Arial Unicode MS"/>
          <w:b/>
          <w:sz w:val="22"/>
          <w:szCs w:val="22"/>
          <w:lang w:eastAsia="en-US"/>
        </w:rPr>
        <w:t xml:space="preserve"> par mission</w:t>
      </w:r>
      <w:r w:rsidRPr="00D15F32">
        <w:rPr>
          <w:rFonts w:ascii="Calibri" w:eastAsia="Arial Unicode MS" w:hAnsi="Calibri" w:cs="Arial Unicode MS"/>
          <w:b/>
          <w:sz w:val="22"/>
          <w:szCs w:val="22"/>
          <w:lang w:eastAsia="en-US"/>
        </w:rPr>
        <w:t> :</w:t>
      </w:r>
      <w:r w:rsidR="00EC3375">
        <w:rPr>
          <w:rFonts w:ascii="Calibri" w:eastAsia="Arial Unicode MS" w:hAnsi="Calibri" w:cs="Arial Unicode MS"/>
          <w:sz w:val="22"/>
          <w:szCs w:val="22"/>
          <w:lang w:eastAsia="en-US"/>
        </w:rPr>
        <w:t xml:space="preserve"> </w:t>
      </w:r>
      <w:r w:rsidR="00925992">
        <w:rPr>
          <w:rFonts w:ascii="Calibri" w:eastAsia="Arial Unicode MS" w:hAnsi="Calibri" w:cs="Arial Unicode MS"/>
          <w:sz w:val="22"/>
          <w:szCs w:val="22"/>
          <w:lang w:eastAsia="en-US"/>
        </w:rPr>
        <w:t xml:space="preserve">minimum </w:t>
      </w:r>
      <w:r w:rsidR="00EC3375">
        <w:rPr>
          <w:rFonts w:ascii="Calibri" w:eastAsia="Arial Unicode MS" w:hAnsi="Calibri" w:cs="Arial Unicode MS"/>
          <w:sz w:val="22"/>
          <w:szCs w:val="22"/>
          <w:lang w:eastAsia="en-US"/>
        </w:rPr>
        <w:t>2</w:t>
      </w:r>
    </w:p>
    <w:p w14:paraId="04418044" w14:textId="7B44695F" w:rsidR="00941327" w:rsidRPr="001C6EAB" w:rsidRDefault="00941327" w:rsidP="001C6EAB">
      <w:pPr>
        <w:spacing w:before="240" w:after="240" w:line="276" w:lineRule="auto"/>
        <w:jc w:val="both"/>
        <w:rPr>
          <w:rFonts w:ascii="Calibri" w:eastAsia="Arial Unicode MS" w:hAnsi="Calibri" w:cs="Arial Unicode MS"/>
          <w:sz w:val="22"/>
          <w:szCs w:val="22"/>
          <w:lang w:eastAsia="en-US"/>
        </w:rPr>
      </w:pPr>
      <w:r w:rsidRPr="001C6EAB">
        <w:rPr>
          <w:rFonts w:ascii="Calibri" w:eastAsia="Arial Unicode MS" w:hAnsi="Calibri" w:cs="Arial Unicode MS"/>
          <w:sz w:val="22"/>
          <w:szCs w:val="22"/>
          <w:lang w:eastAsia="en-US"/>
        </w:rPr>
        <w:t xml:space="preserve">Pour </w:t>
      </w:r>
      <w:r w:rsidR="00EB3B4C" w:rsidRPr="001C6EAB">
        <w:rPr>
          <w:rFonts w:ascii="Calibri" w:eastAsia="Arial Unicode MS" w:hAnsi="Calibri" w:cs="Arial Unicode MS"/>
          <w:sz w:val="22"/>
          <w:szCs w:val="22"/>
          <w:lang w:eastAsia="en-US"/>
        </w:rPr>
        <w:t>les activités de la composante,</w:t>
      </w:r>
      <w:r w:rsidRPr="001C6EAB">
        <w:rPr>
          <w:rFonts w:ascii="Calibri" w:eastAsia="Arial Unicode MS" w:hAnsi="Calibri" w:cs="Arial Unicode MS"/>
          <w:sz w:val="22"/>
          <w:szCs w:val="22"/>
          <w:lang w:eastAsia="en-US"/>
        </w:rPr>
        <w:t xml:space="preserve"> </w:t>
      </w:r>
      <w:r w:rsidR="001C6EAB" w:rsidRPr="001C6EAB">
        <w:rPr>
          <w:rFonts w:ascii="Calibri" w:eastAsia="Arial Unicode MS" w:hAnsi="Calibri" w:cs="Arial Unicode MS"/>
          <w:sz w:val="22"/>
          <w:szCs w:val="22"/>
          <w:lang w:eastAsia="en-US"/>
        </w:rPr>
        <w:t>Expertise France souhaite</w:t>
      </w:r>
      <w:r w:rsidRPr="001C6EAB">
        <w:rPr>
          <w:rFonts w:ascii="Calibri" w:eastAsia="Arial Unicode MS" w:hAnsi="Calibri" w:cs="Arial Unicode MS"/>
          <w:sz w:val="22"/>
          <w:szCs w:val="22"/>
          <w:lang w:eastAsia="en-US"/>
        </w:rPr>
        <w:t xml:space="preserve"> mobiliser un binôme de référence dans le secteur d’activité précis de la mission </w:t>
      </w:r>
      <w:r w:rsidR="001C6EAB" w:rsidRPr="001C6EAB">
        <w:rPr>
          <w:rFonts w:ascii="Calibri" w:eastAsia="Arial Unicode MS" w:hAnsi="Calibri" w:cs="Arial Unicode MS"/>
          <w:sz w:val="22"/>
          <w:szCs w:val="22"/>
          <w:lang w:eastAsia="en-US"/>
        </w:rPr>
        <w:t>composé</w:t>
      </w:r>
      <w:r w:rsidRPr="001C6EAB">
        <w:rPr>
          <w:rFonts w:ascii="Calibri" w:eastAsia="Arial Unicode MS" w:hAnsi="Calibri" w:cs="Arial Unicode MS"/>
          <w:sz w:val="22"/>
          <w:szCs w:val="22"/>
          <w:lang w:eastAsia="en-US"/>
        </w:rPr>
        <w:t xml:space="preserve"> </w:t>
      </w:r>
      <w:proofErr w:type="gramStart"/>
      <w:r w:rsidRPr="001C6EAB">
        <w:rPr>
          <w:rFonts w:ascii="Calibri" w:eastAsia="Arial Unicode MS" w:hAnsi="Calibri" w:cs="Arial Unicode MS"/>
          <w:sz w:val="22"/>
          <w:szCs w:val="22"/>
          <w:lang w:eastAsia="en-US"/>
        </w:rPr>
        <w:t>d’</w:t>
      </w:r>
      <w:proofErr w:type="spellStart"/>
      <w:r w:rsidRPr="001C6EAB">
        <w:rPr>
          <w:rFonts w:ascii="Calibri" w:eastAsia="Arial Unicode MS" w:hAnsi="Calibri" w:cs="Arial Unicode MS"/>
          <w:sz w:val="22"/>
          <w:szCs w:val="22"/>
          <w:lang w:eastAsia="en-US"/>
        </w:rPr>
        <w:t>un.e</w:t>
      </w:r>
      <w:proofErr w:type="spellEnd"/>
      <w:proofErr w:type="gramEnd"/>
      <w:r w:rsidRPr="001C6EAB">
        <w:rPr>
          <w:rFonts w:ascii="Calibri" w:eastAsia="Arial Unicode MS" w:hAnsi="Calibri" w:cs="Arial Unicode MS"/>
          <w:sz w:val="22"/>
          <w:szCs w:val="22"/>
          <w:lang w:eastAsia="en-US"/>
        </w:rPr>
        <w:t xml:space="preserve"> </w:t>
      </w:r>
      <w:proofErr w:type="spellStart"/>
      <w:r w:rsidRPr="001C6EAB">
        <w:rPr>
          <w:rFonts w:ascii="Calibri" w:eastAsia="Arial Unicode MS" w:hAnsi="Calibri" w:cs="Arial Unicode MS"/>
          <w:sz w:val="22"/>
          <w:szCs w:val="22"/>
          <w:lang w:eastAsia="en-US"/>
        </w:rPr>
        <w:t>expert.e</w:t>
      </w:r>
      <w:proofErr w:type="spellEnd"/>
      <w:r w:rsidRPr="001C6EAB">
        <w:rPr>
          <w:rFonts w:ascii="Calibri" w:eastAsia="Arial Unicode MS" w:hAnsi="Calibri" w:cs="Arial Unicode MS"/>
          <w:sz w:val="22"/>
          <w:szCs w:val="22"/>
          <w:lang w:eastAsia="en-US"/>
        </w:rPr>
        <w:t xml:space="preserve"> clé et d’</w:t>
      </w:r>
      <w:proofErr w:type="spellStart"/>
      <w:r w:rsidRPr="001C6EAB">
        <w:rPr>
          <w:rFonts w:ascii="Calibri" w:eastAsia="Arial Unicode MS" w:hAnsi="Calibri" w:cs="Arial Unicode MS"/>
          <w:sz w:val="22"/>
          <w:szCs w:val="22"/>
          <w:lang w:eastAsia="en-US"/>
        </w:rPr>
        <w:t>un.e</w:t>
      </w:r>
      <w:proofErr w:type="spellEnd"/>
      <w:r w:rsidRPr="001C6EAB">
        <w:rPr>
          <w:rFonts w:ascii="Calibri" w:eastAsia="Arial Unicode MS" w:hAnsi="Calibri" w:cs="Arial Unicode MS"/>
          <w:sz w:val="22"/>
          <w:szCs w:val="22"/>
          <w:lang w:eastAsia="en-US"/>
        </w:rPr>
        <w:t xml:space="preserve"> </w:t>
      </w:r>
      <w:proofErr w:type="spellStart"/>
      <w:r w:rsidRPr="001C6EAB">
        <w:rPr>
          <w:rFonts w:ascii="Calibri" w:eastAsia="Arial Unicode MS" w:hAnsi="Calibri" w:cs="Arial Unicode MS"/>
          <w:sz w:val="22"/>
          <w:szCs w:val="22"/>
          <w:lang w:eastAsia="en-US"/>
        </w:rPr>
        <w:t>adjoint.e</w:t>
      </w:r>
      <w:proofErr w:type="spellEnd"/>
      <w:r w:rsidRPr="001C6EAB">
        <w:rPr>
          <w:rFonts w:ascii="Calibri" w:eastAsia="Arial Unicode MS" w:hAnsi="Calibri" w:cs="Arial Unicode MS"/>
          <w:sz w:val="22"/>
          <w:szCs w:val="22"/>
          <w:lang w:eastAsia="en-US"/>
        </w:rPr>
        <w:t>.</w:t>
      </w:r>
    </w:p>
    <w:p w14:paraId="56FF0DA7" w14:textId="737C80FB" w:rsidR="003A7185" w:rsidRDefault="003A7185" w:rsidP="001C6EAB">
      <w:pPr>
        <w:spacing w:before="240" w:after="240" w:line="276" w:lineRule="auto"/>
        <w:jc w:val="both"/>
        <w:rPr>
          <w:rFonts w:ascii="Calibri" w:eastAsia="Arial Unicode MS" w:hAnsi="Calibri" w:cs="Arial Unicode MS"/>
          <w:b/>
          <w:sz w:val="22"/>
          <w:szCs w:val="22"/>
          <w:lang w:eastAsia="en-US"/>
        </w:rPr>
      </w:pPr>
    </w:p>
    <w:tbl>
      <w:tblPr>
        <w:tblStyle w:val="Grilledutableau"/>
        <w:tblW w:w="9072" w:type="dxa"/>
        <w:tblInd w:w="-5" w:type="dxa"/>
        <w:tblLook w:val="04A0" w:firstRow="1" w:lastRow="0" w:firstColumn="1" w:lastColumn="0" w:noHBand="0" w:noVBand="1"/>
      </w:tblPr>
      <w:tblGrid>
        <w:gridCol w:w="1787"/>
        <w:gridCol w:w="2571"/>
        <w:gridCol w:w="2668"/>
        <w:gridCol w:w="2046"/>
      </w:tblGrid>
      <w:tr w:rsidR="00EB3B4C" w:rsidRPr="00941327" w14:paraId="1D6C014A" w14:textId="77777777" w:rsidTr="007C6859">
        <w:trPr>
          <w:trHeight w:val="665"/>
        </w:trPr>
        <w:tc>
          <w:tcPr>
            <w:tcW w:w="1787" w:type="dxa"/>
          </w:tcPr>
          <w:p w14:paraId="77E40DF3" w14:textId="77777777" w:rsidR="00EB3B4C" w:rsidRPr="003649B1" w:rsidRDefault="00EB3B4C" w:rsidP="001C6EAB">
            <w:pPr>
              <w:spacing w:line="276" w:lineRule="auto"/>
              <w:rPr>
                <w:rFonts w:asciiTheme="minorHAnsi" w:hAnsiTheme="minorHAnsi" w:cstheme="minorHAnsi"/>
                <w:b/>
                <w:sz w:val="22"/>
              </w:rPr>
            </w:pPr>
            <w:r w:rsidRPr="003649B1">
              <w:rPr>
                <w:rFonts w:asciiTheme="minorHAnsi" w:hAnsiTheme="minorHAnsi" w:cstheme="minorHAnsi"/>
                <w:b/>
                <w:sz w:val="22"/>
              </w:rPr>
              <w:lastRenderedPageBreak/>
              <w:t>Poste</w:t>
            </w:r>
          </w:p>
        </w:tc>
        <w:tc>
          <w:tcPr>
            <w:tcW w:w="2571" w:type="dxa"/>
          </w:tcPr>
          <w:p w14:paraId="02F82B5A" w14:textId="77777777" w:rsidR="00EB3B4C" w:rsidRPr="003649B1" w:rsidRDefault="00EB3B4C" w:rsidP="001C6EAB">
            <w:pPr>
              <w:spacing w:line="276" w:lineRule="auto"/>
              <w:rPr>
                <w:rFonts w:asciiTheme="minorHAnsi" w:hAnsiTheme="minorHAnsi" w:cstheme="minorHAnsi"/>
                <w:b/>
                <w:sz w:val="22"/>
              </w:rPr>
            </w:pPr>
            <w:r w:rsidRPr="003649B1">
              <w:rPr>
                <w:rFonts w:asciiTheme="minorHAnsi" w:hAnsiTheme="minorHAnsi" w:cstheme="minorHAnsi"/>
                <w:b/>
                <w:sz w:val="22"/>
              </w:rPr>
              <w:t>Total de jours sur 4 ans</w:t>
            </w:r>
          </w:p>
        </w:tc>
        <w:tc>
          <w:tcPr>
            <w:tcW w:w="2668" w:type="dxa"/>
          </w:tcPr>
          <w:p w14:paraId="05A3C9C8" w14:textId="77777777" w:rsidR="00EB3B4C" w:rsidRPr="003649B1" w:rsidRDefault="00EB3B4C" w:rsidP="001C6EAB">
            <w:pPr>
              <w:spacing w:line="276" w:lineRule="auto"/>
              <w:rPr>
                <w:rFonts w:asciiTheme="minorHAnsi" w:hAnsiTheme="minorHAnsi" w:cstheme="minorHAnsi"/>
                <w:b/>
                <w:sz w:val="22"/>
              </w:rPr>
            </w:pPr>
            <w:r w:rsidRPr="003649B1">
              <w:rPr>
                <w:rFonts w:asciiTheme="minorHAnsi" w:hAnsiTheme="minorHAnsi" w:cstheme="minorHAnsi"/>
                <w:b/>
                <w:sz w:val="22"/>
              </w:rPr>
              <w:t>Total de jours par an (moyenne)</w:t>
            </w:r>
          </w:p>
        </w:tc>
        <w:tc>
          <w:tcPr>
            <w:tcW w:w="2046" w:type="dxa"/>
          </w:tcPr>
          <w:p w14:paraId="7780A5F8" w14:textId="77777777" w:rsidR="00EB3B4C" w:rsidRPr="003649B1" w:rsidRDefault="00EB3B4C" w:rsidP="001C6EAB">
            <w:pPr>
              <w:spacing w:line="276" w:lineRule="auto"/>
              <w:rPr>
                <w:rFonts w:asciiTheme="minorHAnsi" w:hAnsiTheme="minorHAnsi" w:cstheme="minorHAnsi"/>
                <w:b/>
                <w:sz w:val="22"/>
              </w:rPr>
            </w:pPr>
            <w:r w:rsidRPr="003649B1">
              <w:rPr>
                <w:rFonts w:asciiTheme="minorHAnsi" w:hAnsiTheme="minorHAnsi" w:cstheme="minorHAnsi"/>
                <w:b/>
                <w:sz w:val="22"/>
              </w:rPr>
              <w:t>Nombre de missions par an</w:t>
            </w:r>
          </w:p>
        </w:tc>
      </w:tr>
      <w:tr w:rsidR="00EB3B4C" w:rsidRPr="00941327" w14:paraId="7740EF70" w14:textId="77777777" w:rsidTr="007C6859">
        <w:trPr>
          <w:trHeight w:val="333"/>
        </w:trPr>
        <w:tc>
          <w:tcPr>
            <w:tcW w:w="1787" w:type="dxa"/>
          </w:tcPr>
          <w:p w14:paraId="537A354B" w14:textId="590AACF3" w:rsidR="00EB3B4C" w:rsidRPr="003649B1" w:rsidRDefault="00EB3B4C" w:rsidP="001C6EAB">
            <w:pPr>
              <w:spacing w:line="276" w:lineRule="auto"/>
              <w:rPr>
                <w:rFonts w:asciiTheme="minorHAnsi" w:hAnsiTheme="minorHAnsi" w:cstheme="minorHAnsi"/>
                <w:sz w:val="22"/>
              </w:rPr>
            </w:pPr>
            <w:proofErr w:type="spellStart"/>
            <w:r w:rsidRPr="003649B1">
              <w:rPr>
                <w:rFonts w:asciiTheme="minorHAnsi" w:hAnsiTheme="minorHAnsi" w:cstheme="minorHAnsi"/>
                <w:sz w:val="22"/>
              </w:rPr>
              <w:t>Expert</w:t>
            </w:r>
            <w:r w:rsidR="001C6EAB">
              <w:rPr>
                <w:rFonts w:asciiTheme="minorHAnsi" w:hAnsiTheme="minorHAnsi" w:cstheme="minorHAnsi"/>
                <w:sz w:val="22"/>
              </w:rPr>
              <w:t>.e</w:t>
            </w:r>
            <w:proofErr w:type="spellEnd"/>
            <w:r w:rsidRPr="003649B1">
              <w:rPr>
                <w:rFonts w:asciiTheme="minorHAnsi" w:hAnsiTheme="minorHAnsi" w:cstheme="minorHAnsi"/>
                <w:sz w:val="22"/>
              </w:rPr>
              <w:t xml:space="preserve"> </w:t>
            </w:r>
            <w:r w:rsidR="001C6EAB">
              <w:rPr>
                <w:rFonts w:asciiTheme="minorHAnsi" w:hAnsiTheme="minorHAnsi" w:cstheme="minorHAnsi"/>
                <w:sz w:val="22"/>
              </w:rPr>
              <w:t xml:space="preserve">Référent </w:t>
            </w:r>
            <w:r w:rsidRPr="003649B1">
              <w:rPr>
                <w:rFonts w:asciiTheme="minorHAnsi" w:hAnsiTheme="minorHAnsi" w:cstheme="minorHAnsi"/>
                <w:sz w:val="22"/>
              </w:rPr>
              <w:t>Senior</w:t>
            </w:r>
          </w:p>
        </w:tc>
        <w:tc>
          <w:tcPr>
            <w:tcW w:w="2571" w:type="dxa"/>
          </w:tcPr>
          <w:p w14:paraId="125B6E0B" w14:textId="63332B91"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2</w:t>
            </w:r>
            <w:r w:rsidR="00A16AF9">
              <w:rPr>
                <w:rFonts w:asciiTheme="minorHAnsi" w:hAnsiTheme="minorHAnsi" w:cstheme="minorHAnsi"/>
                <w:sz w:val="22"/>
              </w:rPr>
              <w:t>3</w:t>
            </w:r>
            <w:r w:rsidRPr="003649B1">
              <w:rPr>
                <w:rFonts w:asciiTheme="minorHAnsi" w:hAnsiTheme="minorHAnsi" w:cstheme="minorHAnsi"/>
                <w:sz w:val="22"/>
              </w:rPr>
              <w:t>0</w:t>
            </w:r>
          </w:p>
        </w:tc>
        <w:tc>
          <w:tcPr>
            <w:tcW w:w="2668" w:type="dxa"/>
          </w:tcPr>
          <w:p w14:paraId="58994FC5" w14:textId="77777777"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60</w:t>
            </w:r>
          </w:p>
        </w:tc>
        <w:tc>
          <w:tcPr>
            <w:tcW w:w="2046" w:type="dxa"/>
          </w:tcPr>
          <w:p w14:paraId="0C96261D" w14:textId="77777777"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2-3</w:t>
            </w:r>
          </w:p>
        </w:tc>
      </w:tr>
      <w:tr w:rsidR="00EB3B4C" w:rsidRPr="00941327" w14:paraId="37C8BD06" w14:textId="77777777" w:rsidTr="007C6859">
        <w:trPr>
          <w:trHeight w:val="321"/>
        </w:trPr>
        <w:tc>
          <w:tcPr>
            <w:tcW w:w="1787" w:type="dxa"/>
          </w:tcPr>
          <w:p w14:paraId="112E91C7" w14:textId="465847EC" w:rsidR="00EB3B4C" w:rsidRPr="001C6EAB" w:rsidRDefault="00EB3B4C" w:rsidP="001C6EAB">
            <w:pPr>
              <w:spacing w:line="276" w:lineRule="auto"/>
              <w:rPr>
                <w:rFonts w:asciiTheme="minorHAnsi" w:hAnsiTheme="minorHAnsi" w:cstheme="minorHAnsi"/>
                <w:sz w:val="22"/>
                <w:lang w:val="en-GB"/>
              </w:rPr>
            </w:pPr>
            <w:proofErr w:type="spellStart"/>
            <w:r w:rsidRPr="001C6EAB">
              <w:rPr>
                <w:rFonts w:asciiTheme="minorHAnsi" w:hAnsiTheme="minorHAnsi" w:cstheme="minorHAnsi"/>
                <w:sz w:val="22"/>
                <w:lang w:val="en-GB"/>
              </w:rPr>
              <w:t>Expert</w:t>
            </w:r>
            <w:r w:rsidR="001C6EAB" w:rsidRPr="001C6EAB">
              <w:rPr>
                <w:rFonts w:asciiTheme="minorHAnsi" w:hAnsiTheme="minorHAnsi" w:cstheme="minorHAnsi"/>
                <w:sz w:val="22"/>
                <w:lang w:val="en-GB"/>
              </w:rPr>
              <w:t>.e</w:t>
            </w:r>
            <w:proofErr w:type="spellEnd"/>
            <w:r w:rsidR="001C6EAB" w:rsidRPr="001C6EAB">
              <w:rPr>
                <w:rFonts w:asciiTheme="minorHAnsi" w:hAnsiTheme="minorHAnsi" w:cstheme="minorHAnsi"/>
                <w:sz w:val="22"/>
                <w:lang w:val="en-GB"/>
              </w:rPr>
              <w:t xml:space="preserve"> </w:t>
            </w:r>
            <w:proofErr w:type="spellStart"/>
            <w:r w:rsidR="001C6EAB" w:rsidRPr="001C6EAB">
              <w:rPr>
                <w:rFonts w:asciiTheme="minorHAnsi" w:hAnsiTheme="minorHAnsi" w:cstheme="minorHAnsi"/>
                <w:sz w:val="22"/>
                <w:lang w:val="en-GB"/>
              </w:rPr>
              <w:t>Adjoint.e</w:t>
            </w:r>
            <w:proofErr w:type="spellEnd"/>
            <w:r w:rsidRPr="001C6EAB">
              <w:rPr>
                <w:rFonts w:asciiTheme="minorHAnsi" w:hAnsiTheme="minorHAnsi" w:cstheme="minorHAnsi"/>
                <w:sz w:val="22"/>
                <w:lang w:val="en-GB"/>
              </w:rPr>
              <w:t xml:space="preserve"> Junior</w:t>
            </w:r>
          </w:p>
        </w:tc>
        <w:tc>
          <w:tcPr>
            <w:tcW w:w="2571" w:type="dxa"/>
          </w:tcPr>
          <w:p w14:paraId="429B3CF6" w14:textId="77777777"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120</w:t>
            </w:r>
          </w:p>
        </w:tc>
        <w:tc>
          <w:tcPr>
            <w:tcW w:w="2668" w:type="dxa"/>
          </w:tcPr>
          <w:p w14:paraId="587E6FA6" w14:textId="77777777"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30</w:t>
            </w:r>
          </w:p>
        </w:tc>
        <w:tc>
          <w:tcPr>
            <w:tcW w:w="2046" w:type="dxa"/>
          </w:tcPr>
          <w:p w14:paraId="058E1BAF" w14:textId="77777777" w:rsidR="00EB3B4C" w:rsidRPr="003649B1" w:rsidRDefault="00EB3B4C" w:rsidP="001C6EAB">
            <w:pPr>
              <w:spacing w:line="276" w:lineRule="auto"/>
              <w:rPr>
                <w:rFonts w:asciiTheme="minorHAnsi" w:hAnsiTheme="minorHAnsi" w:cstheme="minorHAnsi"/>
                <w:sz w:val="22"/>
              </w:rPr>
            </w:pPr>
            <w:r w:rsidRPr="003649B1">
              <w:rPr>
                <w:rFonts w:asciiTheme="minorHAnsi" w:hAnsiTheme="minorHAnsi" w:cstheme="minorHAnsi"/>
                <w:sz w:val="22"/>
              </w:rPr>
              <w:t>1-2</w:t>
            </w:r>
          </w:p>
        </w:tc>
      </w:tr>
    </w:tbl>
    <w:p w14:paraId="11BBB708" w14:textId="0EE13B09" w:rsidR="003A7185" w:rsidRPr="00D15F32" w:rsidRDefault="00B66BE6"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Profil d</w:t>
      </w:r>
      <w:r w:rsidR="00C90734">
        <w:rPr>
          <w:rFonts w:ascii="Calibri" w:eastAsia="Arial Unicode MS" w:hAnsi="Calibri" w:cs="Arial Unicode MS"/>
          <w:b/>
          <w:sz w:val="22"/>
          <w:szCs w:val="22"/>
          <w:lang w:eastAsia="en-US"/>
        </w:rPr>
        <w:t>e l</w:t>
      </w:r>
      <w:r w:rsidRPr="00D15F32">
        <w:rPr>
          <w:rFonts w:ascii="Calibri" w:eastAsia="Arial Unicode MS" w:hAnsi="Calibri" w:cs="Arial Unicode MS"/>
          <w:b/>
          <w:sz w:val="22"/>
          <w:szCs w:val="22"/>
          <w:lang w:eastAsia="en-US"/>
        </w:rPr>
        <w:t>’expert</w:t>
      </w:r>
      <w:r w:rsidR="00C90734">
        <w:rPr>
          <w:rFonts w:ascii="Calibri" w:eastAsia="Arial Unicode MS" w:hAnsi="Calibri" w:cs="Arial Unicode MS"/>
          <w:b/>
          <w:sz w:val="22"/>
          <w:szCs w:val="22"/>
          <w:lang w:eastAsia="en-US"/>
        </w:rPr>
        <w:t xml:space="preserve"> </w:t>
      </w:r>
      <w:r w:rsidR="00B62DC3">
        <w:rPr>
          <w:rFonts w:ascii="Calibri" w:eastAsia="Arial Unicode MS" w:hAnsi="Calibri" w:cs="Arial Unicode MS"/>
          <w:b/>
          <w:sz w:val="22"/>
          <w:szCs w:val="22"/>
          <w:lang w:eastAsia="en-US"/>
        </w:rPr>
        <w:t>chef d’équipe</w:t>
      </w:r>
      <w:r w:rsidR="00C90734">
        <w:rPr>
          <w:rFonts w:ascii="Calibri" w:eastAsia="Arial Unicode MS" w:hAnsi="Calibri" w:cs="Arial Unicode MS"/>
          <w:b/>
          <w:sz w:val="22"/>
          <w:szCs w:val="22"/>
          <w:lang w:eastAsia="en-US"/>
        </w:rPr>
        <w:t xml:space="preserve"> désigné en charge de l’exécution du contrat</w:t>
      </w:r>
    </w:p>
    <w:p w14:paraId="48685420" w14:textId="77777777" w:rsidR="0037712C" w:rsidRPr="0037712C" w:rsidRDefault="0037712C" w:rsidP="001C6EAB">
      <w:pPr>
        <w:numPr>
          <w:ilvl w:val="0"/>
          <w:numId w:val="35"/>
        </w:numPr>
        <w:spacing w:before="240" w:after="240" w:line="276" w:lineRule="auto"/>
        <w:contextualSpacing/>
        <w:jc w:val="both"/>
        <w:rPr>
          <w:rFonts w:ascii="Calibri" w:eastAsia="Calibri" w:hAnsi="Calibri"/>
          <w:iCs/>
          <w:sz w:val="22"/>
          <w:szCs w:val="22"/>
          <w:lang w:eastAsia="en-US"/>
        </w:rPr>
      </w:pPr>
      <w:r w:rsidRPr="0037712C">
        <w:rPr>
          <w:rFonts w:ascii="Calibri" w:eastAsia="Calibri" w:hAnsi="Calibri"/>
          <w:iCs/>
          <w:sz w:val="22"/>
          <w:szCs w:val="22"/>
          <w:u w:val="single"/>
          <w:lang w:eastAsia="en-US"/>
        </w:rPr>
        <w:t>Qualifications et compétences</w:t>
      </w:r>
      <w:r w:rsidRPr="0037712C">
        <w:rPr>
          <w:rFonts w:ascii="Calibri" w:eastAsia="Calibri" w:hAnsi="Calibri"/>
          <w:iCs/>
          <w:sz w:val="22"/>
          <w:szCs w:val="22"/>
          <w:lang w:eastAsia="en-US"/>
        </w:rPr>
        <w:t> :</w:t>
      </w:r>
    </w:p>
    <w:p w14:paraId="65702903" w14:textId="77777777"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Titulaire d’un diplôme de 2</w:t>
      </w:r>
      <w:r w:rsidRPr="0037712C">
        <w:rPr>
          <w:rFonts w:ascii="Calibri" w:eastAsia="Calibri" w:hAnsi="Calibri"/>
          <w:sz w:val="22"/>
          <w:szCs w:val="22"/>
          <w:vertAlign w:val="superscript"/>
          <w:lang w:eastAsia="en-US"/>
        </w:rPr>
        <w:t>ème</w:t>
      </w:r>
      <w:r w:rsidRPr="0037712C">
        <w:rPr>
          <w:rFonts w:ascii="Calibri" w:eastAsia="Calibri" w:hAnsi="Calibri"/>
          <w:sz w:val="22"/>
          <w:szCs w:val="22"/>
          <w:lang w:eastAsia="en-US"/>
        </w:rPr>
        <w:t xml:space="preserve"> cycle en financement de projet, économie des infrastructures ou en droit public des affaires (ou équivalent)</w:t>
      </w:r>
    </w:p>
    <w:p w14:paraId="1AE24CAE" w14:textId="77777777"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Excellentes qualités /capacités :</w:t>
      </w:r>
    </w:p>
    <w:p w14:paraId="76A47AF6"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communication</w:t>
      </w:r>
    </w:p>
    <w:p w14:paraId="1F0E21B6"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travail en équipe et relationnel</w:t>
      </w:r>
    </w:p>
    <w:p w14:paraId="7C2FFDC8"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pédagogie</w:t>
      </w:r>
    </w:p>
    <w:p w14:paraId="5827EA79"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Arial Unicode MS" w:hAnsi="Calibri"/>
          <w:sz w:val="22"/>
          <w:szCs w:val="22"/>
          <w:lang w:eastAsia="en-US"/>
        </w:rPr>
        <w:t>de</w:t>
      </w:r>
      <w:proofErr w:type="gramEnd"/>
      <w:r w:rsidRPr="0037712C">
        <w:rPr>
          <w:rFonts w:ascii="Calibri" w:eastAsia="Arial Unicode MS" w:hAnsi="Calibri"/>
          <w:sz w:val="22"/>
          <w:szCs w:val="22"/>
          <w:lang w:eastAsia="en-US"/>
        </w:rPr>
        <w:t xml:space="preserve"> transmission des savoirs </w:t>
      </w:r>
    </w:p>
    <w:p w14:paraId="0E5B17E0"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synthèse et de rédaction</w:t>
      </w:r>
    </w:p>
    <w:p w14:paraId="57AF9FC6"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d’analyse</w:t>
      </w:r>
      <w:proofErr w:type="gramEnd"/>
      <w:r w:rsidRPr="0037712C">
        <w:rPr>
          <w:rFonts w:ascii="Calibri" w:eastAsia="Calibri" w:hAnsi="Calibri"/>
          <w:sz w:val="22"/>
          <w:szCs w:val="22"/>
          <w:lang w:eastAsia="en-US"/>
        </w:rPr>
        <w:t xml:space="preserve"> et résolution des problèmes</w:t>
      </w:r>
    </w:p>
    <w:p w14:paraId="07916000" w14:textId="77777777" w:rsidR="0037712C" w:rsidRPr="0037712C" w:rsidRDefault="0037712C"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prise de décision et d’initiative</w:t>
      </w:r>
    </w:p>
    <w:p w14:paraId="31A5AE62" w14:textId="77777777" w:rsidR="0037712C" w:rsidRPr="0037712C" w:rsidRDefault="0037712C" w:rsidP="001C6EAB">
      <w:pPr>
        <w:spacing w:before="240" w:after="240" w:line="276" w:lineRule="auto"/>
        <w:contextualSpacing/>
        <w:jc w:val="both"/>
        <w:rPr>
          <w:rFonts w:ascii="Calibri" w:eastAsia="Calibri" w:hAnsi="Calibri"/>
          <w:sz w:val="22"/>
          <w:szCs w:val="22"/>
          <w:highlight w:val="yellow"/>
          <w:lang w:eastAsia="en-US"/>
        </w:rPr>
      </w:pPr>
    </w:p>
    <w:p w14:paraId="3C1FA6CA" w14:textId="77777777" w:rsidR="0037712C" w:rsidRPr="0037712C" w:rsidRDefault="0037712C" w:rsidP="001C6EAB">
      <w:pPr>
        <w:numPr>
          <w:ilvl w:val="0"/>
          <w:numId w:val="35"/>
        </w:numPr>
        <w:spacing w:before="240" w:after="240" w:line="276" w:lineRule="auto"/>
        <w:contextualSpacing/>
        <w:jc w:val="both"/>
        <w:rPr>
          <w:rFonts w:ascii="Calibri" w:eastAsia="Calibri" w:hAnsi="Calibri"/>
          <w:iCs/>
          <w:sz w:val="22"/>
          <w:szCs w:val="22"/>
          <w:u w:val="single"/>
          <w:lang w:eastAsia="en-US"/>
        </w:rPr>
      </w:pPr>
      <w:r w:rsidRPr="0037712C">
        <w:rPr>
          <w:rFonts w:ascii="Calibri" w:eastAsia="Calibri" w:hAnsi="Calibri"/>
          <w:iCs/>
          <w:sz w:val="22"/>
          <w:szCs w:val="22"/>
          <w:u w:val="single"/>
          <w:lang w:eastAsia="en-US"/>
        </w:rPr>
        <w:t>Expérience professionnelle générale</w:t>
      </w:r>
    </w:p>
    <w:p w14:paraId="254E6E46" w14:textId="77777777"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Expérience professionnelle d’au moins 10 ans dans le domaine du montage et la transaction de projets en PPP/concessions et la planification des investissements publics. Très bonne connaissance de l’ensemble du cycle de préparation d’un projet en PPP.</w:t>
      </w:r>
    </w:p>
    <w:p w14:paraId="4CE93391" w14:textId="77777777"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Maîtrise des enjeux, principes, et procédures de la commande publique.</w:t>
      </w:r>
    </w:p>
    <w:p w14:paraId="296C2E19" w14:textId="77777777" w:rsidR="0037712C" w:rsidRPr="0037712C" w:rsidRDefault="0037712C" w:rsidP="001C6EAB">
      <w:pPr>
        <w:spacing w:before="240" w:after="240" w:line="276" w:lineRule="auto"/>
        <w:contextualSpacing/>
        <w:jc w:val="both"/>
        <w:rPr>
          <w:rFonts w:ascii="Calibri" w:eastAsia="Calibri" w:hAnsi="Calibri"/>
          <w:i/>
          <w:sz w:val="22"/>
          <w:szCs w:val="22"/>
          <w:u w:val="single"/>
          <w:lang w:eastAsia="en-US"/>
        </w:rPr>
      </w:pPr>
    </w:p>
    <w:p w14:paraId="3631488E" w14:textId="77777777" w:rsidR="0037712C" w:rsidRPr="0037712C" w:rsidRDefault="0037712C" w:rsidP="001C6EAB">
      <w:pPr>
        <w:numPr>
          <w:ilvl w:val="0"/>
          <w:numId w:val="35"/>
        </w:numPr>
        <w:spacing w:before="240" w:after="240" w:line="276" w:lineRule="auto"/>
        <w:contextualSpacing/>
        <w:jc w:val="both"/>
        <w:rPr>
          <w:rFonts w:ascii="Calibri" w:eastAsia="Calibri" w:hAnsi="Calibri"/>
          <w:iCs/>
          <w:sz w:val="22"/>
          <w:szCs w:val="22"/>
          <w:u w:val="single"/>
          <w:lang w:eastAsia="en-US"/>
        </w:rPr>
      </w:pPr>
      <w:r w:rsidRPr="0037712C">
        <w:rPr>
          <w:rFonts w:ascii="Calibri" w:eastAsia="Calibri" w:hAnsi="Calibri"/>
          <w:iCs/>
          <w:sz w:val="22"/>
          <w:szCs w:val="22"/>
          <w:u w:val="single"/>
          <w:lang w:eastAsia="en-US"/>
        </w:rPr>
        <w:t>Expérience professionnelle spécifique</w:t>
      </w:r>
    </w:p>
    <w:p w14:paraId="1BB93067" w14:textId="436CA615" w:rsid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 xml:space="preserve">Expérience opérationnelle dans la réalisation de planification (identification, sélection et priorisation) de projets à réaliser en PPP, d’études de préfaisabilité, de faisabilité, de projets en PPP, d’évaluation préalable sur le meilleur mode contractuel (PPP versus MP), la réalisation d’outils pour la préparation des projets. </w:t>
      </w:r>
    </w:p>
    <w:p w14:paraId="3A2C5603" w14:textId="256AA361" w:rsidR="00722ACC" w:rsidRPr="0037712C" w:rsidRDefault="00722ACC" w:rsidP="001C6EAB">
      <w:pPr>
        <w:numPr>
          <w:ilvl w:val="0"/>
          <w:numId w:val="7"/>
        </w:numPr>
        <w:spacing w:before="240" w:after="240" w:line="276" w:lineRule="auto"/>
        <w:contextualSpacing/>
        <w:jc w:val="both"/>
        <w:rPr>
          <w:rFonts w:ascii="Calibri" w:eastAsia="Calibri" w:hAnsi="Calibri"/>
          <w:sz w:val="22"/>
          <w:szCs w:val="22"/>
          <w:lang w:eastAsia="en-US"/>
        </w:rPr>
      </w:pPr>
      <w:r>
        <w:rPr>
          <w:rFonts w:ascii="Calibri" w:eastAsia="Calibri" w:hAnsi="Calibri"/>
          <w:sz w:val="22"/>
          <w:szCs w:val="22"/>
          <w:lang w:eastAsia="en-US"/>
        </w:rPr>
        <w:t>Une excellente compréhension du contexte Angolais et plus spécifiquement des enjeux liés à la gestion des PPP en Angola.</w:t>
      </w:r>
    </w:p>
    <w:p w14:paraId="2A829777" w14:textId="77777777"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Expérience dans le renforcement des capacités des autorités contractantes, dans l’organisation de formations sur les partenariats public-privé.</w:t>
      </w:r>
    </w:p>
    <w:p w14:paraId="6EF984F9" w14:textId="1D954EA3" w:rsidR="0037712C" w:rsidRPr="0037712C" w:rsidRDefault="0037712C"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Expérience préalable dans le cadre d’un projet de coopération à l’international.</w:t>
      </w:r>
    </w:p>
    <w:p w14:paraId="0CDDF696" w14:textId="23402B33" w:rsidR="00934199" w:rsidRDefault="00934199" w:rsidP="001C6EAB">
      <w:pPr>
        <w:spacing w:before="240" w:after="240" w:line="276" w:lineRule="auto"/>
        <w:rPr>
          <w:rFonts w:ascii="Calibri" w:hAnsi="Calibri"/>
          <w:sz w:val="22"/>
          <w:szCs w:val="22"/>
        </w:rPr>
      </w:pPr>
    </w:p>
    <w:p w14:paraId="3DF5B39F" w14:textId="2ACA1045" w:rsidR="00B00A58" w:rsidRPr="001C6EAB" w:rsidRDefault="00B00A58" w:rsidP="001C6EAB">
      <w:pPr>
        <w:numPr>
          <w:ilvl w:val="1"/>
          <w:numId w:val="14"/>
        </w:numPr>
        <w:tabs>
          <w:tab w:val="clear" w:pos="1440"/>
          <w:tab w:val="num" w:pos="900"/>
        </w:tabs>
        <w:spacing w:before="240" w:after="240" w:line="276" w:lineRule="auto"/>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Profil d</w:t>
      </w:r>
      <w:r>
        <w:rPr>
          <w:rFonts w:ascii="Calibri" w:eastAsia="Arial Unicode MS" w:hAnsi="Calibri" w:cs="Arial Unicode MS"/>
          <w:b/>
          <w:sz w:val="22"/>
          <w:szCs w:val="22"/>
          <w:lang w:eastAsia="en-US"/>
        </w:rPr>
        <w:t xml:space="preserve">e </w:t>
      </w:r>
      <w:proofErr w:type="gramStart"/>
      <w:r>
        <w:rPr>
          <w:rFonts w:ascii="Calibri" w:eastAsia="Arial Unicode MS" w:hAnsi="Calibri" w:cs="Arial Unicode MS"/>
          <w:b/>
          <w:sz w:val="22"/>
          <w:szCs w:val="22"/>
          <w:lang w:eastAsia="en-US"/>
        </w:rPr>
        <w:t>l</w:t>
      </w:r>
      <w:r w:rsidRPr="00D15F32">
        <w:rPr>
          <w:rFonts w:ascii="Calibri" w:eastAsia="Arial Unicode MS" w:hAnsi="Calibri" w:cs="Arial Unicode MS"/>
          <w:b/>
          <w:sz w:val="22"/>
          <w:szCs w:val="22"/>
          <w:lang w:eastAsia="en-US"/>
        </w:rPr>
        <w:t>’</w:t>
      </w:r>
      <w:proofErr w:type="spellStart"/>
      <w:r w:rsidRPr="00D15F32">
        <w:rPr>
          <w:rFonts w:ascii="Calibri" w:eastAsia="Arial Unicode MS" w:hAnsi="Calibri" w:cs="Arial Unicode MS"/>
          <w:b/>
          <w:sz w:val="22"/>
          <w:szCs w:val="22"/>
          <w:lang w:eastAsia="en-US"/>
        </w:rPr>
        <w:t>expert</w:t>
      </w:r>
      <w:r>
        <w:rPr>
          <w:rFonts w:ascii="Calibri" w:eastAsia="Arial Unicode MS" w:hAnsi="Calibri" w:cs="Arial Unicode MS"/>
          <w:b/>
          <w:sz w:val="22"/>
          <w:szCs w:val="22"/>
          <w:lang w:eastAsia="en-US"/>
        </w:rPr>
        <w:t>.e</w:t>
      </w:r>
      <w:proofErr w:type="spellEnd"/>
      <w:proofErr w:type="gramEnd"/>
      <w:r>
        <w:rPr>
          <w:rFonts w:ascii="Calibri" w:eastAsia="Arial Unicode MS" w:hAnsi="Calibri" w:cs="Arial Unicode MS"/>
          <w:b/>
          <w:sz w:val="22"/>
          <w:szCs w:val="22"/>
          <w:lang w:eastAsia="en-US"/>
        </w:rPr>
        <w:t xml:space="preserve"> </w:t>
      </w:r>
      <w:proofErr w:type="spellStart"/>
      <w:r>
        <w:rPr>
          <w:rFonts w:ascii="Calibri" w:eastAsia="Arial Unicode MS" w:hAnsi="Calibri" w:cs="Arial Unicode MS"/>
          <w:b/>
          <w:sz w:val="22"/>
          <w:szCs w:val="22"/>
          <w:lang w:eastAsia="en-US"/>
        </w:rPr>
        <w:t>adjoint.e</w:t>
      </w:r>
      <w:proofErr w:type="spellEnd"/>
      <w:r>
        <w:rPr>
          <w:rFonts w:ascii="Calibri" w:eastAsia="Arial Unicode MS" w:hAnsi="Calibri" w:cs="Arial Unicode MS"/>
          <w:b/>
          <w:sz w:val="22"/>
          <w:szCs w:val="22"/>
          <w:lang w:eastAsia="en-US"/>
        </w:rPr>
        <w:t xml:space="preserve"> au chef d’équipe désigné en charge de l’exécution du contrat</w:t>
      </w:r>
    </w:p>
    <w:p w14:paraId="15F8A5EB" w14:textId="77777777" w:rsidR="00B00A58" w:rsidRPr="0037712C" w:rsidRDefault="00B00A58" w:rsidP="001C6EAB">
      <w:pPr>
        <w:numPr>
          <w:ilvl w:val="0"/>
          <w:numId w:val="54"/>
        </w:numPr>
        <w:spacing w:before="240" w:after="240" w:line="276" w:lineRule="auto"/>
        <w:contextualSpacing/>
        <w:jc w:val="both"/>
        <w:rPr>
          <w:rFonts w:ascii="Calibri" w:eastAsia="Calibri" w:hAnsi="Calibri"/>
          <w:iCs/>
          <w:sz w:val="22"/>
          <w:szCs w:val="22"/>
          <w:lang w:eastAsia="en-US"/>
        </w:rPr>
      </w:pPr>
      <w:r w:rsidRPr="0037712C">
        <w:rPr>
          <w:rFonts w:ascii="Calibri" w:eastAsia="Calibri" w:hAnsi="Calibri"/>
          <w:iCs/>
          <w:sz w:val="22"/>
          <w:szCs w:val="22"/>
          <w:u w:val="single"/>
          <w:lang w:eastAsia="en-US"/>
        </w:rPr>
        <w:t>Qualifications et compétences</w:t>
      </w:r>
      <w:r w:rsidRPr="0037712C">
        <w:rPr>
          <w:rFonts w:ascii="Calibri" w:eastAsia="Calibri" w:hAnsi="Calibri"/>
          <w:iCs/>
          <w:sz w:val="22"/>
          <w:szCs w:val="22"/>
          <w:lang w:eastAsia="en-US"/>
        </w:rPr>
        <w:t> :</w:t>
      </w:r>
    </w:p>
    <w:p w14:paraId="7F01E2F6" w14:textId="77777777"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Titulaire d’un diplôme de 2</w:t>
      </w:r>
      <w:r w:rsidRPr="0037712C">
        <w:rPr>
          <w:rFonts w:ascii="Calibri" w:eastAsia="Calibri" w:hAnsi="Calibri"/>
          <w:sz w:val="22"/>
          <w:szCs w:val="22"/>
          <w:vertAlign w:val="superscript"/>
          <w:lang w:eastAsia="en-US"/>
        </w:rPr>
        <w:t>ème</w:t>
      </w:r>
      <w:r w:rsidRPr="0037712C">
        <w:rPr>
          <w:rFonts w:ascii="Calibri" w:eastAsia="Calibri" w:hAnsi="Calibri"/>
          <w:sz w:val="22"/>
          <w:szCs w:val="22"/>
          <w:lang w:eastAsia="en-US"/>
        </w:rPr>
        <w:t xml:space="preserve"> cycle en financement de projet, économie des infrastructures ou en droit public des affaires (ou équivalent)</w:t>
      </w:r>
    </w:p>
    <w:p w14:paraId="066CF939" w14:textId="77777777"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lastRenderedPageBreak/>
        <w:t>Excellentes qualités /capacités :</w:t>
      </w:r>
    </w:p>
    <w:p w14:paraId="1DA1AAF1"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communication</w:t>
      </w:r>
    </w:p>
    <w:p w14:paraId="5E27B1F8"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travail en équipe et relationnel</w:t>
      </w:r>
    </w:p>
    <w:p w14:paraId="33E36FCE"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pédagogie</w:t>
      </w:r>
    </w:p>
    <w:p w14:paraId="3744FD37"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Arial Unicode MS" w:hAnsi="Calibri"/>
          <w:sz w:val="22"/>
          <w:szCs w:val="22"/>
          <w:lang w:eastAsia="en-US"/>
        </w:rPr>
        <w:t>de</w:t>
      </w:r>
      <w:proofErr w:type="gramEnd"/>
      <w:r w:rsidRPr="0037712C">
        <w:rPr>
          <w:rFonts w:ascii="Calibri" w:eastAsia="Arial Unicode MS" w:hAnsi="Calibri"/>
          <w:sz w:val="22"/>
          <w:szCs w:val="22"/>
          <w:lang w:eastAsia="en-US"/>
        </w:rPr>
        <w:t xml:space="preserve"> transmission des savoirs </w:t>
      </w:r>
    </w:p>
    <w:p w14:paraId="6CB2F67A"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synthèse et de rédaction</w:t>
      </w:r>
    </w:p>
    <w:p w14:paraId="28A69BCF"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d’analyse</w:t>
      </w:r>
      <w:proofErr w:type="gramEnd"/>
      <w:r w:rsidRPr="0037712C">
        <w:rPr>
          <w:rFonts w:ascii="Calibri" w:eastAsia="Calibri" w:hAnsi="Calibri"/>
          <w:sz w:val="22"/>
          <w:szCs w:val="22"/>
          <w:lang w:eastAsia="en-US"/>
        </w:rPr>
        <w:t xml:space="preserve"> et résolution des problèmes</w:t>
      </w:r>
    </w:p>
    <w:p w14:paraId="1AB426D9" w14:textId="77777777" w:rsidR="00B00A58" w:rsidRPr="0037712C" w:rsidRDefault="00B00A58" w:rsidP="001C6EAB">
      <w:pPr>
        <w:numPr>
          <w:ilvl w:val="1"/>
          <w:numId w:val="25"/>
        </w:numPr>
        <w:spacing w:before="240" w:after="240" w:line="276" w:lineRule="auto"/>
        <w:contextualSpacing/>
        <w:jc w:val="both"/>
        <w:rPr>
          <w:rFonts w:ascii="Calibri" w:eastAsia="Arial Unicode MS" w:hAnsi="Calibri"/>
          <w:sz w:val="22"/>
          <w:szCs w:val="22"/>
          <w:lang w:eastAsia="en-US"/>
        </w:rPr>
      </w:pPr>
      <w:proofErr w:type="gramStart"/>
      <w:r w:rsidRPr="0037712C">
        <w:rPr>
          <w:rFonts w:ascii="Calibri" w:eastAsia="Calibri" w:hAnsi="Calibri"/>
          <w:sz w:val="22"/>
          <w:szCs w:val="22"/>
          <w:lang w:eastAsia="en-US"/>
        </w:rPr>
        <w:t>de</w:t>
      </w:r>
      <w:proofErr w:type="gramEnd"/>
      <w:r w:rsidRPr="0037712C">
        <w:rPr>
          <w:rFonts w:ascii="Calibri" w:eastAsia="Calibri" w:hAnsi="Calibri"/>
          <w:sz w:val="22"/>
          <w:szCs w:val="22"/>
          <w:lang w:eastAsia="en-US"/>
        </w:rPr>
        <w:t xml:space="preserve"> prise de décision et d’initiative</w:t>
      </w:r>
    </w:p>
    <w:p w14:paraId="4D49DE54" w14:textId="77777777" w:rsidR="00B00A58" w:rsidRPr="0037712C" w:rsidRDefault="00B00A58" w:rsidP="001C6EAB">
      <w:pPr>
        <w:spacing w:before="240" w:after="240" w:line="276" w:lineRule="auto"/>
        <w:contextualSpacing/>
        <w:jc w:val="both"/>
        <w:rPr>
          <w:rFonts w:ascii="Calibri" w:eastAsia="Calibri" w:hAnsi="Calibri"/>
          <w:sz w:val="22"/>
          <w:szCs w:val="22"/>
          <w:highlight w:val="yellow"/>
          <w:lang w:eastAsia="en-US"/>
        </w:rPr>
      </w:pPr>
    </w:p>
    <w:p w14:paraId="25E32771" w14:textId="77777777" w:rsidR="00B00A58" w:rsidRPr="0037712C" w:rsidRDefault="00B00A58" w:rsidP="001C6EAB">
      <w:pPr>
        <w:numPr>
          <w:ilvl w:val="0"/>
          <w:numId w:val="54"/>
        </w:numPr>
        <w:spacing w:before="240" w:after="240" w:line="276" w:lineRule="auto"/>
        <w:contextualSpacing/>
        <w:jc w:val="both"/>
        <w:rPr>
          <w:rFonts w:ascii="Calibri" w:eastAsia="Calibri" w:hAnsi="Calibri"/>
          <w:iCs/>
          <w:sz w:val="22"/>
          <w:szCs w:val="22"/>
          <w:u w:val="single"/>
          <w:lang w:eastAsia="en-US"/>
        </w:rPr>
      </w:pPr>
      <w:r w:rsidRPr="0037712C">
        <w:rPr>
          <w:rFonts w:ascii="Calibri" w:eastAsia="Calibri" w:hAnsi="Calibri"/>
          <w:iCs/>
          <w:sz w:val="22"/>
          <w:szCs w:val="22"/>
          <w:u w:val="single"/>
          <w:lang w:eastAsia="en-US"/>
        </w:rPr>
        <w:t>Expérience professionnelle générale</w:t>
      </w:r>
    </w:p>
    <w:p w14:paraId="166CD53F" w14:textId="442B7664"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 xml:space="preserve">Expérience professionnelle d’au moins </w:t>
      </w:r>
      <w:r w:rsidR="001C6EAB">
        <w:rPr>
          <w:rFonts w:ascii="Calibri" w:eastAsia="Calibri" w:hAnsi="Calibri"/>
          <w:sz w:val="22"/>
          <w:szCs w:val="22"/>
          <w:lang w:eastAsia="en-US"/>
        </w:rPr>
        <w:t>3</w:t>
      </w:r>
      <w:r w:rsidRPr="0037712C">
        <w:rPr>
          <w:rFonts w:ascii="Calibri" w:eastAsia="Calibri" w:hAnsi="Calibri"/>
          <w:sz w:val="22"/>
          <w:szCs w:val="22"/>
          <w:lang w:eastAsia="en-US"/>
        </w:rPr>
        <w:t xml:space="preserve"> ans dans le domaine du montage et la transaction de projets en PPP/concessions et la planification des investissements publics. Très bonne connaissance de l’ensemble du cycle de préparation d’un projet en PPP.</w:t>
      </w:r>
    </w:p>
    <w:p w14:paraId="683D9864" w14:textId="77777777"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Maîtrise des enjeux, principes, et procédures de la commande publique.</w:t>
      </w:r>
    </w:p>
    <w:p w14:paraId="1E0C319C" w14:textId="77777777" w:rsidR="00B00A58" w:rsidRPr="0037712C" w:rsidRDefault="00B00A58" w:rsidP="001C6EAB">
      <w:pPr>
        <w:spacing w:before="240" w:after="240" w:line="276" w:lineRule="auto"/>
        <w:contextualSpacing/>
        <w:jc w:val="both"/>
        <w:rPr>
          <w:rFonts w:ascii="Calibri" w:eastAsia="Calibri" w:hAnsi="Calibri"/>
          <w:i/>
          <w:sz w:val="22"/>
          <w:szCs w:val="22"/>
          <w:u w:val="single"/>
          <w:lang w:eastAsia="en-US"/>
        </w:rPr>
      </w:pPr>
    </w:p>
    <w:p w14:paraId="54D7FC1F" w14:textId="77777777" w:rsidR="00B00A58" w:rsidRPr="0037712C" w:rsidRDefault="00B00A58" w:rsidP="001C6EAB">
      <w:pPr>
        <w:numPr>
          <w:ilvl w:val="0"/>
          <w:numId w:val="54"/>
        </w:numPr>
        <w:spacing w:before="240" w:after="240" w:line="276" w:lineRule="auto"/>
        <w:contextualSpacing/>
        <w:jc w:val="both"/>
        <w:rPr>
          <w:rFonts w:ascii="Calibri" w:eastAsia="Calibri" w:hAnsi="Calibri"/>
          <w:iCs/>
          <w:sz w:val="22"/>
          <w:szCs w:val="22"/>
          <w:u w:val="single"/>
          <w:lang w:eastAsia="en-US"/>
        </w:rPr>
      </w:pPr>
      <w:r w:rsidRPr="0037712C">
        <w:rPr>
          <w:rFonts w:ascii="Calibri" w:eastAsia="Calibri" w:hAnsi="Calibri"/>
          <w:iCs/>
          <w:sz w:val="22"/>
          <w:szCs w:val="22"/>
          <w:u w:val="single"/>
          <w:lang w:eastAsia="en-US"/>
        </w:rPr>
        <w:t>Expérience professionnelle spécifique</w:t>
      </w:r>
    </w:p>
    <w:p w14:paraId="7CF011EA" w14:textId="262687C5" w:rsidR="00B00A58"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 xml:space="preserve">Expérience opérationnelle dans la réalisation de planification (identification, sélection et priorisation) de projets à réaliser en PPP, d’études de préfaisabilité, de faisabilité, de projets en PPP, d’évaluation préalable sur le meilleur mode contractuel (PPP versus MP), la réalisation d’outils pour la préparation des projets. </w:t>
      </w:r>
    </w:p>
    <w:p w14:paraId="2F33684F" w14:textId="6220ACEC" w:rsidR="00722ACC" w:rsidRPr="00722ACC" w:rsidRDefault="00722ACC" w:rsidP="001C6EAB">
      <w:pPr>
        <w:numPr>
          <w:ilvl w:val="0"/>
          <w:numId w:val="7"/>
        </w:numPr>
        <w:spacing w:before="240" w:after="240" w:line="276" w:lineRule="auto"/>
        <w:contextualSpacing/>
        <w:jc w:val="both"/>
        <w:rPr>
          <w:rFonts w:ascii="Calibri" w:eastAsia="Calibri" w:hAnsi="Calibri"/>
          <w:sz w:val="22"/>
          <w:szCs w:val="22"/>
          <w:lang w:eastAsia="en-US"/>
        </w:rPr>
      </w:pPr>
      <w:r>
        <w:rPr>
          <w:rFonts w:ascii="Calibri" w:eastAsia="Calibri" w:hAnsi="Calibri"/>
          <w:sz w:val="22"/>
          <w:szCs w:val="22"/>
          <w:lang w:eastAsia="en-US"/>
        </w:rPr>
        <w:t>Une excellente compréhension du contexte Angolais et plus spécifiquement des enjeux liés à la gestion des PPP en Angola.</w:t>
      </w:r>
    </w:p>
    <w:p w14:paraId="20EC4A5A" w14:textId="77777777"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Expérience dans le renforcement des capacités des autorités contractantes, dans l’organisation de formations sur les partenariats public-privé.</w:t>
      </w:r>
    </w:p>
    <w:p w14:paraId="23ED1A6A" w14:textId="77777777" w:rsidR="00B00A58" w:rsidRPr="0037712C" w:rsidRDefault="00B00A58" w:rsidP="001C6EAB">
      <w:pPr>
        <w:numPr>
          <w:ilvl w:val="0"/>
          <w:numId w:val="7"/>
        </w:numPr>
        <w:spacing w:before="240" w:after="240" w:line="276" w:lineRule="auto"/>
        <w:contextualSpacing/>
        <w:jc w:val="both"/>
        <w:rPr>
          <w:rFonts w:ascii="Calibri" w:eastAsia="Calibri" w:hAnsi="Calibri"/>
          <w:sz w:val="22"/>
          <w:szCs w:val="22"/>
          <w:lang w:eastAsia="en-US"/>
        </w:rPr>
      </w:pPr>
      <w:r w:rsidRPr="0037712C">
        <w:rPr>
          <w:rFonts w:ascii="Calibri" w:eastAsia="Calibri" w:hAnsi="Calibri"/>
          <w:sz w:val="22"/>
          <w:szCs w:val="22"/>
          <w:lang w:eastAsia="en-US"/>
        </w:rPr>
        <w:t>Expérience préalable dans le cadre d’un projet de coopération à l’international serait un plus.</w:t>
      </w:r>
    </w:p>
    <w:p w14:paraId="6FC60131" w14:textId="77777777" w:rsidR="00B00A58" w:rsidRDefault="00B00A58" w:rsidP="001C6EAB">
      <w:pPr>
        <w:spacing w:before="240" w:after="240" w:line="276" w:lineRule="auto"/>
        <w:rPr>
          <w:rFonts w:ascii="Calibri" w:hAnsi="Calibri"/>
          <w:sz w:val="22"/>
          <w:szCs w:val="22"/>
        </w:rPr>
      </w:pPr>
    </w:p>
    <w:p w14:paraId="7EC77ADF" w14:textId="0666C3FA" w:rsidR="00472C88" w:rsidRPr="00D15F32" w:rsidRDefault="00472C88" w:rsidP="001C6EAB">
      <w:pPr>
        <w:numPr>
          <w:ilvl w:val="1"/>
          <w:numId w:val="14"/>
        </w:numPr>
        <w:tabs>
          <w:tab w:val="clear" w:pos="1440"/>
          <w:tab w:val="num" w:pos="1134"/>
        </w:tabs>
        <w:spacing w:before="240" w:after="240" w:line="276" w:lineRule="auto"/>
        <w:ind w:hanging="873"/>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Expertise court terme mobilisable</w:t>
      </w:r>
    </w:p>
    <w:p w14:paraId="69AEC9A3" w14:textId="46CBF14D" w:rsidR="00194234" w:rsidRDefault="00722ACC" w:rsidP="001C6EAB">
      <w:pPr>
        <w:spacing w:before="240" w:after="240" w:line="276" w:lineRule="auto"/>
        <w:rPr>
          <w:rFonts w:ascii="Calibri" w:hAnsi="Calibri"/>
          <w:sz w:val="22"/>
          <w:szCs w:val="22"/>
        </w:rPr>
      </w:pPr>
      <w:r>
        <w:rPr>
          <w:rFonts w:ascii="Calibri" w:hAnsi="Calibri"/>
          <w:sz w:val="22"/>
          <w:szCs w:val="22"/>
        </w:rPr>
        <w:t xml:space="preserve">Il sera attendu du prestataire qu’il soit en mesure de mobiliser des expertises additionnelles sur un mode court terme afin de </w:t>
      </w:r>
      <w:r w:rsidR="00194234">
        <w:rPr>
          <w:rFonts w:ascii="Calibri" w:hAnsi="Calibri"/>
          <w:sz w:val="22"/>
          <w:szCs w:val="22"/>
        </w:rPr>
        <w:t>compléter l’appui proposé sur des thématiques ciblées.</w:t>
      </w:r>
    </w:p>
    <w:p w14:paraId="604E2E37" w14:textId="7DF27132" w:rsidR="00C90734" w:rsidRDefault="00B62DC3" w:rsidP="001C6EAB">
      <w:pPr>
        <w:spacing w:before="240" w:after="240" w:line="276" w:lineRule="auto"/>
        <w:jc w:val="both"/>
        <w:rPr>
          <w:rFonts w:ascii="Calibri" w:hAnsi="Calibri"/>
          <w:sz w:val="22"/>
          <w:szCs w:val="22"/>
        </w:rPr>
      </w:pPr>
      <w:r>
        <w:rPr>
          <w:rFonts w:ascii="Calibri" w:hAnsi="Calibri"/>
          <w:sz w:val="22"/>
          <w:szCs w:val="22"/>
        </w:rPr>
        <w:t xml:space="preserve">Le profil des experts additionnels mobilisés sera sélectionné en fonction des caractéristiques de chaque mission. Chaque </w:t>
      </w:r>
      <w:proofErr w:type="spellStart"/>
      <w:proofErr w:type="gramStart"/>
      <w:r>
        <w:rPr>
          <w:rFonts w:ascii="Calibri" w:hAnsi="Calibri"/>
          <w:sz w:val="22"/>
          <w:szCs w:val="22"/>
        </w:rPr>
        <w:t>expert.e</w:t>
      </w:r>
      <w:proofErr w:type="spellEnd"/>
      <w:proofErr w:type="gramEnd"/>
      <w:r>
        <w:rPr>
          <w:rFonts w:ascii="Calibri" w:hAnsi="Calibri"/>
          <w:sz w:val="22"/>
          <w:szCs w:val="22"/>
        </w:rPr>
        <w:t xml:space="preserve"> </w:t>
      </w:r>
      <w:proofErr w:type="spellStart"/>
      <w:r>
        <w:rPr>
          <w:rFonts w:ascii="Calibri" w:hAnsi="Calibri"/>
          <w:sz w:val="22"/>
          <w:szCs w:val="22"/>
        </w:rPr>
        <w:t>mobilisé.e</w:t>
      </w:r>
      <w:proofErr w:type="spellEnd"/>
      <w:r>
        <w:rPr>
          <w:rFonts w:ascii="Calibri" w:hAnsi="Calibri"/>
          <w:sz w:val="22"/>
          <w:szCs w:val="22"/>
        </w:rPr>
        <w:t xml:space="preserve"> devra avoir un minimum de cinq ans d’expérience dans son domaine d’expertise.</w:t>
      </w:r>
    </w:p>
    <w:sectPr w:rsidR="00C90734"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8F4DD" w14:textId="77777777" w:rsidR="0005725E" w:rsidRDefault="0005725E">
      <w:r>
        <w:separator/>
      </w:r>
    </w:p>
  </w:endnote>
  <w:endnote w:type="continuationSeparator" w:id="0">
    <w:p w14:paraId="2377F64E" w14:textId="77777777" w:rsidR="0005725E" w:rsidRDefault="0005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5FFF41B8"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B75445">
      <w:rPr>
        <w:rStyle w:val="Numrodepage"/>
        <w:rFonts w:ascii="Calibri" w:hAnsi="Calibri"/>
        <w:noProof/>
        <w:sz w:val="20"/>
        <w:szCs w:val="20"/>
      </w:rPr>
      <w:t>7</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39413E70"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62007F">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62007F">
              <w:rPr>
                <w:rFonts w:asciiTheme="minorHAnsi" w:hAnsiTheme="minorHAnsi"/>
                <w:b/>
                <w:bCs/>
                <w:noProof/>
                <w:sz w:val="22"/>
              </w:rPr>
              <w:t>7</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289B0" w14:textId="77777777" w:rsidR="0005725E" w:rsidRDefault="0005725E">
      <w:r>
        <w:separator/>
      </w:r>
    </w:p>
  </w:footnote>
  <w:footnote w:type="continuationSeparator" w:id="0">
    <w:p w14:paraId="62E6BC71" w14:textId="77777777" w:rsidR="0005725E" w:rsidRDefault="00057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5725E">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A11419"/>
    <w:multiLevelType w:val="hybridMultilevel"/>
    <w:tmpl w:val="4AC26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B66A26"/>
    <w:multiLevelType w:val="hybridMultilevel"/>
    <w:tmpl w:val="BBFC6810"/>
    <w:lvl w:ilvl="0" w:tplc="0590D63C">
      <w:start w:val="1"/>
      <w:numFmt w:val="upperRoman"/>
      <w:lvlText w:val="%1."/>
      <w:lvlJc w:val="right"/>
      <w:pPr>
        <w:tabs>
          <w:tab w:val="num" w:pos="720"/>
        </w:tabs>
        <w:ind w:left="720" w:hanging="180"/>
      </w:pPr>
      <w:rPr>
        <w:rFonts w:ascii="Calibri" w:hAnsi="Calibri" w:hint="default"/>
        <w:b/>
        <w:i w:val="0"/>
        <w:sz w:val="24"/>
      </w:rPr>
    </w:lvl>
    <w:lvl w:ilvl="1" w:tplc="7EBA240C">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9580BCD6">
      <w:start w:val="2014"/>
      <w:numFmt w:val="bullet"/>
      <w:lvlText w:val="-"/>
      <w:lvlJc w:val="left"/>
      <w:pPr>
        <w:ind w:left="2880" w:hanging="360"/>
      </w:pPr>
      <w:rPr>
        <w:rFonts w:ascii="Calibri" w:eastAsia="Times New Roman" w:hAnsi="Calibri" w:cs="Calibri"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0CA37BEF"/>
    <w:multiLevelType w:val="hybridMultilevel"/>
    <w:tmpl w:val="D200F676"/>
    <w:lvl w:ilvl="0" w:tplc="FEC45FA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0EEA58A4"/>
    <w:multiLevelType w:val="hybridMultilevel"/>
    <w:tmpl w:val="AF6EB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FE4571"/>
    <w:multiLevelType w:val="hybridMultilevel"/>
    <w:tmpl w:val="E52AF9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3D6186"/>
    <w:multiLevelType w:val="hybridMultilevel"/>
    <w:tmpl w:val="7948299E"/>
    <w:lvl w:ilvl="0" w:tplc="7DAEF36E">
      <w:start w:val="4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6" w15:restartNumberingAfterBreak="0">
    <w:nsid w:val="34DC28CA"/>
    <w:multiLevelType w:val="hybridMultilevel"/>
    <w:tmpl w:val="FDFC3764"/>
    <w:lvl w:ilvl="0" w:tplc="992E2102">
      <w:start w:val="1"/>
      <w:numFmt w:val="decimal"/>
      <w:lvlText w:val="%1)"/>
      <w:lvlJc w:val="left"/>
      <w:pPr>
        <w:tabs>
          <w:tab w:val="num" w:pos="1440"/>
        </w:tabs>
        <w:ind w:left="1440" w:hanging="360"/>
      </w:pPr>
      <w:rPr>
        <w:rFonts w:ascii="Calibri" w:hAnsi="Calibri"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047ABF"/>
    <w:multiLevelType w:val="hybridMultilevel"/>
    <w:tmpl w:val="8F982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C132C3"/>
    <w:multiLevelType w:val="hybridMultilevel"/>
    <w:tmpl w:val="5F8C05C6"/>
    <w:lvl w:ilvl="0" w:tplc="7EBA240C">
      <w:start w:val="1"/>
      <w:numFmt w:val="decimal"/>
      <w:lvlText w:val="%1)"/>
      <w:lvlJc w:val="left"/>
      <w:pPr>
        <w:tabs>
          <w:tab w:val="num" w:pos="1440"/>
        </w:tabs>
        <w:ind w:left="1440" w:hanging="360"/>
      </w:pPr>
      <w:rPr>
        <w:rFonts w:ascii="Calibri" w:hAnsi="Calibri"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35"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2C620AE"/>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46"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15:restartNumberingAfterBreak="0">
    <w:nsid w:val="6C33304D"/>
    <w:multiLevelType w:val="hybridMultilevel"/>
    <w:tmpl w:val="49B8AF26"/>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2"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4"/>
  </w:num>
  <w:num w:numId="3">
    <w:abstractNumId w:val="31"/>
  </w:num>
  <w:num w:numId="4">
    <w:abstractNumId w:val="16"/>
  </w:num>
  <w:num w:numId="5">
    <w:abstractNumId w:val="55"/>
  </w:num>
  <w:num w:numId="6">
    <w:abstractNumId w:val="5"/>
  </w:num>
  <w:num w:numId="7">
    <w:abstractNumId w:val="14"/>
  </w:num>
  <w:num w:numId="8">
    <w:abstractNumId w:val="38"/>
  </w:num>
  <w:num w:numId="9">
    <w:abstractNumId w:val="17"/>
  </w:num>
  <w:num w:numId="10">
    <w:abstractNumId w:val="0"/>
  </w:num>
  <w:num w:numId="11">
    <w:abstractNumId w:val="20"/>
  </w:num>
  <w:num w:numId="12">
    <w:abstractNumId w:val="33"/>
  </w:num>
  <w:num w:numId="13">
    <w:abstractNumId w:val="30"/>
  </w:num>
  <w:num w:numId="14">
    <w:abstractNumId w:val="8"/>
  </w:num>
  <w:num w:numId="15">
    <w:abstractNumId w:val="22"/>
  </w:num>
  <w:num w:numId="16">
    <w:abstractNumId w:val="18"/>
  </w:num>
  <w:num w:numId="17">
    <w:abstractNumId w:val="3"/>
  </w:num>
  <w:num w:numId="18">
    <w:abstractNumId w:val="24"/>
  </w:num>
  <w:num w:numId="19">
    <w:abstractNumId w:val="21"/>
  </w:num>
  <w:num w:numId="20">
    <w:abstractNumId w:val="48"/>
  </w:num>
  <w:num w:numId="21">
    <w:abstractNumId w:val="41"/>
  </w:num>
  <w:num w:numId="22">
    <w:abstractNumId w:val="10"/>
  </w:num>
  <w:num w:numId="23">
    <w:abstractNumId w:val="47"/>
  </w:num>
  <w:num w:numId="24">
    <w:abstractNumId w:val="27"/>
  </w:num>
  <w:num w:numId="25">
    <w:abstractNumId w:val="39"/>
  </w:num>
  <w:num w:numId="26">
    <w:abstractNumId w:val="35"/>
  </w:num>
  <w:num w:numId="27">
    <w:abstractNumId w:val="37"/>
  </w:num>
  <w:num w:numId="28">
    <w:abstractNumId w:val="15"/>
  </w:num>
  <w:num w:numId="29">
    <w:abstractNumId w:val="43"/>
  </w:num>
  <w:num w:numId="30">
    <w:abstractNumId w:val="54"/>
  </w:num>
  <w:num w:numId="31">
    <w:abstractNumId w:val="49"/>
  </w:num>
  <w:num w:numId="32">
    <w:abstractNumId w:val="46"/>
  </w:num>
  <w:num w:numId="33">
    <w:abstractNumId w:val="52"/>
  </w:num>
  <w:num w:numId="34">
    <w:abstractNumId w:val="7"/>
  </w:num>
  <w:num w:numId="35">
    <w:abstractNumId w:val="34"/>
  </w:num>
  <w:num w:numId="36">
    <w:abstractNumId w:val="36"/>
  </w:num>
  <w:num w:numId="37">
    <w:abstractNumId w:val="25"/>
  </w:num>
  <w:num w:numId="38">
    <w:abstractNumId w:val="19"/>
  </w:num>
  <w:num w:numId="39">
    <w:abstractNumId w:val="28"/>
  </w:num>
  <w:num w:numId="40">
    <w:abstractNumId w:val="40"/>
  </w:num>
  <w:num w:numId="41">
    <w:abstractNumId w:val="42"/>
  </w:num>
  <w:num w:numId="42">
    <w:abstractNumId w:val="51"/>
  </w:num>
  <w:num w:numId="43">
    <w:abstractNumId w:val="6"/>
  </w:num>
  <w:num w:numId="44">
    <w:abstractNumId w:val="4"/>
  </w:num>
  <w:num w:numId="45">
    <w:abstractNumId w:val="53"/>
  </w:num>
  <w:num w:numId="46">
    <w:abstractNumId w:val="1"/>
  </w:num>
  <w:num w:numId="47">
    <w:abstractNumId w:val="13"/>
  </w:num>
  <w:num w:numId="48">
    <w:abstractNumId w:val="29"/>
  </w:num>
  <w:num w:numId="49">
    <w:abstractNumId w:val="2"/>
  </w:num>
  <w:num w:numId="50">
    <w:abstractNumId w:val="12"/>
  </w:num>
  <w:num w:numId="51">
    <w:abstractNumId w:val="50"/>
  </w:num>
  <w:num w:numId="52">
    <w:abstractNumId w:val="9"/>
  </w:num>
  <w:num w:numId="53">
    <w:abstractNumId w:val="23"/>
  </w:num>
  <w:num w:numId="54">
    <w:abstractNumId w:val="45"/>
  </w:num>
  <w:num w:numId="55">
    <w:abstractNumId w:val="26"/>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1419"/>
    <w:rsid w:val="00016D5B"/>
    <w:rsid w:val="00023D47"/>
    <w:rsid w:val="00030FE2"/>
    <w:rsid w:val="00043041"/>
    <w:rsid w:val="0005150B"/>
    <w:rsid w:val="00055547"/>
    <w:rsid w:val="0005725E"/>
    <w:rsid w:val="00060146"/>
    <w:rsid w:val="000630CD"/>
    <w:rsid w:val="00067734"/>
    <w:rsid w:val="0007063D"/>
    <w:rsid w:val="00074E17"/>
    <w:rsid w:val="000942EE"/>
    <w:rsid w:val="0009628C"/>
    <w:rsid w:val="000972A8"/>
    <w:rsid w:val="000B23F1"/>
    <w:rsid w:val="000B5012"/>
    <w:rsid w:val="000B6829"/>
    <w:rsid w:val="000B7D24"/>
    <w:rsid w:val="000C38CD"/>
    <w:rsid w:val="000C4797"/>
    <w:rsid w:val="000D0C1B"/>
    <w:rsid w:val="000E75D7"/>
    <w:rsid w:val="000F5B65"/>
    <w:rsid w:val="0010576D"/>
    <w:rsid w:val="001058F5"/>
    <w:rsid w:val="0010646A"/>
    <w:rsid w:val="001133D5"/>
    <w:rsid w:val="001343FC"/>
    <w:rsid w:val="00135AF5"/>
    <w:rsid w:val="001441C8"/>
    <w:rsid w:val="00161C54"/>
    <w:rsid w:val="0016429A"/>
    <w:rsid w:val="0017140E"/>
    <w:rsid w:val="00181B27"/>
    <w:rsid w:val="00182325"/>
    <w:rsid w:val="001861DC"/>
    <w:rsid w:val="00187AD4"/>
    <w:rsid w:val="001927C4"/>
    <w:rsid w:val="00194234"/>
    <w:rsid w:val="0019451A"/>
    <w:rsid w:val="001A29FD"/>
    <w:rsid w:val="001B7333"/>
    <w:rsid w:val="001C534A"/>
    <w:rsid w:val="001C6D6C"/>
    <w:rsid w:val="001C6EAB"/>
    <w:rsid w:val="001D27F6"/>
    <w:rsid w:val="001D6119"/>
    <w:rsid w:val="001E5EB8"/>
    <w:rsid w:val="001E6E76"/>
    <w:rsid w:val="0020249E"/>
    <w:rsid w:val="00225A55"/>
    <w:rsid w:val="00257A40"/>
    <w:rsid w:val="00257AA9"/>
    <w:rsid w:val="00261EB0"/>
    <w:rsid w:val="00281B2F"/>
    <w:rsid w:val="00283E74"/>
    <w:rsid w:val="002908B4"/>
    <w:rsid w:val="00292DA8"/>
    <w:rsid w:val="002A361E"/>
    <w:rsid w:val="002B55DC"/>
    <w:rsid w:val="002B6697"/>
    <w:rsid w:val="002C2D52"/>
    <w:rsid w:val="002C6EDB"/>
    <w:rsid w:val="002D64BE"/>
    <w:rsid w:val="002E2558"/>
    <w:rsid w:val="002F3CED"/>
    <w:rsid w:val="002F4775"/>
    <w:rsid w:val="002F56B7"/>
    <w:rsid w:val="00304DFC"/>
    <w:rsid w:val="00310F15"/>
    <w:rsid w:val="00311CC7"/>
    <w:rsid w:val="0031656C"/>
    <w:rsid w:val="00320ED4"/>
    <w:rsid w:val="00331DCB"/>
    <w:rsid w:val="00342D93"/>
    <w:rsid w:val="0035719D"/>
    <w:rsid w:val="00361C7F"/>
    <w:rsid w:val="00361E2D"/>
    <w:rsid w:val="0036493B"/>
    <w:rsid w:val="00373D7B"/>
    <w:rsid w:val="0037712C"/>
    <w:rsid w:val="00390041"/>
    <w:rsid w:val="00390C30"/>
    <w:rsid w:val="003A0700"/>
    <w:rsid w:val="003A3696"/>
    <w:rsid w:val="003A7185"/>
    <w:rsid w:val="003A7507"/>
    <w:rsid w:val="003B642A"/>
    <w:rsid w:val="003B79B7"/>
    <w:rsid w:val="00401DD6"/>
    <w:rsid w:val="0041571A"/>
    <w:rsid w:val="0042240E"/>
    <w:rsid w:val="004252AC"/>
    <w:rsid w:val="004274ED"/>
    <w:rsid w:val="00442614"/>
    <w:rsid w:val="0047117E"/>
    <w:rsid w:val="00472C88"/>
    <w:rsid w:val="00475709"/>
    <w:rsid w:val="00480F9B"/>
    <w:rsid w:val="00483E58"/>
    <w:rsid w:val="004A529D"/>
    <w:rsid w:val="004B1D40"/>
    <w:rsid w:val="004B27A3"/>
    <w:rsid w:val="004B4F74"/>
    <w:rsid w:val="004B73C3"/>
    <w:rsid w:val="004B7D32"/>
    <w:rsid w:val="004C1D0E"/>
    <w:rsid w:val="004D28C2"/>
    <w:rsid w:val="004D4894"/>
    <w:rsid w:val="004F0DD7"/>
    <w:rsid w:val="00504682"/>
    <w:rsid w:val="005133CE"/>
    <w:rsid w:val="00527F33"/>
    <w:rsid w:val="00530BF8"/>
    <w:rsid w:val="005433DB"/>
    <w:rsid w:val="00544DBE"/>
    <w:rsid w:val="005543AC"/>
    <w:rsid w:val="005568BE"/>
    <w:rsid w:val="00561408"/>
    <w:rsid w:val="005640DD"/>
    <w:rsid w:val="00566B92"/>
    <w:rsid w:val="00570273"/>
    <w:rsid w:val="005705AC"/>
    <w:rsid w:val="00572A2F"/>
    <w:rsid w:val="00573F5D"/>
    <w:rsid w:val="00582CF8"/>
    <w:rsid w:val="00582DF4"/>
    <w:rsid w:val="005964D5"/>
    <w:rsid w:val="00596983"/>
    <w:rsid w:val="005A0EBB"/>
    <w:rsid w:val="005C0011"/>
    <w:rsid w:val="005C0BC2"/>
    <w:rsid w:val="005C1113"/>
    <w:rsid w:val="005E242C"/>
    <w:rsid w:val="00600B22"/>
    <w:rsid w:val="00606D3A"/>
    <w:rsid w:val="00612D61"/>
    <w:rsid w:val="0062007F"/>
    <w:rsid w:val="00631124"/>
    <w:rsid w:val="00671483"/>
    <w:rsid w:val="00687BF5"/>
    <w:rsid w:val="006915E8"/>
    <w:rsid w:val="006B4815"/>
    <w:rsid w:val="006B55F1"/>
    <w:rsid w:val="006B565D"/>
    <w:rsid w:val="006B5831"/>
    <w:rsid w:val="006C53A4"/>
    <w:rsid w:val="006D0316"/>
    <w:rsid w:val="006D0357"/>
    <w:rsid w:val="006D53E3"/>
    <w:rsid w:val="006D71C7"/>
    <w:rsid w:val="006E0401"/>
    <w:rsid w:val="006F4E71"/>
    <w:rsid w:val="0070672E"/>
    <w:rsid w:val="007168B7"/>
    <w:rsid w:val="007221B0"/>
    <w:rsid w:val="00722ACC"/>
    <w:rsid w:val="00724D6B"/>
    <w:rsid w:val="00725A3A"/>
    <w:rsid w:val="0074075A"/>
    <w:rsid w:val="0076221F"/>
    <w:rsid w:val="00764357"/>
    <w:rsid w:val="007648E0"/>
    <w:rsid w:val="0076595C"/>
    <w:rsid w:val="00773D41"/>
    <w:rsid w:val="00777EC5"/>
    <w:rsid w:val="00781C92"/>
    <w:rsid w:val="00781E91"/>
    <w:rsid w:val="0078270B"/>
    <w:rsid w:val="00790D57"/>
    <w:rsid w:val="007911F1"/>
    <w:rsid w:val="007A6627"/>
    <w:rsid w:val="007A68E0"/>
    <w:rsid w:val="007A6963"/>
    <w:rsid w:val="007A78AB"/>
    <w:rsid w:val="007B0B73"/>
    <w:rsid w:val="007B7543"/>
    <w:rsid w:val="007C5930"/>
    <w:rsid w:val="007C5E84"/>
    <w:rsid w:val="007C6859"/>
    <w:rsid w:val="007D410B"/>
    <w:rsid w:val="007E2743"/>
    <w:rsid w:val="007E2C68"/>
    <w:rsid w:val="007E3BA6"/>
    <w:rsid w:val="007F1763"/>
    <w:rsid w:val="00802FB2"/>
    <w:rsid w:val="00807BE1"/>
    <w:rsid w:val="00811A93"/>
    <w:rsid w:val="00816671"/>
    <w:rsid w:val="00826321"/>
    <w:rsid w:val="00851ADF"/>
    <w:rsid w:val="008570BD"/>
    <w:rsid w:val="00861094"/>
    <w:rsid w:val="00862471"/>
    <w:rsid w:val="008632FA"/>
    <w:rsid w:val="00870B8F"/>
    <w:rsid w:val="008904E9"/>
    <w:rsid w:val="00894FD8"/>
    <w:rsid w:val="008A1BC0"/>
    <w:rsid w:val="008A3A79"/>
    <w:rsid w:val="008A59C4"/>
    <w:rsid w:val="008B3831"/>
    <w:rsid w:val="008B4C74"/>
    <w:rsid w:val="008B5A29"/>
    <w:rsid w:val="008C0578"/>
    <w:rsid w:val="008D4DA4"/>
    <w:rsid w:val="008D5785"/>
    <w:rsid w:val="008D6E1B"/>
    <w:rsid w:val="008E2E66"/>
    <w:rsid w:val="008E7E3F"/>
    <w:rsid w:val="008F436C"/>
    <w:rsid w:val="008F5EE2"/>
    <w:rsid w:val="0090138E"/>
    <w:rsid w:val="00906B81"/>
    <w:rsid w:val="00911946"/>
    <w:rsid w:val="0091201F"/>
    <w:rsid w:val="009236DE"/>
    <w:rsid w:val="00925992"/>
    <w:rsid w:val="00925D18"/>
    <w:rsid w:val="00927909"/>
    <w:rsid w:val="0093153D"/>
    <w:rsid w:val="00932C58"/>
    <w:rsid w:val="00932E04"/>
    <w:rsid w:val="00934199"/>
    <w:rsid w:val="00941327"/>
    <w:rsid w:val="0094211D"/>
    <w:rsid w:val="00953CF5"/>
    <w:rsid w:val="009649DE"/>
    <w:rsid w:val="00965444"/>
    <w:rsid w:val="009724D1"/>
    <w:rsid w:val="00972757"/>
    <w:rsid w:val="009758EA"/>
    <w:rsid w:val="0098083E"/>
    <w:rsid w:val="00982D83"/>
    <w:rsid w:val="00983FF0"/>
    <w:rsid w:val="009A0825"/>
    <w:rsid w:val="009A38B1"/>
    <w:rsid w:val="009C42B4"/>
    <w:rsid w:val="009D6EC9"/>
    <w:rsid w:val="009F29F4"/>
    <w:rsid w:val="00A07668"/>
    <w:rsid w:val="00A10213"/>
    <w:rsid w:val="00A14686"/>
    <w:rsid w:val="00A16AF9"/>
    <w:rsid w:val="00A211B9"/>
    <w:rsid w:val="00A21B0C"/>
    <w:rsid w:val="00A25884"/>
    <w:rsid w:val="00A25CED"/>
    <w:rsid w:val="00A40DDD"/>
    <w:rsid w:val="00A44732"/>
    <w:rsid w:val="00A52904"/>
    <w:rsid w:val="00A549E0"/>
    <w:rsid w:val="00A60925"/>
    <w:rsid w:val="00A62141"/>
    <w:rsid w:val="00A671D9"/>
    <w:rsid w:val="00A67B64"/>
    <w:rsid w:val="00A84C5B"/>
    <w:rsid w:val="00AB0B1D"/>
    <w:rsid w:val="00AC0DEF"/>
    <w:rsid w:val="00AC26E5"/>
    <w:rsid w:val="00AC47A6"/>
    <w:rsid w:val="00AD7027"/>
    <w:rsid w:val="00AE410D"/>
    <w:rsid w:val="00AF24A3"/>
    <w:rsid w:val="00AF2CDD"/>
    <w:rsid w:val="00AF63C1"/>
    <w:rsid w:val="00AF703C"/>
    <w:rsid w:val="00B00A58"/>
    <w:rsid w:val="00B02F58"/>
    <w:rsid w:val="00B171B0"/>
    <w:rsid w:val="00B20F1B"/>
    <w:rsid w:val="00B23A4B"/>
    <w:rsid w:val="00B24880"/>
    <w:rsid w:val="00B27244"/>
    <w:rsid w:val="00B273CE"/>
    <w:rsid w:val="00B32E29"/>
    <w:rsid w:val="00B33364"/>
    <w:rsid w:val="00B37501"/>
    <w:rsid w:val="00B40E67"/>
    <w:rsid w:val="00B42C0A"/>
    <w:rsid w:val="00B4707E"/>
    <w:rsid w:val="00B57214"/>
    <w:rsid w:val="00B57243"/>
    <w:rsid w:val="00B62DC3"/>
    <w:rsid w:val="00B63A59"/>
    <w:rsid w:val="00B63DCD"/>
    <w:rsid w:val="00B64DF6"/>
    <w:rsid w:val="00B64E1D"/>
    <w:rsid w:val="00B66BE6"/>
    <w:rsid w:val="00B75445"/>
    <w:rsid w:val="00BB0060"/>
    <w:rsid w:val="00BB0137"/>
    <w:rsid w:val="00BB29B0"/>
    <w:rsid w:val="00BC7397"/>
    <w:rsid w:val="00BD7CF0"/>
    <w:rsid w:val="00BE01CD"/>
    <w:rsid w:val="00BE065F"/>
    <w:rsid w:val="00BE437A"/>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34B7"/>
    <w:rsid w:val="00CA7B5D"/>
    <w:rsid w:val="00CB6554"/>
    <w:rsid w:val="00CB7AA1"/>
    <w:rsid w:val="00CC6FDD"/>
    <w:rsid w:val="00CD44BB"/>
    <w:rsid w:val="00CD74FC"/>
    <w:rsid w:val="00CD7D48"/>
    <w:rsid w:val="00CE0A15"/>
    <w:rsid w:val="00CE209F"/>
    <w:rsid w:val="00CE2850"/>
    <w:rsid w:val="00D004C1"/>
    <w:rsid w:val="00D15F32"/>
    <w:rsid w:val="00D162B7"/>
    <w:rsid w:val="00D216E0"/>
    <w:rsid w:val="00D31392"/>
    <w:rsid w:val="00D4352B"/>
    <w:rsid w:val="00D53D65"/>
    <w:rsid w:val="00D714C6"/>
    <w:rsid w:val="00D8743B"/>
    <w:rsid w:val="00D95E08"/>
    <w:rsid w:val="00DA3034"/>
    <w:rsid w:val="00DB2780"/>
    <w:rsid w:val="00DB41A6"/>
    <w:rsid w:val="00DC5E4B"/>
    <w:rsid w:val="00DC7B58"/>
    <w:rsid w:val="00DD197B"/>
    <w:rsid w:val="00DD7DDE"/>
    <w:rsid w:val="00DE4EEB"/>
    <w:rsid w:val="00DE6B38"/>
    <w:rsid w:val="00DE7E0A"/>
    <w:rsid w:val="00DF55BA"/>
    <w:rsid w:val="00E02FAD"/>
    <w:rsid w:val="00E030D8"/>
    <w:rsid w:val="00E11EE8"/>
    <w:rsid w:val="00E167A2"/>
    <w:rsid w:val="00E232E1"/>
    <w:rsid w:val="00E274DF"/>
    <w:rsid w:val="00E37F23"/>
    <w:rsid w:val="00E554EE"/>
    <w:rsid w:val="00E55911"/>
    <w:rsid w:val="00E56034"/>
    <w:rsid w:val="00E61983"/>
    <w:rsid w:val="00E61D25"/>
    <w:rsid w:val="00E67FC4"/>
    <w:rsid w:val="00E85D5A"/>
    <w:rsid w:val="00E86382"/>
    <w:rsid w:val="00E9411A"/>
    <w:rsid w:val="00E95D83"/>
    <w:rsid w:val="00EA4B51"/>
    <w:rsid w:val="00EB3B4C"/>
    <w:rsid w:val="00EC3375"/>
    <w:rsid w:val="00EC5FEA"/>
    <w:rsid w:val="00EF2003"/>
    <w:rsid w:val="00EF6139"/>
    <w:rsid w:val="00F0399F"/>
    <w:rsid w:val="00F03AE9"/>
    <w:rsid w:val="00F05694"/>
    <w:rsid w:val="00F112B8"/>
    <w:rsid w:val="00F135FB"/>
    <w:rsid w:val="00F17A78"/>
    <w:rsid w:val="00F20B71"/>
    <w:rsid w:val="00F21481"/>
    <w:rsid w:val="00F34369"/>
    <w:rsid w:val="00F37989"/>
    <w:rsid w:val="00F4347C"/>
    <w:rsid w:val="00F60786"/>
    <w:rsid w:val="00F67012"/>
    <w:rsid w:val="00F716BA"/>
    <w:rsid w:val="00F71F65"/>
    <w:rsid w:val="00F73A14"/>
    <w:rsid w:val="00F7782D"/>
    <w:rsid w:val="00F82B31"/>
    <w:rsid w:val="00F84E72"/>
    <w:rsid w:val="00F915E6"/>
    <w:rsid w:val="00FA0D71"/>
    <w:rsid w:val="00FB3002"/>
    <w:rsid w:val="00FC27B0"/>
    <w:rsid w:val="00FC6E01"/>
    <w:rsid w:val="00FC73CB"/>
    <w:rsid w:val="00FF12F2"/>
    <w:rsid w:val="00FF5D2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puce 2,bk paragraph,Bullet List,FooterText,numbered,List Paragraph1,Bulletr List Paragraph,列出段落,列出段落1,Use Case List Paragraph,Page Titles,List Paragraph2,List Paragraph21,Listeafsnit1,Parágrafo da Lista1,Bullets"/>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styleId="Sansinterligne">
    <w:name w:val="No Spacing"/>
    <w:uiPriority w:val="1"/>
    <w:qFormat/>
    <w:rsid w:val="0037712C"/>
    <w:rPr>
      <w:rFonts w:asciiTheme="minorHAnsi" w:eastAsiaTheme="minorHAnsi" w:hAnsiTheme="minorHAnsi"/>
      <w:sz w:val="22"/>
      <w:szCs w:val="22"/>
      <w:lang w:val="en" w:eastAsia="en"/>
    </w:rPr>
  </w:style>
  <w:style w:type="character" w:customStyle="1" w:styleId="ParagraphedelisteCar">
    <w:name w:val="Paragraphe de liste Car"/>
    <w:aliases w:val="puce 2 Car,bk paragraph Car,Bullet List Car,FooterText Car,numbered Car,List Paragraph1 Car,Bulletr List Paragraph Car,列出段落 Car,列出段落1 Car,Use Case List Paragraph Car,Page Titles Car,List Paragraph2 Car,List Paragraph21 Car"/>
    <w:basedOn w:val="Policepardfaut"/>
    <w:link w:val="Paragraphedeliste"/>
    <w:uiPriority w:val="34"/>
    <w:qFormat/>
    <w:rsid w:val="00AF2C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6553-1C7E-445B-AE35-DA8E0F86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7</Pages>
  <Words>2392</Words>
  <Characters>13162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15523</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Loubna HAFIDI</cp:lastModifiedBy>
  <cp:revision>72</cp:revision>
  <cp:lastPrinted>2013-05-24T14:05:00Z</cp:lastPrinted>
  <dcterms:created xsi:type="dcterms:W3CDTF">2021-12-29T19:48:00Z</dcterms:created>
  <dcterms:modified xsi:type="dcterms:W3CDTF">2025-02-06T09:38:00Z</dcterms:modified>
</cp:coreProperties>
</file>