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57E99" w14:textId="77777777" w:rsidR="00CE2D2B" w:rsidRPr="003C6F2A" w:rsidRDefault="00CE2D2B" w:rsidP="00CE2D2B">
      <w:pPr>
        <w:pStyle w:val="Titre1"/>
        <w:numPr>
          <w:ilvl w:val="0"/>
          <w:numId w:val="0"/>
        </w:numPr>
        <w:jc w:val="both"/>
      </w:pPr>
      <w:bookmarkStart w:id="0" w:name="_Toc20216224"/>
      <w:r>
        <w:t>Annexe 2</w:t>
      </w:r>
      <w:r w:rsidRPr="003C6F2A">
        <w:t xml:space="preserve"> : </w:t>
      </w:r>
      <w:r>
        <w:t>TAUX HORAIRES</w:t>
      </w:r>
      <w:bookmarkEnd w:id="0"/>
      <w:r>
        <w:t xml:space="preserve"> - BPU</w:t>
      </w:r>
    </w:p>
    <w:p w14:paraId="76DA9E23" w14:textId="3BF19AE1" w:rsidR="00B51C52" w:rsidRPr="009941A6" w:rsidRDefault="00CE2D2B" w:rsidP="00CE2D2B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9941A6">
        <w:rPr>
          <w:rFonts w:ascii="Century Gothic" w:hAnsi="Century Gothic"/>
          <w:b/>
          <w:bCs/>
          <w:sz w:val="20"/>
          <w:szCs w:val="20"/>
        </w:rPr>
        <w:t xml:space="preserve">Le CANDIDAT doit impérativement compléter tous les tableaux du </w:t>
      </w:r>
      <w:r>
        <w:rPr>
          <w:rFonts w:ascii="Century Gothic" w:hAnsi="Century Gothic"/>
          <w:b/>
          <w:bCs/>
          <w:sz w:val="20"/>
          <w:szCs w:val="20"/>
        </w:rPr>
        <w:t xml:space="preserve">présent </w:t>
      </w:r>
      <w:r w:rsidRPr="009941A6">
        <w:rPr>
          <w:rFonts w:ascii="Century Gothic" w:hAnsi="Century Gothic"/>
          <w:b/>
          <w:bCs/>
          <w:sz w:val="20"/>
          <w:szCs w:val="20"/>
        </w:rPr>
        <w:t>« Bordereau ».</w:t>
      </w:r>
    </w:p>
    <w:p w14:paraId="7D121281" w14:textId="77777777" w:rsidR="00CE2D2B" w:rsidRPr="009941A6" w:rsidRDefault="00CE2D2B" w:rsidP="00CE2D2B">
      <w:pPr>
        <w:pStyle w:val="Liste1"/>
        <w:rPr>
          <w:szCs w:val="20"/>
          <w:u w:val="single"/>
        </w:rPr>
      </w:pPr>
      <w:r w:rsidRPr="009941A6">
        <w:rPr>
          <w:szCs w:val="20"/>
          <w:u w:val="single"/>
        </w:rPr>
        <w:t>Taux horaire</w:t>
      </w:r>
    </w:p>
    <w:p w14:paraId="395CD16E" w14:textId="77777777" w:rsidR="00CE2D2B" w:rsidRPr="009941A6" w:rsidRDefault="00CE2D2B" w:rsidP="00CE2D2B">
      <w:pPr>
        <w:pStyle w:val="Liste1"/>
        <w:numPr>
          <w:ilvl w:val="0"/>
          <w:numId w:val="0"/>
        </w:numPr>
        <w:rPr>
          <w:szCs w:val="20"/>
        </w:rPr>
      </w:pPr>
    </w:p>
    <w:p w14:paraId="38DB3876" w14:textId="77777777" w:rsidR="00CE2D2B" w:rsidRPr="009941A6" w:rsidRDefault="00CE2D2B" w:rsidP="00CE2D2B">
      <w:pPr>
        <w:spacing w:before="60" w:after="120"/>
        <w:jc w:val="both"/>
        <w:rPr>
          <w:rFonts w:ascii="Century Gothic" w:hAnsi="Century Gothic"/>
          <w:sz w:val="20"/>
          <w:szCs w:val="20"/>
        </w:rPr>
      </w:pPr>
      <w:r w:rsidRPr="009941A6">
        <w:rPr>
          <w:rFonts w:ascii="Century Gothic" w:hAnsi="Century Gothic"/>
          <w:sz w:val="20"/>
          <w:szCs w:val="20"/>
        </w:rPr>
        <w:t>Les taux horaires qui suivent sont à prendre en compte pour les interventions de maintenance corrective hors forfait.</w:t>
      </w:r>
    </w:p>
    <w:p w14:paraId="4D11D5FE" w14:textId="77777777" w:rsidR="00CE2D2B" w:rsidRPr="009941A6" w:rsidRDefault="00CE2D2B" w:rsidP="00CE2D2B">
      <w:pPr>
        <w:jc w:val="both"/>
        <w:rPr>
          <w:rFonts w:ascii="Century Gothic" w:hAnsi="Century Gothic"/>
          <w:sz w:val="20"/>
          <w:szCs w:val="20"/>
        </w:rPr>
      </w:pPr>
      <w:r w:rsidRPr="009941A6">
        <w:rPr>
          <w:rFonts w:ascii="Century Gothic" w:hAnsi="Century Gothic"/>
          <w:sz w:val="20"/>
          <w:szCs w:val="20"/>
        </w:rPr>
        <w:t>Ils comprennent toutes sujétions, frais de déplacement et primes du personnel.</w:t>
      </w:r>
    </w:p>
    <w:p w14:paraId="404B43EB" w14:textId="77777777" w:rsidR="00CE2D2B" w:rsidRPr="003C6F2A" w:rsidRDefault="00CE2D2B" w:rsidP="00CE2D2B">
      <w:pPr>
        <w:jc w:val="both"/>
        <w:rPr>
          <w:rFonts w:ascii="Century Gothic" w:hAnsi="Century Gothic"/>
        </w:rPr>
      </w:pPr>
    </w:p>
    <w:tbl>
      <w:tblPr>
        <w:tblW w:w="3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1192"/>
      </w:tblGrid>
      <w:tr w:rsidR="00CE2D2B" w:rsidRPr="003C6F2A" w14:paraId="729D47B3" w14:textId="77777777" w:rsidTr="00852A4F">
        <w:trPr>
          <w:trHeight w:val="966"/>
          <w:jc w:val="center"/>
        </w:trPr>
        <w:tc>
          <w:tcPr>
            <w:tcW w:w="1988" w:type="dxa"/>
            <w:shd w:val="clear" w:color="auto" w:fill="0F243E"/>
            <w:vAlign w:val="center"/>
          </w:tcPr>
          <w:p w14:paraId="227975A0" w14:textId="77777777" w:rsidR="00CE2D2B" w:rsidRPr="003C6F2A" w:rsidRDefault="00CE2D2B" w:rsidP="00852A4F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0F243E"/>
            <w:vAlign w:val="center"/>
          </w:tcPr>
          <w:p w14:paraId="28A23A24" w14:textId="77777777" w:rsidR="00CE2D2B" w:rsidRPr="003C6F2A" w:rsidRDefault="00CE2D2B" w:rsidP="00852A4F">
            <w:pPr>
              <w:jc w:val="both"/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</w:pPr>
            <w:r w:rsidRPr="003C6F2A">
              <w:rPr>
                <w:rFonts w:ascii="Century Gothic" w:hAnsi="Century Gothic"/>
                <w:b/>
                <w:sz w:val="18"/>
              </w:rPr>
              <w:t>Taux horaire (€HT/h)</w:t>
            </w:r>
          </w:p>
        </w:tc>
      </w:tr>
      <w:tr w:rsidR="00CE2D2B" w:rsidRPr="003C6F2A" w14:paraId="1A80BF1F" w14:textId="77777777" w:rsidTr="00852A4F">
        <w:trPr>
          <w:trHeight w:val="850"/>
          <w:jc w:val="center"/>
        </w:trPr>
        <w:tc>
          <w:tcPr>
            <w:tcW w:w="1988" w:type="dxa"/>
            <w:vAlign w:val="center"/>
          </w:tcPr>
          <w:p w14:paraId="16D488F4" w14:textId="722F6153" w:rsidR="00CE2D2B" w:rsidRPr="003C6F2A" w:rsidRDefault="00CE2D2B" w:rsidP="00F87940">
            <w:pPr>
              <w:ind w:left="3"/>
              <w:jc w:val="both"/>
              <w:rPr>
                <w:rFonts w:ascii="Century Gothic" w:hAnsi="Century Gothic"/>
                <w:b/>
                <w:sz w:val="18"/>
                <w:szCs w:val="18"/>
                <w:highlight w:val="yellow"/>
              </w:rPr>
            </w:pPr>
            <w:r w:rsidRPr="003C6F2A">
              <w:rPr>
                <w:rFonts w:ascii="Century Gothic" w:hAnsi="Century Gothic"/>
                <w:b/>
                <w:sz w:val="18"/>
                <w:szCs w:val="18"/>
              </w:rPr>
              <w:t>Intervention correctiv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e en heure normale de travail (8h</w:t>
            </w:r>
            <w:r w:rsidR="00F87940">
              <w:rPr>
                <w:rFonts w:ascii="Century Gothic" w:hAnsi="Century Gothic"/>
                <w:b/>
                <w:sz w:val="18"/>
                <w:szCs w:val="18"/>
              </w:rPr>
              <w:t>30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-1</w:t>
            </w:r>
            <w:r w:rsidR="00F87940">
              <w:rPr>
                <w:rFonts w:ascii="Century Gothic" w:hAnsi="Century Gothic"/>
                <w:b/>
                <w:sz w:val="18"/>
                <w:szCs w:val="18"/>
              </w:rPr>
              <w:t>7</w:t>
            </w:r>
            <w:r w:rsidRPr="003C6F2A">
              <w:rPr>
                <w:rFonts w:ascii="Century Gothic" w:hAnsi="Century Gothic"/>
                <w:b/>
                <w:sz w:val="18"/>
                <w:szCs w:val="18"/>
              </w:rPr>
              <w:t>h)</w:t>
            </w:r>
          </w:p>
        </w:tc>
        <w:tc>
          <w:tcPr>
            <w:tcW w:w="1192" w:type="dxa"/>
            <w:shd w:val="clear" w:color="auto" w:fill="FFFFFF"/>
            <w:vAlign w:val="center"/>
          </w:tcPr>
          <w:p w14:paraId="7296B3E8" w14:textId="77777777" w:rsidR="00CE2D2B" w:rsidRPr="003C6F2A" w:rsidRDefault="00CE2D2B" w:rsidP="00852A4F">
            <w:pPr>
              <w:jc w:val="both"/>
              <w:rPr>
                <w:rFonts w:ascii="Century Gothic" w:hAnsi="Century Gothic"/>
                <w:sz w:val="16"/>
                <w:szCs w:val="16"/>
                <w:highlight w:val="yellow"/>
              </w:rPr>
            </w:pPr>
          </w:p>
        </w:tc>
      </w:tr>
    </w:tbl>
    <w:p w14:paraId="5830DB35" w14:textId="77777777" w:rsidR="00CE2D2B" w:rsidRPr="003C6F2A" w:rsidRDefault="00CE2D2B" w:rsidP="00CE2D2B">
      <w:pPr>
        <w:jc w:val="both"/>
        <w:rPr>
          <w:rFonts w:ascii="Century Gothic" w:hAnsi="Century Gothic"/>
        </w:rPr>
      </w:pPr>
    </w:p>
    <w:p w14:paraId="65565D03" w14:textId="77777777" w:rsidR="00CE2D2B" w:rsidRPr="009941A6" w:rsidRDefault="00CE2D2B" w:rsidP="00CE2D2B">
      <w:pPr>
        <w:pStyle w:val="Liste1"/>
        <w:rPr>
          <w:szCs w:val="20"/>
          <w:u w:val="single"/>
        </w:rPr>
      </w:pPr>
      <w:r w:rsidRPr="009941A6">
        <w:rPr>
          <w:szCs w:val="20"/>
          <w:u w:val="single"/>
        </w:rPr>
        <w:t>Majoration des taux horaires</w:t>
      </w:r>
    </w:p>
    <w:p w14:paraId="3D3B3759" w14:textId="77777777" w:rsidR="00CE2D2B" w:rsidRPr="009941A6" w:rsidRDefault="00CE2D2B" w:rsidP="00CE2D2B">
      <w:pPr>
        <w:pStyle w:val="Liste1"/>
        <w:numPr>
          <w:ilvl w:val="0"/>
          <w:numId w:val="0"/>
        </w:numPr>
        <w:ind w:left="1353"/>
        <w:rPr>
          <w:szCs w:val="20"/>
        </w:rPr>
      </w:pPr>
    </w:p>
    <w:p w14:paraId="23C72375" w14:textId="77777777" w:rsidR="00CE2D2B" w:rsidRPr="009941A6" w:rsidRDefault="00CE2D2B" w:rsidP="00CE2D2B">
      <w:pPr>
        <w:spacing w:before="60" w:after="120"/>
        <w:jc w:val="both"/>
        <w:rPr>
          <w:rFonts w:ascii="Century Gothic" w:hAnsi="Century Gothic"/>
          <w:sz w:val="20"/>
          <w:szCs w:val="20"/>
        </w:rPr>
      </w:pPr>
      <w:r w:rsidRPr="009941A6">
        <w:rPr>
          <w:rFonts w:ascii="Century Gothic" w:hAnsi="Century Gothic"/>
          <w:sz w:val="20"/>
          <w:szCs w:val="20"/>
        </w:rPr>
        <w:t>Les coefficients de majoration s'appliquent aux taux horaires définis au présent bordereau des prix unitaires en fonction des tranches horaires définies.</w:t>
      </w:r>
    </w:p>
    <w:p w14:paraId="29A7F5FA" w14:textId="77777777" w:rsidR="00CE2D2B" w:rsidRPr="009941A6" w:rsidRDefault="00CE2D2B" w:rsidP="00CE2D2B">
      <w:pPr>
        <w:spacing w:before="60" w:after="120"/>
        <w:jc w:val="both"/>
        <w:rPr>
          <w:rFonts w:ascii="Century Gothic" w:hAnsi="Century Gothic"/>
          <w:sz w:val="20"/>
          <w:szCs w:val="20"/>
        </w:rPr>
      </w:pPr>
      <w:r w:rsidRPr="009941A6">
        <w:rPr>
          <w:rFonts w:ascii="Century Gothic" w:hAnsi="Century Gothic"/>
          <w:sz w:val="20"/>
          <w:szCs w:val="20"/>
        </w:rPr>
        <w:t>Le coefficient de majoration est exprimé par un coefficient multiplicateur à appliquer au taux horaire de base.</w:t>
      </w:r>
    </w:p>
    <w:p w14:paraId="2B9453AF" w14:textId="77777777" w:rsidR="00CE2D2B" w:rsidRPr="003C6F2A" w:rsidRDefault="00CE2D2B" w:rsidP="00CE2D2B">
      <w:pPr>
        <w:spacing w:before="60" w:after="120"/>
        <w:jc w:val="both"/>
        <w:rPr>
          <w:rFonts w:ascii="Century Gothic" w:hAnsi="Century Gothic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1740"/>
        <w:gridCol w:w="1740"/>
      </w:tblGrid>
      <w:tr w:rsidR="00CE2D2B" w:rsidRPr="003C6F2A" w14:paraId="75DCAFA1" w14:textId="77777777" w:rsidTr="00852A4F">
        <w:trPr>
          <w:trHeight w:val="660"/>
        </w:trPr>
        <w:tc>
          <w:tcPr>
            <w:tcW w:w="5220" w:type="dxa"/>
            <w:shd w:val="clear" w:color="auto" w:fill="222A35" w:themeFill="text2" w:themeFillShade="80"/>
            <w:vAlign w:val="center"/>
            <w:hideMark/>
          </w:tcPr>
          <w:p w14:paraId="745B2E92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Coefficient de majoration</w:t>
            </w:r>
            <w:r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br/>
              <w:t>selon les tranches horaires</w:t>
            </w:r>
          </w:p>
        </w:tc>
        <w:tc>
          <w:tcPr>
            <w:tcW w:w="1740" w:type="dxa"/>
            <w:shd w:val="clear" w:color="auto" w:fill="222A35" w:themeFill="text2" w:themeFillShade="80"/>
            <w:noWrap/>
            <w:vAlign w:val="center"/>
            <w:hideMark/>
          </w:tcPr>
          <w:p w14:paraId="69169A9C" w14:textId="05BCE294" w:rsidR="00CE2D2B" w:rsidRPr="003C6F2A" w:rsidRDefault="00F87940" w:rsidP="00F87940">
            <w:pPr>
              <w:jc w:val="both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de 8h30 à 17</w:t>
            </w:r>
            <w:r w:rsidR="00CE2D2B"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 xml:space="preserve"> h</w:t>
            </w:r>
          </w:p>
        </w:tc>
        <w:tc>
          <w:tcPr>
            <w:tcW w:w="1740" w:type="dxa"/>
            <w:shd w:val="clear" w:color="auto" w:fill="222A35" w:themeFill="text2" w:themeFillShade="80"/>
            <w:noWrap/>
            <w:vAlign w:val="center"/>
            <w:hideMark/>
          </w:tcPr>
          <w:p w14:paraId="23365161" w14:textId="48682F50" w:rsidR="00CE2D2B" w:rsidRPr="003C6F2A" w:rsidRDefault="00F87940" w:rsidP="00F87940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HNO</w:t>
            </w:r>
          </w:p>
        </w:tc>
      </w:tr>
      <w:tr w:rsidR="00CE2D2B" w:rsidRPr="003C6F2A" w14:paraId="560C5E24" w14:textId="77777777" w:rsidTr="00852A4F">
        <w:trPr>
          <w:trHeight w:val="420"/>
        </w:trPr>
        <w:tc>
          <w:tcPr>
            <w:tcW w:w="5220" w:type="dxa"/>
            <w:shd w:val="clear" w:color="auto" w:fill="auto"/>
            <w:vAlign w:val="center"/>
            <w:hideMark/>
          </w:tcPr>
          <w:p w14:paraId="2E4AB8F0" w14:textId="2903BB6D" w:rsidR="00CE2D2B" w:rsidRPr="003C6F2A" w:rsidRDefault="00CE2D2B" w:rsidP="00EA5F38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sz w:val="20"/>
                <w:szCs w:val="20"/>
              </w:rPr>
              <w:t xml:space="preserve">Lundi au </w:t>
            </w:r>
            <w:r w:rsidR="00EA5F38">
              <w:rPr>
                <w:rFonts w:ascii="Century Gothic" w:hAnsi="Century Gothic" w:cs="Calibri"/>
                <w:sz w:val="20"/>
                <w:szCs w:val="20"/>
              </w:rPr>
              <w:t>samedi</w:t>
            </w:r>
          </w:p>
        </w:tc>
        <w:tc>
          <w:tcPr>
            <w:tcW w:w="1740" w:type="dxa"/>
            <w:shd w:val="clear" w:color="auto" w:fill="D9D9D9" w:themeFill="background1" w:themeFillShade="D9"/>
            <w:noWrap/>
            <w:vAlign w:val="center"/>
            <w:hideMark/>
          </w:tcPr>
          <w:p w14:paraId="03A59600" w14:textId="77777777" w:rsidR="00CE2D2B" w:rsidRPr="003C6F2A" w:rsidRDefault="00CE2D2B" w:rsidP="00F87940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sz w:val="20"/>
                <w:szCs w:val="20"/>
              </w:rPr>
              <w:t>1,00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2782411" w14:textId="77777777" w:rsidR="00CE2D2B" w:rsidRPr="003C6F2A" w:rsidRDefault="00CE2D2B" w:rsidP="00F87940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1244BC6E" w14:textId="77777777" w:rsidR="00CE2D2B" w:rsidRPr="003C6F2A" w:rsidRDefault="00CE2D2B" w:rsidP="00CE2D2B">
      <w:pPr>
        <w:jc w:val="both"/>
        <w:rPr>
          <w:rFonts w:ascii="Century Gothic" w:hAnsi="Century Gothic"/>
        </w:rPr>
      </w:pPr>
    </w:p>
    <w:p w14:paraId="71FD8ED7" w14:textId="77777777" w:rsidR="00CE2D2B" w:rsidRPr="003C6F2A" w:rsidRDefault="00CE2D2B" w:rsidP="00CE2D2B">
      <w:pPr>
        <w:pStyle w:val="Liste1"/>
        <w:rPr>
          <w:u w:val="single"/>
        </w:rPr>
      </w:pPr>
      <w:r w:rsidRPr="003C6F2A">
        <w:rPr>
          <w:u w:val="single"/>
        </w:rPr>
        <w:t>Coefficient d'entreprise pour l'achat de matériel</w:t>
      </w:r>
    </w:p>
    <w:p w14:paraId="275DC7DE" w14:textId="77777777" w:rsidR="00CE2D2B" w:rsidRPr="003C6F2A" w:rsidRDefault="00CE2D2B" w:rsidP="00CE2D2B">
      <w:pPr>
        <w:pStyle w:val="Liste1"/>
        <w:numPr>
          <w:ilvl w:val="0"/>
          <w:numId w:val="0"/>
        </w:numPr>
      </w:pPr>
    </w:p>
    <w:p w14:paraId="53C94991" w14:textId="77777777" w:rsidR="00CE2D2B" w:rsidRDefault="00CE2D2B" w:rsidP="00CE2D2B">
      <w:pPr>
        <w:pStyle w:val="Liste1"/>
        <w:numPr>
          <w:ilvl w:val="0"/>
          <w:numId w:val="0"/>
        </w:numPr>
      </w:pPr>
      <w:r w:rsidRPr="003C6F2A">
        <w:t>Le TITULAIRE s'engage à appliquer à l’université un coefficient d'entreprise défini sur l'achat de matériels et fournitures non inclus au forfait, selon les tranches de prix indiquées ci-après. Le coefficient s'applique, par achat, sur le prix hors taxes du matériel seul, remise du fournisseur déduite.</w:t>
      </w:r>
    </w:p>
    <w:p w14:paraId="6C18292C" w14:textId="77777777" w:rsidR="00CE2D2B" w:rsidRPr="003C6F2A" w:rsidRDefault="00CE2D2B" w:rsidP="00CE2D2B">
      <w:pPr>
        <w:pStyle w:val="Liste1"/>
        <w:numPr>
          <w:ilvl w:val="0"/>
          <w:numId w:val="0"/>
        </w:numPr>
      </w:pPr>
      <w:r w:rsidRPr="003C6F2A">
        <w:t>L’université peut exiger la copie de la facture du fournisseur.</w:t>
      </w:r>
    </w:p>
    <w:p w14:paraId="75F07398" w14:textId="4DFBEEF3" w:rsidR="00CE2D2B" w:rsidRPr="003C6F2A" w:rsidRDefault="00F87940" w:rsidP="00CE2D2B">
      <w:pPr>
        <w:pStyle w:val="Liste1"/>
        <w:numPr>
          <w:ilvl w:val="0"/>
          <w:numId w:val="0"/>
        </w:numPr>
      </w:pPr>
      <w:r>
        <w:t>Pour mémoire tous les consommables au tarif unitaire inférieur à 100€ HT sont inclus au forfait du présent marché.</w:t>
      </w:r>
    </w:p>
    <w:tbl>
      <w:tblPr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1"/>
        <w:gridCol w:w="2063"/>
        <w:gridCol w:w="1436"/>
      </w:tblGrid>
      <w:tr w:rsidR="00CE2D2B" w:rsidRPr="003C6F2A" w14:paraId="3C5E5D58" w14:textId="77777777" w:rsidTr="00852A4F">
        <w:trPr>
          <w:trHeight w:val="660"/>
        </w:trPr>
        <w:tc>
          <w:tcPr>
            <w:tcW w:w="5524" w:type="dxa"/>
            <w:gridSpan w:val="2"/>
            <w:shd w:val="clear" w:color="auto" w:fill="222A35" w:themeFill="text2" w:themeFillShade="80"/>
            <w:vAlign w:val="center"/>
            <w:hideMark/>
          </w:tcPr>
          <w:p w14:paraId="248F7CBD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Coefficient d'entreprise pour l'achat</w:t>
            </w:r>
            <w:r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br/>
              <w:t>de matériel d'un montant M</w:t>
            </w:r>
          </w:p>
        </w:tc>
        <w:tc>
          <w:tcPr>
            <w:tcW w:w="1436" w:type="dxa"/>
            <w:shd w:val="clear" w:color="auto" w:fill="222A35" w:themeFill="text2" w:themeFillShade="80"/>
            <w:noWrap/>
            <w:vAlign w:val="center"/>
            <w:hideMark/>
          </w:tcPr>
          <w:p w14:paraId="2FB13581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Coefficient</w:t>
            </w:r>
          </w:p>
        </w:tc>
      </w:tr>
      <w:tr w:rsidR="00CE2D2B" w:rsidRPr="003C6F2A" w14:paraId="40F0CF3F" w14:textId="77777777" w:rsidTr="00852A4F">
        <w:trPr>
          <w:trHeight w:val="420"/>
        </w:trPr>
        <w:tc>
          <w:tcPr>
            <w:tcW w:w="3461" w:type="dxa"/>
            <w:shd w:val="clear" w:color="auto" w:fill="auto"/>
            <w:noWrap/>
            <w:vAlign w:val="center"/>
            <w:hideMark/>
          </w:tcPr>
          <w:p w14:paraId="0B2FDDC0" w14:textId="77777777" w:rsidR="00CE2D2B" w:rsidRPr="003C6F2A" w:rsidRDefault="00CE2D2B" w:rsidP="00852A4F">
            <w:pPr>
              <w:ind w:firstLineChars="400" w:firstLine="800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sz w:val="20"/>
                <w:szCs w:val="20"/>
              </w:rPr>
              <w:t>M</w:t>
            </w:r>
            <w:r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A43739">
              <w:rPr>
                <w:rFonts w:ascii="Century Gothic" w:hAnsi="Century Gothic" w:cs="Calibri"/>
                <w:sz w:val="20"/>
                <w:szCs w:val="20"/>
              </w:rPr>
              <w:t xml:space="preserve"> inférieur ou égal à</w:t>
            </w:r>
            <w:r w:rsidRPr="003C6F2A">
              <w:rPr>
                <w:rFonts w:ascii="Century Gothic" w:hAnsi="Century Gothic" w:cs="Calibri"/>
                <w:sz w:val="20"/>
                <w:szCs w:val="20"/>
              </w:rPr>
              <w:t xml:space="preserve"> :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14:paraId="465ACDFD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sz w:val="20"/>
                <w:szCs w:val="20"/>
              </w:rPr>
              <w:t>1 500 €HT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249D4871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CE2D2B" w:rsidRPr="003C6F2A" w14:paraId="645AF83C" w14:textId="77777777" w:rsidTr="00852A4F">
        <w:trPr>
          <w:trHeight w:val="420"/>
        </w:trPr>
        <w:tc>
          <w:tcPr>
            <w:tcW w:w="3461" w:type="dxa"/>
            <w:shd w:val="clear" w:color="auto" w:fill="auto"/>
            <w:noWrap/>
            <w:vAlign w:val="center"/>
            <w:hideMark/>
          </w:tcPr>
          <w:p w14:paraId="714B8691" w14:textId="77777777" w:rsidR="00CE2D2B" w:rsidRPr="003C6F2A" w:rsidRDefault="00CE2D2B" w:rsidP="00852A4F">
            <w:pPr>
              <w:ind w:firstLineChars="400" w:firstLine="800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C6F2A">
              <w:rPr>
                <w:rFonts w:ascii="Century Gothic" w:hAnsi="Century Gothic" w:cs="Calibri"/>
                <w:sz w:val="20"/>
                <w:szCs w:val="20"/>
              </w:rPr>
              <w:t>M</w:t>
            </w:r>
            <w:r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Pr="003C6F2A">
              <w:rPr>
                <w:rFonts w:ascii="Century Gothic" w:hAnsi="Century Gothic" w:cs="Calibri"/>
                <w:sz w:val="20"/>
                <w:szCs w:val="20"/>
              </w:rPr>
              <w:t xml:space="preserve"> compris entre :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14:paraId="79764AFB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1 500 et 4</w:t>
            </w:r>
            <w:r w:rsidRPr="003C6F2A">
              <w:rPr>
                <w:rFonts w:ascii="Century Gothic" w:hAnsi="Century Gothic" w:cs="Calibri"/>
                <w:sz w:val="20"/>
                <w:szCs w:val="20"/>
              </w:rPr>
              <w:t xml:space="preserve"> 000 €HT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4A276503" w14:textId="77777777" w:rsidR="00CE2D2B" w:rsidRPr="003C6F2A" w:rsidRDefault="00CE2D2B" w:rsidP="00852A4F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10F1EEF7" w14:textId="77777777" w:rsidR="005F6837" w:rsidRDefault="005F6837"/>
    <w:sectPr w:rsidR="005F68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C656" w14:textId="77777777" w:rsidR="00436824" w:rsidRDefault="00436824" w:rsidP="005E1965">
      <w:r>
        <w:separator/>
      </w:r>
    </w:p>
  </w:endnote>
  <w:endnote w:type="continuationSeparator" w:id="0">
    <w:p w14:paraId="3DA1DC32" w14:textId="77777777" w:rsidR="00436824" w:rsidRDefault="00436824" w:rsidP="005E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D523" w14:textId="77777777" w:rsidR="00436824" w:rsidRDefault="00436824" w:rsidP="005E1965">
      <w:r>
        <w:separator/>
      </w:r>
    </w:p>
  </w:footnote>
  <w:footnote w:type="continuationSeparator" w:id="0">
    <w:p w14:paraId="27ECAF0A" w14:textId="77777777" w:rsidR="00436824" w:rsidRDefault="00436824" w:rsidP="005E1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20CA" w14:textId="2338E7F8" w:rsidR="005E1965" w:rsidRDefault="005E1965">
    <w:pPr>
      <w:pStyle w:val="En-tte"/>
    </w:pPr>
    <w:r>
      <w:rPr>
        <w:noProof/>
      </w:rPr>
      <w:drawing>
        <wp:inline distT="0" distB="0" distL="0" distR="0" wp14:anchorId="344B674F" wp14:editId="7FCD9633">
          <wp:extent cx="818511" cy="361935"/>
          <wp:effectExtent l="0" t="0" r="1270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nstitutionnel-rvb-hd_p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298" cy="387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Entretien des onduleurs site de bures Orsay Gif/</w:t>
    </w:r>
    <w:r w:rsidR="00BF4CBE">
      <w:t>Y</w:t>
    </w:r>
    <w:r>
      <w:t>vette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565BF"/>
    <w:multiLevelType w:val="hybridMultilevel"/>
    <w:tmpl w:val="27C63FE8"/>
    <w:lvl w:ilvl="0" w:tplc="B3A2D596">
      <w:numFmt w:val="bullet"/>
      <w:pStyle w:val="Liste1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B0396A">
      <w:numFmt w:val="bullet"/>
      <w:lvlText w:val="•"/>
      <w:lvlJc w:val="left"/>
      <w:pPr>
        <w:ind w:left="3600" w:hanging="360"/>
      </w:pPr>
      <w:rPr>
        <w:rFonts w:ascii="Arial" w:eastAsia="Times New Roman" w:hAnsi="Arial" w:cs="Arial" w:hint="default"/>
        <w:sz w:val="30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C4153"/>
    <w:multiLevelType w:val="hybridMultilevel"/>
    <w:tmpl w:val="849A7CF0"/>
    <w:lvl w:ilvl="0" w:tplc="6D22258A">
      <w:start w:val="1"/>
      <w:numFmt w:val="decimal"/>
      <w:pStyle w:val="Titre1"/>
      <w:lvlText w:val="Chapitre %1 -"/>
      <w:lvlJc w:val="left"/>
      <w:pPr>
        <w:ind w:left="2629" w:hanging="360"/>
      </w:pPr>
      <w:rPr>
        <w:rFonts w:ascii="Century Gothic" w:hAnsi="Century Gothic" w:hint="default"/>
        <w:b/>
        <w:i w:val="0"/>
        <w:caps/>
        <w:strike w:val="0"/>
        <w:dstrike w:val="0"/>
        <w:vanish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D2B"/>
    <w:rsid w:val="00436824"/>
    <w:rsid w:val="005E1965"/>
    <w:rsid w:val="005F6837"/>
    <w:rsid w:val="006E0173"/>
    <w:rsid w:val="00883C00"/>
    <w:rsid w:val="00A43739"/>
    <w:rsid w:val="00B51C52"/>
    <w:rsid w:val="00BF4CBE"/>
    <w:rsid w:val="00CE2D2B"/>
    <w:rsid w:val="00EA5F38"/>
    <w:rsid w:val="00F8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428BF"/>
  <w15:chartTrackingRefBased/>
  <w15:docId w15:val="{8CE41CCC-4D1E-4E75-9FA8-7FD65D60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Article1,Article12"/>
    <w:basedOn w:val="Normal"/>
    <w:next w:val="Normal"/>
    <w:link w:val="Titre1Car"/>
    <w:qFormat/>
    <w:rsid w:val="00CE2D2B"/>
    <w:pPr>
      <w:keepNext/>
      <w:pageBreakBefore/>
      <w:numPr>
        <w:numId w:val="2"/>
      </w:numPr>
      <w:pBdr>
        <w:top w:val="single" w:sz="8" w:space="10" w:color="0F243E" w:shadow="1"/>
        <w:left w:val="single" w:sz="8" w:space="4" w:color="0F243E" w:shadow="1"/>
        <w:bottom w:val="single" w:sz="8" w:space="10" w:color="0F243E" w:shadow="1"/>
        <w:right w:val="single" w:sz="8" w:space="4" w:color="0F243E" w:shadow="1"/>
      </w:pBdr>
      <w:shd w:val="clear" w:color="auto" w:fill="17365D"/>
      <w:spacing w:before="240" w:after="480"/>
      <w:jc w:val="center"/>
      <w:outlineLvl w:val="0"/>
    </w:pPr>
    <w:rPr>
      <w:rFonts w:ascii="Century Gothic" w:hAnsi="Century Gothic" w:cs="Arial"/>
      <w:b/>
      <w:bCs/>
      <w:smallCaps/>
      <w:outline/>
      <w:color w:val="FFFFFF" w:themeColor="background1"/>
      <w:kern w:val="32"/>
      <w:sz w:val="36"/>
      <w:szCs w:val="3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,Article12 Car"/>
    <w:basedOn w:val="Policepardfaut"/>
    <w:link w:val="Titre1"/>
    <w:rsid w:val="00CE2D2B"/>
    <w:rPr>
      <w:rFonts w:ascii="Century Gothic" w:eastAsia="Times New Roman" w:hAnsi="Century Gothic" w:cs="Arial"/>
      <w:b/>
      <w:bCs/>
      <w:smallCaps/>
      <w:outline/>
      <w:color w:val="FFFFFF" w:themeColor="background1"/>
      <w:kern w:val="32"/>
      <w:sz w:val="36"/>
      <w:szCs w:val="36"/>
      <w:shd w:val="clear" w:color="auto" w:fill="17365D"/>
      <w:lang w:eastAsia="fr-FR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customStyle="1" w:styleId="Liste1">
    <w:name w:val="Liste 1"/>
    <w:basedOn w:val="Normal"/>
    <w:qFormat/>
    <w:rsid w:val="00CE2D2B"/>
    <w:pPr>
      <w:numPr>
        <w:numId w:val="1"/>
      </w:numPr>
      <w:tabs>
        <w:tab w:val="left" w:pos="1474"/>
      </w:tabs>
      <w:spacing w:before="60" w:after="60"/>
      <w:jc w:val="both"/>
    </w:pPr>
    <w:rPr>
      <w:rFonts w:ascii="Century Gothic" w:hAnsi="Century Gothic"/>
      <w:sz w:val="20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6E01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01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017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01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017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017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17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E19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196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E19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1965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4" ma:contentTypeDescription="Crée un document." ma:contentTypeScope="" ma:versionID="c3c9ce8f4a8c18e71234d87ac732cfa4">
  <xsd:schema xmlns:xsd="http://www.w3.org/2001/XMLSchema" xmlns:xs="http://www.w3.org/2001/XMLSchema" xmlns:p="http://schemas.microsoft.com/office/2006/metadata/properties" xmlns:ns2="d0badfcd-32fa-40dd-b970-e580902a2f18" targetNamespace="http://schemas.microsoft.com/office/2006/metadata/properties" ma:root="true" ma:fieldsID="99c6ab1d79d4d86d66de5c844cd8b955" ns2:_="">
    <xsd:import namespace="d0badfcd-32fa-40dd-b970-e580902a2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3A571F-AD6C-4B48-92D3-67E1B1170B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1DA49A-6A64-4839-B46D-669788C3D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4B038-949E-4A0B-A991-C04BD4C7E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Hermitte</dc:creator>
  <cp:keywords/>
  <dc:description/>
  <cp:lastModifiedBy>Laetitia Echelard</cp:lastModifiedBy>
  <cp:revision>2</cp:revision>
  <dcterms:created xsi:type="dcterms:W3CDTF">2024-11-10T06:44:00Z</dcterms:created>
  <dcterms:modified xsi:type="dcterms:W3CDTF">2024-11-10T06:44:00Z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0x010100F388A5154E800A46A52F7AFD94B6CF9A</vt:lpwstr>
  </property>
</Properties>
</file>