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68F07A8" w14:textId="414E238C" w:rsidR="00DC2468" w:rsidRPr="0060150A" w:rsidRDefault="00D13E19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  <w:r w:rsidRPr="00DC2283">
        <w:rPr>
          <w:rFonts w:ascii="Trebuchet MS" w:hAnsi="Trebuchet MS"/>
          <w:b/>
          <w:color w:val="000000" w:themeColor="text1"/>
          <w:sz w:val="24"/>
          <w:szCs w:val="24"/>
        </w:rPr>
        <w:t>Affaire N°</w:t>
      </w:r>
      <w:r w:rsidR="00D53FB8" w:rsidRPr="00DC2283">
        <w:rPr>
          <w:rFonts w:ascii="Trebuchet MS" w:hAnsi="Trebuchet MS"/>
          <w:b/>
          <w:color w:val="000000" w:themeColor="text1"/>
          <w:sz w:val="24"/>
          <w:szCs w:val="24"/>
        </w:rPr>
        <w:t>2024-A</w:t>
      </w:r>
      <w:r w:rsidR="00BA5737">
        <w:rPr>
          <w:rFonts w:ascii="Trebuchet MS" w:hAnsi="Trebuchet MS"/>
          <w:b/>
          <w:color w:val="000000" w:themeColor="text1"/>
          <w:sz w:val="24"/>
          <w:szCs w:val="24"/>
        </w:rPr>
        <w:t>1</w:t>
      </w:r>
      <w:r w:rsidR="00A57E70">
        <w:rPr>
          <w:rFonts w:ascii="Trebuchet MS" w:hAnsi="Trebuchet MS"/>
          <w:b/>
          <w:color w:val="000000" w:themeColor="text1"/>
          <w:sz w:val="24"/>
          <w:szCs w:val="24"/>
        </w:rPr>
        <w:t>28</w:t>
      </w:r>
      <w:r w:rsidR="0060150A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:</w:t>
      </w:r>
      <w:r w:rsidR="00373D8C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  <w:r w:rsidR="00E761B5">
        <w:rPr>
          <w:rFonts w:ascii="Trebuchet MS" w:hAnsi="Trebuchet MS"/>
          <w:b/>
          <w:color w:val="000000" w:themeColor="text1"/>
          <w:sz w:val="24"/>
          <w:szCs w:val="24"/>
        </w:rPr>
        <w:t>Maintenance préventive et corrective des onduleurs du campus Bures-Orsay-Gif</w:t>
      </w:r>
      <w:r w:rsidR="003746FB">
        <w:rPr>
          <w:rFonts w:ascii="Trebuchet MS" w:hAnsi="Trebuchet MS"/>
          <w:b/>
          <w:color w:val="000000" w:themeColor="text1"/>
          <w:sz w:val="24"/>
          <w:szCs w:val="24"/>
        </w:rPr>
        <w:t xml:space="preserve"> sur Yvette de l’Université Paris Saclay</w:t>
      </w:r>
      <w:r w:rsidR="00E761B5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6B6E78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 et le développement durable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et Responsabilité sociétale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4C614A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E761B5">
              <w:rPr>
                <w:rFonts w:ascii="Trebuchet MS" w:eastAsia="Roboto" w:hAnsi="Trebuchet MS" w:cs="Roboto"/>
                <w:color w:val="000000"/>
              </w:rPr>
              <w:t>45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68F78467" w:rsidR="00D13E19" w:rsidRPr="00E761B5" w:rsidRDefault="00BA5737" w:rsidP="00E761B5">
            <w:pPr>
              <w:rPr>
                <w:rFonts w:ascii="Trebuchet MS" w:eastAsia="Trebuchet MS" w:hAnsi="Trebuchet MS" w:cs="Trebuchet MS"/>
                <w:color w:val="000000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E761B5" w:rsidRPr="00E761B5">
              <w:rPr>
                <w:rFonts w:ascii="Trebuchet MS" w:eastAsia="Trebuchet MS" w:hAnsi="Trebuchet MS" w:cs="Trebuchet MS"/>
                <w:color w:val="000000"/>
                <w:u w:val="single"/>
              </w:rPr>
              <w:t>Organisation fonctionnelle dédiée à la maintenance préventive</w:t>
            </w:r>
            <w:r w:rsid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083D3A" w:rsidRPr="00E761B5">
              <w:rPr>
                <w:rFonts w:ascii="Trebuchet MS" w:eastAsia="Trebuchet MS" w:hAnsi="Trebuchet MS" w:cs="Trebuchet MS"/>
                <w:color w:val="000000"/>
              </w:rPr>
              <w:t>(</w:t>
            </w:r>
            <w:r w:rsidR="001516F7" w:rsidRPr="00E761B5">
              <w:rPr>
                <w:rFonts w:ascii="Trebuchet MS" w:eastAsia="Trebuchet MS" w:hAnsi="Trebuchet MS" w:cs="Trebuchet MS"/>
                <w:color w:val="000000"/>
              </w:rPr>
              <w:t xml:space="preserve">sur 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>1</w:t>
            </w:r>
            <w:r w:rsidR="00F7339E">
              <w:rPr>
                <w:rFonts w:ascii="Trebuchet MS" w:eastAsia="Trebuchet MS" w:hAnsi="Trebuchet MS" w:cs="Trebuchet MS"/>
                <w:color w:val="000000"/>
              </w:rPr>
              <w:t>5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points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534C3C5" w14:textId="7E4485A3" w:rsidR="00847959" w:rsidRDefault="00BA5737" w:rsidP="00A8494A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La société candidate devra expliciter</w:t>
            </w:r>
            <w:r w:rsidR="00E761B5">
              <w:rPr>
                <w:rFonts w:ascii="Trebuchet MS" w:eastAsia="Trebuchet MS" w:hAnsi="Trebuchet MS" w:cs="Trebuchet MS"/>
                <w:color w:val="000000"/>
              </w:rPr>
              <w:t xml:space="preserve"> le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dispositif global 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>mis en place dans le cadre de la maintenance préventive.</w:t>
            </w:r>
            <w:r w:rsidR="00F7339E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036AF5">
              <w:rPr>
                <w:rFonts w:ascii="Trebuchet MS" w:eastAsia="Trebuchet MS" w:hAnsi="Trebuchet MS" w:cs="Trebuchet MS"/>
                <w:color w:val="auto"/>
              </w:rPr>
              <w:t>Elle</w:t>
            </w:r>
            <w:r w:rsidR="00F7339E">
              <w:rPr>
                <w:rFonts w:ascii="Trebuchet MS" w:eastAsia="Trebuchet MS" w:hAnsi="Trebuchet MS" w:cs="Trebuchet MS"/>
                <w:color w:val="auto"/>
              </w:rPr>
              <w:t xml:space="preserve"> devra préciser son organisation et le calendrier des interventions en respectant la fréquence minimale indiquée par équipements à l’annexe 1 et en adéquation avec les spécifications indiquées aux clauses techniques du CCP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4A76E6A" w:rsidR="00D32BA6" w:rsidRP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77777777" w:rsidR="00E761B5" w:rsidRDefault="00E761B5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CAA82FB" w14:textId="4989BE47" w:rsidR="00DC2468" w:rsidRPr="00AC1810" w:rsidRDefault="00873CF1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0157F7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373BF0">
              <w:rPr>
                <w:rFonts w:ascii="Trebuchet MS" w:eastAsia="Trebuchet MS" w:hAnsi="Trebuchet MS" w:cs="Trebuchet MS"/>
                <w:color w:val="000000"/>
                <w:u w:val="single"/>
              </w:rPr>
              <w:t>Procédure et organisation des travaux correctifs</w:t>
            </w:r>
            <w:r w:rsidR="00373BF0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DC2468" w:rsidRPr="00F144A5">
              <w:rPr>
                <w:rFonts w:ascii="Trebuchet MS" w:eastAsia="Roboto" w:hAnsi="Trebuchet MS" w:cs="Roboto"/>
                <w:color w:val="000000"/>
              </w:rPr>
              <w:t>(</w:t>
            </w:r>
            <w:r w:rsidR="000F1CD0" w:rsidRPr="00F144A5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036AF5">
              <w:rPr>
                <w:rFonts w:ascii="Trebuchet MS" w:eastAsia="Roboto" w:hAnsi="Trebuchet MS" w:cs="Roboto"/>
                <w:color w:val="000000"/>
              </w:rPr>
              <w:t>20</w:t>
            </w:r>
            <w:r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0F1CD0" w:rsidRPr="00F144A5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B57210" w14:textId="77F86209" w:rsidR="00FB0D79" w:rsidRPr="00CE3836" w:rsidRDefault="00873CF1" w:rsidP="006422BE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</w:t>
            </w:r>
            <w:r w:rsidR="00F64072">
              <w:rPr>
                <w:rFonts w:ascii="Trebuchet MS" w:eastAsia="Trebuchet MS" w:hAnsi="Trebuchet MS" w:cs="Trebuchet MS"/>
                <w:color w:val="000000"/>
              </w:rPr>
              <w:t>candidate devra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préciser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 xml:space="preserve"> la méthodologie proposée dans le cadre de la maintenance corrective </w:t>
            </w:r>
            <w:r w:rsidR="00DE4F67">
              <w:rPr>
                <w:rFonts w:ascii="Trebuchet MS" w:eastAsia="Trebuchet MS" w:hAnsi="Trebuchet MS" w:cs="Trebuchet MS"/>
                <w:color w:val="000000"/>
              </w:rPr>
              <w:t>(dépannages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 xml:space="preserve"> etc…</w:t>
            </w:r>
            <w:r w:rsidR="00DE4F67">
              <w:rPr>
                <w:rFonts w:ascii="Trebuchet MS" w:eastAsia="Trebuchet MS" w:hAnsi="Trebuchet MS" w:cs="Trebuchet MS"/>
                <w:color w:val="000000"/>
              </w:rPr>
              <w:t>).</w:t>
            </w:r>
            <w:r w:rsidR="00036AF5">
              <w:rPr>
                <w:rFonts w:ascii="Trebuchet MS" w:eastAsia="Trebuchet MS" w:hAnsi="Trebuchet MS" w:cs="Trebuchet MS"/>
                <w:color w:val="auto"/>
              </w:rPr>
              <w:t xml:space="preserve"> Elle devra s’engager à intervenir dans le délai indiqué aux clauses techniques du CCP et </w:t>
            </w:r>
            <w:r w:rsidR="00036AF5">
              <w:rPr>
                <w:rFonts w:ascii="Calibri" w:hAnsi="Calibri" w:cs="Calibri"/>
                <w:sz w:val="22"/>
                <w:szCs w:val="22"/>
              </w:rPr>
              <w:t>mettre en place une permanence téléphonique gratuite pour la réception des appels de signalement de dysfonctionnement.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F4B674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2596453" w14:textId="77777777" w:rsidR="00DC2468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0BFB8CD7" w:rsidR="00083D3A" w:rsidRPr="009C16FB" w:rsidRDefault="00083D3A" w:rsidP="00036AF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4C5910BF" w14:textId="77777777" w:rsidR="008B5D2D" w:rsidRDefault="008B5D2D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1023DC26" w:rsidR="003662A8" w:rsidRPr="00AC1810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F144A5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036AF5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3662A8" w:rsidRPr="00F144A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41217">
              <w:rPr>
                <w:rFonts w:ascii="Trebuchet MS" w:eastAsia="Roboto" w:hAnsi="Trebuchet MS" w:cs="Roboto"/>
                <w:color w:val="000000"/>
                <w:u w:val="single"/>
              </w:rPr>
              <w:t xml:space="preserve">Personnels </w:t>
            </w:r>
            <w:r w:rsidR="00590577">
              <w:rPr>
                <w:rFonts w:ascii="Trebuchet MS" w:eastAsia="Roboto" w:hAnsi="Trebuchet MS" w:cs="Roboto"/>
                <w:color w:val="000000"/>
                <w:u w:val="single"/>
              </w:rPr>
              <w:t xml:space="preserve">et moyens techniques </w:t>
            </w:r>
            <w:r w:rsidR="00041217">
              <w:rPr>
                <w:rFonts w:ascii="Trebuchet MS" w:eastAsia="Roboto" w:hAnsi="Trebuchet MS" w:cs="Roboto"/>
                <w:color w:val="000000"/>
                <w:u w:val="single"/>
              </w:rPr>
              <w:t xml:space="preserve">dédiés à la bonne exécution des </w:t>
            </w:r>
            <w:r w:rsidR="00590577">
              <w:rPr>
                <w:rFonts w:ascii="Trebuchet MS" w:eastAsia="Roboto" w:hAnsi="Trebuchet MS" w:cs="Roboto"/>
                <w:color w:val="000000"/>
                <w:u w:val="single"/>
              </w:rPr>
              <w:t xml:space="preserve">2 types de </w:t>
            </w:r>
            <w:r w:rsidR="00041217">
              <w:rPr>
                <w:rFonts w:ascii="Trebuchet MS" w:eastAsia="Roboto" w:hAnsi="Trebuchet MS" w:cs="Roboto"/>
                <w:color w:val="000000"/>
                <w:u w:val="single"/>
              </w:rPr>
              <w:t>prestations de maintenance (</w:t>
            </w:r>
            <w:r w:rsidR="000F1CD0" w:rsidRPr="00B86E39">
              <w:rPr>
                <w:rFonts w:ascii="Trebuchet MS" w:hAnsi="Trebuchet MS" w:cs="Times New Roman"/>
              </w:rPr>
              <w:t xml:space="preserve">sur </w:t>
            </w:r>
            <w:r>
              <w:rPr>
                <w:rFonts w:ascii="Trebuchet MS" w:hAnsi="Trebuchet MS" w:cs="Times New Roman"/>
              </w:rPr>
              <w:t>1</w:t>
            </w:r>
            <w:r w:rsidR="00036AF5">
              <w:rPr>
                <w:rFonts w:ascii="Trebuchet MS" w:hAnsi="Trebuchet MS" w:cs="Times New Roman"/>
              </w:rPr>
              <w:t>0</w:t>
            </w:r>
            <w:r>
              <w:rPr>
                <w:rFonts w:ascii="Trebuchet MS" w:hAnsi="Trebuchet MS" w:cs="Times New Roman"/>
              </w:rPr>
              <w:t xml:space="preserve"> points</w:t>
            </w:r>
            <w:r w:rsidR="003662A8" w:rsidRPr="00B86E39">
              <w:rPr>
                <w:rFonts w:ascii="Trebuchet MS" w:hAnsi="Trebuchet MS" w:cs="Times New Roman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A48DBDD" w14:textId="5A5E5C51" w:rsidR="00DC2283" w:rsidRDefault="00D369CC" w:rsidP="00A62E9D">
            <w:pPr>
              <w:spacing w:line="360" w:lineRule="auto"/>
            </w:pPr>
            <w:r>
              <w:t xml:space="preserve">La société candidate devra préciser </w:t>
            </w:r>
            <w:r w:rsidR="00A46DCA">
              <w:t>l</w:t>
            </w:r>
            <w:r w:rsidR="00041217">
              <w:t>’expérimentation, les formations et les habilitations</w:t>
            </w:r>
            <w:r w:rsidR="00590577">
              <w:t xml:space="preserve"> du personnel dédié ainsi que les moyens techniques mis à disposition dans le cadre de la bonne exécution des prestations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7E45FC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8A662B3" w14:textId="11EB254F" w:rsidR="00857F4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A3AFE34" w:rsidR="00857F47" w:rsidRPr="002D5AD6" w:rsidRDefault="00857F4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2D5AD6"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E47E8C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Pr="002D5AD6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6015800" w14:textId="25265585" w:rsidR="002D5AD6" w:rsidRPr="002D5AD6" w:rsidRDefault="002D5AD6" w:rsidP="002D5AD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 xml:space="preserve">3-1 </w:t>
            </w:r>
            <w:r w:rsidR="006A3071">
              <w:rPr>
                <w:rFonts w:ascii="Trebuchet MS" w:hAnsi="Trebuchet MS" w:cs="Times New Roman"/>
                <w:u w:val="single"/>
              </w:rPr>
              <w:t>–</w:t>
            </w:r>
            <w:r w:rsidRPr="00F144A5">
              <w:rPr>
                <w:rFonts w:ascii="Trebuchet MS" w:hAnsi="Trebuchet MS" w:cs="Times New Roman"/>
                <w:u w:val="single"/>
              </w:rPr>
              <w:t xml:space="preserve"> </w:t>
            </w:r>
            <w:r w:rsidR="00462931">
              <w:rPr>
                <w:rFonts w:ascii="Trebuchet MS" w:hAnsi="Trebuchet MS" w:cs="Times New Roman"/>
                <w:u w:val="single"/>
              </w:rPr>
              <w:t xml:space="preserve">Critères environnementaux : </w:t>
            </w:r>
            <w:r w:rsidR="00590577">
              <w:rPr>
                <w:rFonts w:ascii="Trebuchet MS" w:hAnsi="Trebuchet MS" w:cs="Times New Roman"/>
                <w:u w:val="single"/>
              </w:rPr>
              <w:t>Gestion des déchets</w:t>
            </w:r>
            <w:r w:rsidR="006A3071">
              <w:rPr>
                <w:rFonts w:ascii="Trebuchet MS" w:hAnsi="Trebuchet MS" w:cs="Times New Roman"/>
                <w:u w:val="single"/>
              </w:rPr>
              <w:t xml:space="preserve"> par l’entreprise </w:t>
            </w:r>
            <w:r w:rsidR="00E47E8C" w:rsidRPr="00AF673B">
              <w:rPr>
                <w:rFonts w:ascii="Arial" w:eastAsia="Trebuchet MS" w:hAnsi="Arial" w:cs="Arial"/>
                <w:color w:val="262626"/>
              </w:rPr>
              <w:t>(</w:t>
            </w:r>
            <w:r w:rsidR="003662A8" w:rsidRPr="00E47E8C">
              <w:rPr>
                <w:rFonts w:ascii="Trebuchet MS" w:hAnsi="Trebuchet MS" w:cs="Times New Roman"/>
              </w:rPr>
              <w:t>Sur</w:t>
            </w:r>
            <w:r w:rsidR="00EC2966" w:rsidRPr="00E47E8C">
              <w:rPr>
                <w:rFonts w:ascii="Trebuchet MS" w:hAnsi="Trebuchet MS" w:cs="Times New Roman"/>
              </w:rPr>
              <w:t xml:space="preserve"> </w:t>
            </w:r>
            <w:r w:rsidR="00590577">
              <w:rPr>
                <w:rFonts w:ascii="Trebuchet MS" w:hAnsi="Trebuchet MS" w:cs="Times New Roman"/>
              </w:rPr>
              <w:t>2.</w:t>
            </w:r>
            <w:r w:rsidR="00EC2966" w:rsidRPr="00E47E8C">
              <w:rPr>
                <w:rFonts w:ascii="Trebuchet MS" w:hAnsi="Trebuchet MS" w:cs="Times New Roman"/>
              </w:rPr>
              <w:t>5</w:t>
            </w:r>
            <w:r w:rsidR="006A3071">
              <w:rPr>
                <w:rFonts w:ascii="Trebuchet MS" w:hAnsi="Trebuchet MS" w:cs="Times New Roman"/>
              </w:rPr>
              <w:t xml:space="preserve"> points</w:t>
            </w:r>
            <w:r w:rsidRPr="00E47E8C">
              <w:rPr>
                <w:rFonts w:ascii="Trebuchet MS" w:hAnsi="Trebuchet MS" w:cs="Times New Roman"/>
              </w:rPr>
              <w:t>)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62F4E38" w14:textId="6EFD8C3D" w:rsidR="00857F47" w:rsidRPr="008B5D2D" w:rsidRDefault="006A3071" w:rsidP="008B5D2D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développer sa </w:t>
            </w:r>
            <w:r w:rsidR="009F0462">
              <w:rPr>
                <w:rFonts w:ascii="Trebuchet MS" w:eastAsia="Trebuchet MS" w:hAnsi="Trebuchet MS" w:cs="Trebuchet MS"/>
                <w:color w:val="000000"/>
              </w:rPr>
              <w:t>politique de recyclage et valorisation (condition d’enlèvement et de traitement des déchets) et indiquer si elle s’acquitte de l’éco contribution</w:t>
            </w: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4B619031" w:rsidR="00857F47" w:rsidRDefault="00857F47" w:rsidP="006C2353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DCAB24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1AA9D5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1F25E0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02033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D251572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Default="002D5AD6" w:rsidP="0096119F">
            <w:pPr>
              <w:rPr>
                <w:rFonts w:ascii="Trebuchet MS" w:hAnsi="Trebuchet MS" w:cs="Times New Roman"/>
              </w:rPr>
            </w:pPr>
          </w:p>
          <w:p w14:paraId="6BB48933" w14:textId="0CCF4E09" w:rsidR="002D5AD6" w:rsidRPr="002D5AD6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 xml:space="preserve">3-2 </w:t>
            </w:r>
            <w:r w:rsidR="00A31FBA">
              <w:rPr>
                <w:rFonts w:ascii="Trebuchet MS" w:hAnsi="Trebuchet MS" w:cs="Times New Roman"/>
                <w:u w:val="single"/>
              </w:rPr>
              <w:t>–</w:t>
            </w:r>
            <w:r w:rsidR="009F0462">
              <w:rPr>
                <w:rFonts w:ascii="Trebuchet MS" w:hAnsi="Trebuchet MS" w:cs="Times New Roman"/>
                <w:u w:val="single"/>
              </w:rPr>
              <w:t xml:space="preserve"> </w:t>
            </w:r>
            <w:r w:rsidR="00462931">
              <w:rPr>
                <w:rFonts w:ascii="Trebuchet MS" w:hAnsi="Trebuchet MS" w:cs="Times New Roman"/>
                <w:u w:val="single"/>
              </w:rPr>
              <w:t xml:space="preserve">Critères environnementaux : </w:t>
            </w:r>
            <w:r w:rsidR="009F0462">
              <w:rPr>
                <w:rFonts w:ascii="Trebuchet MS" w:hAnsi="Trebuchet MS" w:cs="Times New Roman"/>
                <w:u w:val="single"/>
              </w:rPr>
              <w:t>Performance énergétique</w:t>
            </w:r>
            <w:r w:rsidRPr="00E47E8C">
              <w:rPr>
                <w:rFonts w:ascii="Trebuchet MS" w:hAnsi="Trebuchet MS"/>
                <w:color w:val="auto"/>
              </w:rPr>
              <w:t xml:space="preserve"> </w:t>
            </w:r>
            <w:r w:rsidR="00954FD0" w:rsidRPr="00E47E8C">
              <w:rPr>
                <w:rFonts w:ascii="Trebuchet MS" w:hAnsi="Trebuchet MS"/>
                <w:color w:val="auto"/>
              </w:rPr>
              <w:t>(</w:t>
            </w:r>
            <w:r w:rsidR="00E47E8C" w:rsidRPr="00E47E8C">
              <w:rPr>
                <w:rFonts w:ascii="Trebuchet MS" w:hAnsi="Trebuchet MS"/>
                <w:color w:val="auto"/>
              </w:rPr>
              <w:t>Sur</w:t>
            </w:r>
            <w:r w:rsidR="00EC2966" w:rsidRPr="00E47E8C">
              <w:rPr>
                <w:rFonts w:ascii="Trebuchet MS" w:hAnsi="Trebuchet MS" w:cs="Times New Roman"/>
                <w:color w:val="auto"/>
              </w:rPr>
              <w:t xml:space="preserve"> </w:t>
            </w:r>
            <w:r w:rsidR="009F0462">
              <w:rPr>
                <w:rFonts w:ascii="Trebuchet MS" w:hAnsi="Trebuchet MS" w:cs="Times New Roman"/>
                <w:color w:val="auto"/>
              </w:rPr>
              <w:t>2.</w:t>
            </w:r>
            <w:r w:rsidR="00EC2966" w:rsidRPr="00E47E8C">
              <w:rPr>
                <w:rFonts w:ascii="Trebuchet MS" w:hAnsi="Trebuchet MS" w:cs="Times New Roman"/>
                <w:color w:val="auto"/>
              </w:rPr>
              <w:t>5</w:t>
            </w:r>
            <w:r w:rsidR="009F0462">
              <w:rPr>
                <w:rFonts w:ascii="Trebuchet MS" w:hAnsi="Trebuchet MS" w:cs="Times New Roman"/>
                <w:color w:val="auto"/>
              </w:rPr>
              <w:t xml:space="preserve"> points</w:t>
            </w:r>
            <w:r w:rsidRPr="00E47E8C">
              <w:rPr>
                <w:rFonts w:ascii="Trebuchet MS" w:hAnsi="Trebuchet MS" w:cs="Times New Roman"/>
                <w:color w:val="auto"/>
              </w:rPr>
              <w:t>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65ABAE9" w14:textId="0FF9E504" w:rsidR="002D5AD6" w:rsidRDefault="002D5AD6" w:rsidP="00B2771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00D390D1" w14:textId="7BC76C29" w:rsidR="009F0462" w:rsidRPr="009F0462" w:rsidRDefault="009F0462" w:rsidP="00B2771C">
            <w:pPr>
              <w:jc w:val="both"/>
              <w:rPr>
                <w:rFonts w:ascii="Trebuchet MS" w:hAnsi="Trebuchet MS" w:cs="Times New Roman"/>
                <w:bCs w:val="0"/>
              </w:rPr>
            </w:pPr>
            <w:r w:rsidRPr="009F0462">
              <w:rPr>
                <w:rFonts w:ascii="Trebuchet MS" w:hAnsi="Trebuchet MS" w:cs="Times New Roman"/>
                <w:bCs w:val="0"/>
              </w:rPr>
              <w:t xml:space="preserve">L’entreprise candidate </w:t>
            </w:r>
            <w:r>
              <w:rPr>
                <w:rFonts w:ascii="Trebuchet MS" w:hAnsi="Trebuchet MS" w:cs="Times New Roman"/>
                <w:bCs w:val="0"/>
              </w:rPr>
              <w:t>devra fournir des rapports détaillant les gains énergétiques réalisés et indiquer s’il utili</w:t>
            </w:r>
            <w:r w:rsidR="00462931">
              <w:rPr>
                <w:rFonts w:ascii="Trebuchet MS" w:hAnsi="Trebuchet MS" w:cs="Times New Roman"/>
                <w:bCs w:val="0"/>
              </w:rPr>
              <w:t>se des matériels économes en énergie</w:t>
            </w:r>
          </w:p>
          <w:p w14:paraId="71C15129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22116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AC448D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CE9CDB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6449EA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744D00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BB05A5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1EA2AC21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462931" w:rsidRPr="00085BB4" w14:paraId="2516A392" w14:textId="77777777" w:rsidTr="00125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5BEAD82" w14:textId="77777777" w:rsidR="00462931" w:rsidRDefault="00462931" w:rsidP="001255A1">
            <w:pPr>
              <w:rPr>
                <w:rFonts w:ascii="Trebuchet MS" w:hAnsi="Trebuchet MS" w:cs="Times New Roman"/>
              </w:rPr>
            </w:pPr>
          </w:p>
          <w:p w14:paraId="1F13126B" w14:textId="0F627ABB" w:rsidR="00462931" w:rsidRPr="002D5AD6" w:rsidRDefault="00462931" w:rsidP="001255A1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>3-</w:t>
            </w:r>
            <w:r>
              <w:rPr>
                <w:rFonts w:ascii="Trebuchet MS" w:hAnsi="Trebuchet MS" w:cs="Times New Roman"/>
                <w:u w:val="single"/>
              </w:rPr>
              <w:t>3</w:t>
            </w:r>
            <w:r w:rsidRPr="00F144A5">
              <w:rPr>
                <w:rFonts w:ascii="Trebuchet MS" w:hAnsi="Trebuchet MS" w:cs="Times New Roman"/>
                <w:u w:val="single"/>
              </w:rPr>
              <w:t xml:space="preserve"> </w:t>
            </w:r>
            <w:r>
              <w:rPr>
                <w:rFonts w:ascii="Trebuchet MS" w:hAnsi="Trebuchet MS" w:cs="Times New Roman"/>
                <w:u w:val="single"/>
              </w:rPr>
              <w:t>– Critères sociaux : Conditions de travail (</w:t>
            </w:r>
            <w:r w:rsidRPr="00E47E8C">
              <w:rPr>
                <w:rFonts w:ascii="Trebuchet MS" w:hAnsi="Trebuchet MS"/>
                <w:color w:val="auto"/>
              </w:rPr>
              <w:t>Sur</w:t>
            </w:r>
            <w:r w:rsidRPr="00E47E8C">
              <w:rPr>
                <w:rFonts w:ascii="Trebuchet MS" w:hAnsi="Trebuchet MS" w:cs="Times New Roman"/>
                <w:color w:val="auto"/>
              </w:rPr>
              <w:t xml:space="preserve"> </w:t>
            </w:r>
            <w:r>
              <w:rPr>
                <w:rFonts w:ascii="Trebuchet MS" w:hAnsi="Trebuchet MS" w:cs="Times New Roman"/>
                <w:color w:val="auto"/>
              </w:rPr>
              <w:t>2.</w:t>
            </w:r>
            <w:r w:rsidRPr="00E47E8C">
              <w:rPr>
                <w:rFonts w:ascii="Trebuchet MS" w:hAnsi="Trebuchet MS" w:cs="Times New Roman"/>
                <w:color w:val="auto"/>
              </w:rPr>
              <w:t>5</w:t>
            </w:r>
            <w:r>
              <w:rPr>
                <w:rFonts w:ascii="Trebuchet MS" w:hAnsi="Trebuchet MS" w:cs="Times New Roman"/>
                <w:color w:val="auto"/>
              </w:rPr>
              <w:t xml:space="preserve"> points</w:t>
            </w:r>
            <w:r w:rsidRPr="00E47E8C">
              <w:rPr>
                <w:rFonts w:ascii="Trebuchet MS" w:hAnsi="Trebuchet MS" w:cs="Times New Roman"/>
                <w:color w:val="auto"/>
              </w:rPr>
              <w:t>)</w:t>
            </w:r>
          </w:p>
          <w:p w14:paraId="39B66392" w14:textId="77777777" w:rsidR="00462931" w:rsidRPr="00D238D0" w:rsidRDefault="00462931" w:rsidP="001255A1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462931" w:rsidRPr="00085BB4" w14:paraId="3C471004" w14:textId="77777777" w:rsidTr="0012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08DCF1C" w14:textId="77777777" w:rsidR="00462931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0B4F526C" w14:textId="3911EFD5" w:rsidR="00462931" w:rsidRPr="009F0462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  <w:r w:rsidRPr="009F0462">
              <w:rPr>
                <w:rFonts w:ascii="Trebuchet MS" w:hAnsi="Trebuchet MS" w:cs="Times New Roman"/>
                <w:bCs w:val="0"/>
              </w:rPr>
              <w:t xml:space="preserve">L’entreprise candidate </w:t>
            </w:r>
            <w:r>
              <w:rPr>
                <w:rFonts w:ascii="Trebuchet MS" w:hAnsi="Trebuchet MS" w:cs="Times New Roman"/>
                <w:bCs w:val="0"/>
              </w:rPr>
              <w:t xml:space="preserve">devra indiquer quelles actions d’insertion professionnelle </w:t>
            </w:r>
            <w:r w:rsidR="00906146">
              <w:rPr>
                <w:rFonts w:ascii="Trebuchet MS" w:hAnsi="Trebuchet MS" w:cs="Times New Roman"/>
                <w:bCs w:val="0"/>
              </w:rPr>
              <w:t xml:space="preserve">elle propose pour les publics en difficulté, dans le cadre de ce marché public et le nombre d’heures qui leur sont réservées </w:t>
            </w:r>
          </w:p>
          <w:p w14:paraId="7D19A66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121EA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2EC71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9939DE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4DB21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B52DC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A967C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FF4A9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DE0C2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85FB8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F5A7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0D3FD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57346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826C0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77E24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30701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4837CF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91CEC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B756B5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86152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E54F6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232583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62F44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42DC0F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00D3C3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C8AF0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EFEC4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462931" w:rsidRPr="00085BB4" w14:paraId="5CE55D09" w14:textId="77777777" w:rsidTr="00125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00B05A4" w14:textId="77777777" w:rsidR="00462931" w:rsidRDefault="00462931" w:rsidP="001255A1">
            <w:pPr>
              <w:rPr>
                <w:rFonts w:ascii="Trebuchet MS" w:hAnsi="Trebuchet MS" w:cs="Times New Roman"/>
              </w:rPr>
            </w:pPr>
          </w:p>
          <w:p w14:paraId="51E436C6" w14:textId="49DA83EC" w:rsidR="00462931" w:rsidRPr="002D5AD6" w:rsidRDefault="00462931" w:rsidP="001255A1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>3-</w:t>
            </w:r>
            <w:r>
              <w:rPr>
                <w:rFonts w:ascii="Trebuchet MS" w:hAnsi="Trebuchet MS" w:cs="Times New Roman"/>
                <w:u w:val="single"/>
              </w:rPr>
              <w:t>4</w:t>
            </w:r>
            <w:r w:rsidRPr="00F144A5">
              <w:rPr>
                <w:rFonts w:ascii="Trebuchet MS" w:hAnsi="Trebuchet MS" w:cs="Times New Roman"/>
                <w:u w:val="single"/>
              </w:rPr>
              <w:t xml:space="preserve"> </w:t>
            </w:r>
            <w:r>
              <w:rPr>
                <w:rFonts w:ascii="Trebuchet MS" w:hAnsi="Trebuchet MS" w:cs="Times New Roman"/>
                <w:u w:val="single"/>
              </w:rPr>
              <w:t xml:space="preserve">– Critères sociaux : </w:t>
            </w:r>
            <w:r w:rsidR="002608A7">
              <w:rPr>
                <w:rFonts w:ascii="Trebuchet MS" w:hAnsi="Trebuchet MS" w:cs="Times New Roman"/>
                <w:u w:val="single"/>
              </w:rPr>
              <w:t>Traçabilité</w:t>
            </w:r>
            <w:r>
              <w:rPr>
                <w:rFonts w:ascii="Trebuchet MS" w:hAnsi="Trebuchet MS" w:cs="Times New Roman"/>
                <w:u w:val="single"/>
              </w:rPr>
              <w:t xml:space="preserve"> </w:t>
            </w:r>
            <w:r w:rsidRPr="00E47E8C">
              <w:rPr>
                <w:rFonts w:ascii="Trebuchet MS" w:hAnsi="Trebuchet MS"/>
                <w:color w:val="auto"/>
              </w:rPr>
              <w:t>(Sur</w:t>
            </w:r>
            <w:r w:rsidRPr="00E47E8C">
              <w:rPr>
                <w:rFonts w:ascii="Trebuchet MS" w:hAnsi="Trebuchet MS" w:cs="Times New Roman"/>
                <w:color w:val="auto"/>
              </w:rPr>
              <w:t xml:space="preserve"> </w:t>
            </w:r>
            <w:r>
              <w:rPr>
                <w:rFonts w:ascii="Trebuchet MS" w:hAnsi="Trebuchet MS" w:cs="Times New Roman"/>
                <w:color w:val="auto"/>
              </w:rPr>
              <w:t>2.</w:t>
            </w:r>
            <w:r w:rsidRPr="00E47E8C">
              <w:rPr>
                <w:rFonts w:ascii="Trebuchet MS" w:hAnsi="Trebuchet MS" w:cs="Times New Roman"/>
                <w:color w:val="auto"/>
              </w:rPr>
              <w:t>5</w:t>
            </w:r>
            <w:r>
              <w:rPr>
                <w:rFonts w:ascii="Trebuchet MS" w:hAnsi="Trebuchet MS" w:cs="Times New Roman"/>
                <w:color w:val="auto"/>
              </w:rPr>
              <w:t xml:space="preserve"> points</w:t>
            </w:r>
            <w:r w:rsidRPr="00E47E8C">
              <w:rPr>
                <w:rFonts w:ascii="Trebuchet MS" w:hAnsi="Trebuchet MS" w:cs="Times New Roman"/>
                <w:color w:val="auto"/>
              </w:rPr>
              <w:t>)</w:t>
            </w:r>
          </w:p>
          <w:p w14:paraId="3B162DBC" w14:textId="77777777" w:rsidR="00462931" w:rsidRPr="00D238D0" w:rsidRDefault="00462931" w:rsidP="001255A1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462931" w:rsidRPr="00085BB4" w14:paraId="7B25CDAA" w14:textId="77777777" w:rsidTr="0012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62F1701" w14:textId="77777777" w:rsidR="00462931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3792816B" w14:textId="4DB06AA6" w:rsidR="00462931" w:rsidRPr="009F0462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  <w:r w:rsidRPr="009F0462">
              <w:rPr>
                <w:rFonts w:ascii="Trebuchet MS" w:hAnsi="Trebuchet MS" w:cs="Times New Roman"/>
                <w:bCs w:val="0"/>
              </w:rPr>
              <w:t xml:space="preserve">L’entreprise candidate </w:t>
            </w:r>
            <w:r>
              <w:rPr>
                <w:rFonts w:ascii="Trebuchet MS" w:hAnsi="Trebuchet MS" w:cs="Times New Roman"/>
                <w:bCs w:val="0"/>
              </w:rPr>
              <w:t xml:space="preserve">devra </w:t>
            </w:r>
            <w:r w:rsidR="002608A7">
              <w:rPr>
                <w:rFonts w:ascii="Trebuchet MS" w:hAnsi="Trebuchet MS" w:cs="Times New Roman"/>
                <w:bCs w:val="0"/>
              </w:rPr>
              <w:t xml:space="preserve">fournir </w:t>
            </w:r>
            <w:r w:rsidR="002608A7">
              <w:rPr>
                <w:rFonts w:ascii="Calibri" w:hAnsi="Calibri" w:cs="Calibri"/>
                <w:sz w:val="22"/>
                <w:szCs w:val="22"/>
              </w:rPr>
              <w:t>des informations détaillées sur la chaîne d'approvisionnement des pièces de rechange, incluant les conditions sociales de production. Elle devra démontrer qu'elle a mis en place une démarche de maîtrise des risques relatifs aux violations des droits humains dans toute la chaîne d'approvisionnement</w:t>
            </w:r>
          </w:p>
          <w:p w14:paraId="0A7BA99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52680F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2D6B0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6FBE5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E5DE8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95DF0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9A7D3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C2871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C63F2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725A7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048AA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46F358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F23AE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CB8CA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DF0A7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A1CC2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22BCB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AF187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497DF8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72618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14F22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9AA82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31757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7386B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4989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5DA3F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689B9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p w14:paraId="789EA91E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19F07" w14:textId="77777777" w:rsidR="002D0DFA" w:rsidRDefault="002D0DFA">
      <w:r>
        <w:separator/>
      </w:r>
    </w:p>
  </w:endnote>
  <w:endnote w:type="continuationSeparator" w:id="0">
    <w:p w14:paraId="5C6BD695" w14:textId="77777777" w:rsidR="002D0DFA" w:rsidRDefault="002D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C4F9B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1FF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620F0" w14:textId="77777777" w:rsidR="002D0DFA" w:rsidRDefault="002D0DFA">
      <w:r>
        <w:separator/>
      </w:r>
    </w:p>
  </w:footnote>
  <w:footnote w:type="continuationSeparator" w:id="0">
    <w:p w14:paraId="24380735" w14:textId="77777777" w:rsidR="002D0DFA" w:rsidRDefault="002D0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9"/>
  </w:num>
  <w:num w:numId="4">
    <w:abstractNumId w:val="17"/>
  </w:num>
  <w:num w:numId="5">
    <w:abstractNumId w:val="26"/>
  </w:num>
  <w:num w:numId="6">
    <w:abstractNumId w:val="25"/>
  </w:num>
  <w:num w:numId="7">
    <w:abstractNumId w:val="32"/>
  </w:num>
  <w:num w:numId="8">
    <w:abstractNumId w:val="16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2"/>
  </w:num>
  <w:num w:numId="15">
    <w:abstractNumId w:val="13"/>
  </w:num>
  <w:num w:numId="16">
    <w:abstractNumId w:val="5"/>
  </w:num>
  <w:num w:numId="17">
    <w:abstractNumId w:val="30"/>
  </w:num>
  <w:num w:numId="18">
    <w:abstractNumId w:val="6"/>
  </w:num>
  <w:num w:numId="19">
    <w:abstractNumId w:val="4"/>
  </w:num>
  <w:num w:numId="20">
    <w:abstractNumId w:val="22"/>
  </w:num>
  <w:num w:numId="21">
    <w:abstractNumId w:val="19"/>
  </w:num>
  <w:num w:numId="22">
    <w:abstractNumId w:val="20"/>
  </w:num>
  <w:num w:numId="23">
    <w:abstractNumId w:val="15"/>
  </w:num>
  <w:num w:numId="24">
    <w:abstractNumId w:val="29"/>
  </w:num>
  <w:num w:numId="25">
    <w:abstractNumId w:val="18"/>
  </w:num>
  <w:num w:numId="26">
    <w:abstractNumId w:val="28"/>
  </w:num>
  <w:num w:numId="27">
    <w:abstractNumId w:val="24"/>
  </w:num>
  <w:num w:numId="28">
    <w:abstractNumId w:val="23"/>
  </w:num>
  <w:num w:numId="29">
    <w:abstractNumId w:val="0"/>
  </w:num>
  <w:num w:numId="30">
    <w:abstractNumId w:val="14"/>
  </w:num>
  <w:num w:numId="31">
    <w:abstractNumId w:val="3"/>
  </w:num>
  <w:num w:numId="32">
    <w:abstractNumId w:val="8"/>
  </w:num>
  <w:num w:numId="33">
    <w:abstractNumId w:val="2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3143"/>
    <w:rsid w:val="00056BCA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3F28"/>
    <w:rsid w:val="00285E1E"/>
    <w:rsid w:val="00291C37"/>
    <w:rsid w:val="002A041E"/>
    <w:rsid w:val="002A13C8"/>
    <w:rsid w:val="002B235C"/>
    <w:rsid w:val="002B23B3"/>
    <w:rsid w:val="002B6919"/>
    <w:rsid w:val="002B6D8A"/>
    <w:rsid w:val="002D0DF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4662"/>
    <w:rsid w:val="00426287"/>
    <w:rsid w:val="00430359"/>
    <w:rsid w:val="0044671E"/>
    <w:rsid w:val="0045036F"/>
    <w:rsid w:val="004549AB"/>
    <w:rsid w:val="00462931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3001A"/>
    <w:rsid w:val="00530853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476C"/>
    <w:rsid w:val="005B27AD"/>
    <w:rsid w:val="005C04DE"/>
    <w:rsid w:val="005C7CE2"/>
    <w:rsid w:val="005D5E5E"/>
    <w:rsid w:val="005E194F"/>
    <w:rsid w:val="005E2DFF"/>
    <w:rsid w:val="005E3A6F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50BA"/>
    <w:rsid w:val="00916E39"/>
    <w:rsid w:val="009208A3"/>
    <w:rsid w:val="00921BC8"/>
    <w:rsid w:val="00924345"/>
    <w:rsid w:val="00943342"/>
    <w:rsid w:val="00954FD0"/>
    <w:rsid w:val="00955162"/>
    <w:rsid w:val="00955B28"/>
    <w:rsid w:val="0096119F"/>
    <w:rsid w:val="00962F3B"/>
    <w:rsid w:val="00973541"/>
    <w:rsid w:val="00976035"/>
    <w:rsid w:val="00976B37"/>
    <w:rsid w:val="009861D6"/>
    <w:rsid w:val="00997042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F0462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4BF6"/>
    <w:rsid w:val="00A57E70"/>
    <w:rsid w:val="00A6053F"/>
    <w:rsid w:val="00A60594"/>
    <w:rsid w:val="00A60BA3"/>
    <w:rsid w:val="00A62E9D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Props1.xml><?xml version="1.0" encoding="utf-8"?>
<ds:datastoreItem xmlns:ds="http://schemas.openxmlformats.org/officeDocument/2006/customXml" ds:itemID="{BBC3979B-F699-481A-9470-D1D47288A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2842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17</cp:revision>
  <cp:lastPrinted>2012-02-22T13:14:00Z</cp:lastPrinted>
  <dcterms:created xsi:type="dcterms:W3CDTF">2024-09-16T06:51:00Z</dcterms:created>
  <dcterms:modified xsi:type="dcterms:W3CDTF">2024-11-11T13:06:00Z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