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6A5AD7D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A0054A">
        <w:rPr>
          <w:rFonts w:ascii="Arial" w:hAnsi="Arial" w:cs="Arial"/>
        </w:rPr>
        <w:t>1</w:t>
      </w:r>
      <w:r w:rsidR="001417FC">
        <w:rPr>
          <w:rFonts w:ascii="Arial" w:hAnsi="Arial" w:cs="Arial"/>
        </w:rPr>
        <w:t>2</w:t>
      </w:r>
      <w:r w:rsidR="000026B9" w:rsidRPr="000026B9">
        <w:rPr>
          <w:rFonts w:ascii="Arial" w:hAnsi="Arial" w:cs="Arial"/>
        </w:rPr>
        <w:t xml:space="preserve"> </w:t>
      </w:r>
      <w:r w:rsidRPr="000026B9">
        <w:rPr>
          <w:rFonts w:ascii="Arial" w:hAnsi="Arial" w:cs="Arial"/>
        </w:rPr>
        <w:t>mois.</w:t>
      </w:r>
    </w:p>
    <w:p w14:paraId="0F31520D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La décomposition du prix comprendra, d’une part, le coût forfaitaire, et d’autre part, le coût des déplacements.</w:t>
      </w: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77777777" w:rsidR="005B035F" w:rsidRDefault="005B035F" w:rsidP="00DD2FC5">
      <w:pPr>
        <w:spacing w:after="0"/>
        <w:ind w:right="22"/>
        <w:jc w:val="center"/>
        <w:rPr>
          <w:rFonts w:ascii="Arial" w:hAnsi="Arial" w:cs="Arial"/>
        </w:rPr>
      </w:pPr>
      <w:r w:rsidRPr="00316143">
        <w:rPr>
          <w:rFonts w:ascii="Arial" w:hAnsi="Arial" w:cs="Arial"/>
        </w:rPr>
        <w:t>Grille financière</w:t>
      </w:r>
    </w:p>
    <w:p w14:paraId="6F51B0B4" w14:textId="77777777" w:rsidR="00BC5E49" w:rsidRPr="00316143" w:rsidRDefault="00BC5E49" w:rsidP="00DD2FC5">
      <w:pPr>
        <w:spacing w:after="0"/>
        <w:ind w:right="22"/>
        <w:jc w:val="center"/>
        <w:rPr>
          <w:rFonts w:ascii="Arial" w:hAnsi="Arial" w:cs="Arial"/>
        </w:rPr>
      </w:pPr>
    </w:p>
    <w:p w14:paraId="2BF4EAA5" w14:textId="77777777" w:rsidR="005B035F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0"/>
        <w:gridCol w:w="1279"/>
        <w:gridCol w:w="1286"/>
        <w:gridCol w:w="1113"/>
        <w:gridCol w:w="1104"/>
      </w:tblGrid>
      <w:tr w:rsidR="005B035F" w:rsidRPr="001532AE" w14:paraId="4659C428" w14:textId="77777777" w:rsidTr="000F5CB5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DDA7C27" w14:textId="77777777" w:rsidR="005B035F" w:rsidRPr="00B17850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1D9D78E" w14:textId="77777777" w:rsidR="005B035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4D2F584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C5B433D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42F36A7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250870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1532AE" w14:paraId="3ECCC1F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FB40" w14:textId="58FF6642" w:rsidR="005B035F" w:rsidRPr="002F0ACC" w:rsidRDefault="003D4C5B" w:rsidP="002F0AC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Cartographie des sources de données</w:t>
            </w:r>
            <w:r w:rsidR="002F0ACC" w:rsidRPr="002F0A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D0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68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84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977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3BCD173B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5BC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D17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B53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EA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F7E0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384554BA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F784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EE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4A1F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0C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74A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11B42E9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304C" w14:textId="6EE3E5D7" w:rsidR="00DD2FC5" w:rsidRPr="00653644" w:rsidRDefault="003D4C5B" w:rsidP="00B157C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hd w:val="clear" w:color="auto" w:fill="FFFFFF"/>
              </w:rPr>
              <w:t>Collecte des données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AD7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E67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A32C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76D8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4E088465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815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F46D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01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7141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93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5CB5" w:rsidRPr="001532AE" w14:paraId="7EBA0EC8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E61E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D50E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0DA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A21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758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FC5" w:rsidRPr="001532AE" w14:paraId="47BBAC12" w14:textId="77777777" w:rsidTr="00C74D18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2D619F3" w14:textId="24AF02AB" w:rsidR="00DD2FC5" w:rsidRPr="00653644" w:rsidRDefault="003D4C5B" w:rsidP="0065364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t>Echanges complémentaires avec les fédérations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4C8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BB4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DCC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9C733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3830FFED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5C4FF64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526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1B27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953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D187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2E00F419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E763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94F6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6C9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EB24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DC1CE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5142AF50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C1CA06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1532AE" w14:paraId="33D3C77A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C81B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AB7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5C1EC0EC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86597" w14:textId="77777777" w:rsidR="00653644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177E3CA2" w14:textId="77777777" w:rsidR="005B035F" w:rsidRPr="00653644" w:rsidRDefault="005B035F" w:rsidP="0065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C01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148431A7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BF3E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8BA6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6A274DAD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718F8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9C59A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289883C8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BDE0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E1C03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E0467A8" w14:textId="77777777" w:rsidR="001417FC" w:rsidRDefault="001417FC" w:rsidP="005B035F"/>
    <w:sectPr w:rsidR="001417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9A47A" w14:textId="77777777" w:rsidR="004C38E9" w:rsidRDefault="004C38E9" w:rsidP="004C38E9">
      <w:pPr>
        <w:spacing w:after="0" w:line="240" w:lineRule="auto"/>
      </w:pPr>
      <w:r>
        <w:separator/>
      </w:r>
    </w:p>
  </w:endnote>
  <w:endnote w:type="continuationSeparator" w:id="0">
    <w:p w14:paraId="588E1AA9" w14:textId="77777777" w:rsidR="004C38E9" w:rsidRDefault="004C38E9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1C8AB314" w:rsidR="00773554" w:rsidRPr="00773554" w:rsidRDefault="000026B9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proofErr w:type="gramStart"/>
    <w:r w:rsidRPr="001417FC">
      <w:rPr>
        <w:rFonts w:ascii="Times New Roman" w:eastAsia="Times New Roman" w:hAnsi="Times New Roman" w:cs="Times New Roman"/>
        <w:b/>
        <w:i/>
        <w:sz w:val="20"/>
        <w:szCs w:val="20"/>
        <w:highlight w:val="yellow"/>
        <w:lang w:eastAsia="fr-FR"/>
      </w:rPr>
      <w:t>Marché</w:t>
    </w:r>
    <w:r w:rsidR="006A67E3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</w:t>
    </w:r>
    <w:r w:rsidR="00773554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–</w:t>
    </w:r>
    <w:proofErr w:type="gramEnd"/>
    <w:r w:rsidR="00773554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Cadre</w:t>
    </w:r>
    <w:r w:rsid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de décomposition des prix</w:t>
    </w:r>
    <w:r w:rsidR="00773554"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  <w:t xml:space="preserve">Page </w:t>
    </w: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  <w:p w14:paraId="74C28B2C" w14:textId="77777777" w:rsidR="004C38E9" w:rsidRDefault="004C38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991FB" w14:textId="77777777" w:rsidR="004C38E9" w:rsidRDefault="004C38E9" w:rsidP="004C38E9">
      <w:pPr>
        <w:spacing w:after="0" w:line="240" w:lineRule="auto"/>
      </w:pPr>
      <w:r>
        <w:separator/>
      </w:r>
    </w:p>
  </w:footnote>
  <w:footnote w:type="continuationSeparator" w:id="0">
    <w:p w14:paraId="158F460D" w14:textId="77777777" w:rsidR="004C38E9" w:rsidRDefault="004C38E9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1"/>
  </w:num>
  <w:num w:numId="2" w16cid:durableId="1879463172">
    <w:abstractNumId w:val="3"/>
  </w:num>
  <w:num w:numId="3" w16cid:durableId="1606301200">
    <w:abstractNumId w:val="2"/>
  </w:num>
  <w:num w:numId="4" w16cid:durableId="138382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C733D"/>
    <w:rsid w:val="000F5CB5"/>
    <w:rsid w:val="001417FC"/>
    <w:rsid w:val="002F0ACC"/>
    <w:rsid w:val="003D4C5B"/>
    <w:rsid w:val="004264FA"/>
    <w:rsid w:val="004C38E9"/>
    <w:rsid w:val="005B035F"/>
    <w:rsid w:val="006179F9"/>
    <w:rsid w:val="00630900"/>
    <w:rsid w:val="00653644"/>
    <w:rsid w:val="006A67E3"/>
    <w:rsid w:val="006C5CE1"/>
    <w:rsid w:val="00773554"/>
    <w:rsid w:val="00952B00"/>
    <w:rsid w:val="00A0054A"/>
    <w:rsid w:val="00A33F69"/>
    <w:rsid w:val="00A75FB6"/>
    <w:rsid w:val="00B157C5"/>
    <w:rsid w:val="00BC5E49"/>
    <w:rsid w:val="00C23DC7"/>
    <w:rsid w:val="00CD4FA5"/>
    <w:rsid w:val="00D14971"/>
    <w:rsid w:val="00D2334E"/>
    <w:rsid w:val="00D6405E"/>
    <w:rsid w:val="00DB5D40"/>
    <w:rsid w:val="00DD2FC5"/>
    <w:rsid w:val="00E263E8"/>
    <w:rsid w:val="00EF116D"/>
    <w:rsid w:val="00F2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JOSSERAND Pauline</cp:lastModifiedBy>
  <cp:revision>5</cp:revision>
  <dcterms:created xsi:type="dcterms:W3CDTF">2022-07-12T07:06:00Z</dcterms:created>
  <dcterms:modified xsi:type="dcterms:W3CDTF">2025-02-06T13:47:00Z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2025-02-06T13:47:38Z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75752a4c-1c94-441f-be78-a0cee764ebd8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