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543" w:rsidRPr="004E3543" w:rsidRDefault="004E3543" w:rsidP="004E3543">
      <w:pPr>
        <w:jc w:val="center"/>
        <w:rPr>
          <w:rFonts w:ascii="Arial" w:hAnsi="Arial" w:cs="Arial"/>
          <w:b/>
          <w:bCs/>
          <w:sz w:val="22"/>
          <w:szCs w:val="22"/>
        </w:rPr>
      </w:pPr>
      <w:r w:rsidRPr="10135974">
        <w:rPr>
          <w:rFonts w:ascii="Arial" w:hAnsi="Arial" w:cs="Arial"/>
          <w:b/>
          <w:bCs/>
          <w:sz w:val="24"/>
          <w:szCs w:val="24"/>
        </w:rPr>
        <w:t>A</w:t>
      </w:r>
      <w:r w:rsidRPr="004E3543">
        <w:rPr>
          <w:rFonts w:ascii="Arial" w:hAnsi="Arial" w:cs="Arial"/>
          <w:b/>
          <w:bCs/>
          <w:sz w:val="22"/>
          <w:szCs w:val="22"/>
        </w:rPr>
        <w:t>nnexe </w:t>
      </w:r>
      <w:r w:rsidR="007B5939">
        <w:rPr>
          <w:rFonts w:ascii="Arial" w:hAnsi="Arial" w:cs="Arial"/>
          <w:b/>
          <w:bCs/>
          <w:sz w:val="22"/>
          <w:szCs w:val="22"/>
        </w:rPr>
        <w:t>2</w:t>
      </w:r>
      <w:bookmarkStart w:id="0" w:name="_GoBack"/>
      <w:bookmarkEnd w:id="0"/>
      <w:r>
        <w:rPr>
          <w:rFonts w:ascii="Arial" w:hAnsi="Arial" w:cs="Arial"/>
          <w:b/>
          <w:bCs/>
          <w:sz w:val="22"/>
          <w:szCs w:val="22"/>
        </w:rPr>
        <w:t xml:space="preserve"> au RC_202</w:t>
      </w:r>
      <w:r w:rsidR="002C7435">
        <w:rPr>
          <w:rFonts w:ascii="Arial" w:hAnsi="Arial" w:cs="Arial"/>
          <w:b/>
          <w:bCs/>
          <w:sz w:val="22"/>
          <w:szCs w:val="22"/>
        </w:rPr>
        <w:t>3</w:t>
      </w:r>
      <w:r>
        <w:rPr>
          <w:rFonts w:ascii="Arial" w:hAnsi="Arial" w:cs="Arial"/>
          <w:b/>
          <w:bCs/>
          <w:sz w:val="22"/>
          <w:szCs w:val="22"/>
        </w:rPr>
        <w:t>_00</w:t>
      </w:r>
      <w:r w:rsidR="006A58E1">
        <w:rPr>
          <w:rFonts w:ascii="Arial" w:hAnsi="Arial" w:cs="Arial"/>
          <w:b/>
          <w:bCs/>
          <w:sz w:val="22"/>
          <w:szCs w:val="22"/>
        </w:rPr>
        <w:t>2036</w:t>
      </w:r>
      <w:r w:rsidRPr="004E3543">
        <w:rPr>
          <w:rFonts w:ascii="Arial" w:hAnsi="Arial" w:cs="Arial"/>
          <w:b/>
          <w:bCs/>
          <w:sz w:val="22"/>
          <w:szCs w:val="22"/>
        </w:rPr>
        <w:t>: Dépôt dématérialisé et signature électronique</w:t>
      </w:r>
    </w:p>
    <w:p w:rsidR="004E3543" w:rsidRPr="004E3543" w:rsidRDefault="004E3543" w:rsidP="004E3543">
      <w:pPr>
        <w:rPr>
          <w:rFonts w:ascii="Arial" w:hAnsi="Arial" w:cs="Arial"/>
          <w:sz w:val="22"/>
          <w:szCs w:val="22"/>
        </w:rPr>
      </w:pPr>
    </w:p>
    <w:p w:rsidR="004E3543" w:rsidRPr="004E3543" w:rsidRDefault="004E3543" w:rsidP="004E3543">
      <w:pPr>
        <w:spacing w:after="160" w:line="259" w:lineRule="auto"/>
        <w:jc w:val="both"/>
        <w:rPr>
          <w:rFonts w:ascii="Arial" w:eastAsia="Calibri" w:hAnsi="Arial" w:cs="Arial"/>
          <w:b/>
          <w:bCs/>
          <w:sz w:val="22"/>
          <w:szCs w:val="22"/>
          <w:u w:val="single"/>
        </w:rPr>
      </w:pPr>
      <w:r w:rsidRPr="004E3543">
        <w:rPr>
          <w:rFonts w:ascii="Arial" w:eastAsia="Calibri" w:hAnsi="Arial" w:cs="Arial"/>
          <w:b/>
          <w:bCs/>
          <w:sz w:val="22"/>
          <w:szCs w:val="22"/>
          <w:u w:val="single"/>
        </w:rPr>
        <w:t xml:space="preserve">1 – Recommandations liées au dépôt dématérialisé : </w:t>
      </w:r>
    </w:p>
    <w:p w:rsidR="004E3543" w:rsidRPr="004E3543" w:rsidRDefault="004E3543" w:rsidP="004E3543">
      <w:pPr>
        <w:spacing w:after="160" w:line="259" w:lineRule="auto"/>
        <w:jc w:val="both"/>
        <w:rPr>
          <w:rFonts w:ascii="Arial" w:eastAsia="Calibri" w:hAnsi="Arial" w:cs="Arial"/>
          <w:b/>
          <w:bCs/>
          <w:sz w:val="22"/>
          <w:szCs w:val="22"/>
        </w:rPr>
      </w:pPr>
      <w:r w:rsidRPr="004E3543">
        <w:rPr>
          <w:rFonts w:ascii="Arial" w:eastAsia="Calibri" w:hAnsi="Arial" w:cs="Arial"/>
          <w:b/>
          <w:bCs/>
          <w:sz w:val="22"/>
          <w:szCs w:val="22"/>
        </w:rPr>
        <w:t xml:space="preserve">Conseils pratiques </w:t>
      </w:r>
    </w:p>
    <w:p w:rsidR="004E3543" w:rsidRPr="004E3543" w:rsidRDefault="004E3543" w:rsidP="004E3543">
      <w:pPr>
        <w:jc w:val="both"/>
        <w:rPr>
          <w:rFonts w:ascii="Arial" w:hAnsi="Arial" w:cs="Arial"/>
          <w:sz w:val="22"/>
          <w:szCs w:val="22"/>
        </w:rPr>
      </w:pPr>
      <w:r w:rsidRPr="004E3543">
        <w:rPr>
          <w:rFonts w:ascii="Arial" w:hAnsi="Arial" w:cs="Arial"/>
          <w:sz w:val="22"/>
          <w:szCs w:val="22"/>
        </w:rP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envoie d’une liste de réponse aux questions reçues…)</w:t>
      </w:r>
    </w:p>
    <w:p w:rsidR="004E3543" w:rsidRPr="004E3543" w:rsidRDefault="004E3543" w:rsidP="004E3543">
      <w:pPr>
        <w:jc w:val="both"/>
        <w:rPr>
          <w:rFonts w:ascii="Arial" w:hAnsi="Arial" w:cs="Arial"/>
          <w:sz w:val="22"/>
          <w:szCs w:val="22"/>
        </w:rPr>
      </w:pPr>
      <w:r w:rsidRPr="004E3543">
        <w:rPr>
          <w:rFonts w:ascii="Arial" w:hAnsi="Arial" w:cs="Arial"/>
          <w:sz w:val="22"/>
          <w:szCs w:val="22"/>
        </w:rPr>
        <w:t xml:space="preserve">Le candidat est informé que seul l’exemplaire du dossier de consultation détenu par le pouvoir adjudicateur fait foi. </w:t>
      </w:r>
    </w:p>
    <w:p w:rsidR="004E3543" w:rsidRPr="004E3543" w:rsidRDefault="004E3543" w:rsidP="004E3543">
      <w:pPr>
        <w:spacing w:after="160" w:line="259" w:lineRule="auto"/>
        <w:jc w:val="both"/>
        <w:rPr>
          <w:rFonts w:ascii="Arial" w:eastAsia="Calibri" w:hAnsi="Arial" w:cs="Arial"/>
          <w:b/>
          <w:bCs/>
          <w:sz w:val="22"/>
          <w:szCs w:val="22"/>
        </w:rPr>
      </w:pP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Vous trouverez dans le lien ci-après un guide détaillé de la PLACE destiné aux entreprises (Plateforme des achats de l’Etat) : </w:t>
      </w:r>
      <w:hyperlink r:id="rId7">
        <w:r w:rsidRPr="004E3543">
          <w:rPr>
            <w:rFonts w:ascii="Arial" w:eastAsia="Calibri" w:hAnsi="Arial" w:cs="Arial"/>
            <w:color w:val="0563C1"/>
            <w:sz w:val="22"/>
            <w:szCs w:val="22"/>
            <w:u w:val="single"/>
          </w:rPr>
          <w:t>https://www.marches-publics.gouv.fr</w:t>
        </w:r>
      </w:hyperlink>
      <w:r w:rsidRPr="004E3543">
        <w:rPr>
          <w:rFonts w:ascii="Arial" w:eastAsia="Calibri" w:hAnsi="Arial" w:cs="Arial"/>
          <w:sz w:val="22"/>
          <w:szCs w:val="22"/>
        </w:rPr>
        <w:t xml:space="preserve"> </w:t>
      </w:r>
    </w:p>
    <w:p w:rsidR="004E3543" w:rsidRPr="004E3543" w:rsidRDefault="004E3543" w:rsidP="004E3543">
      <w:pPr>
        <w:spacing w:after="160" w:line="259" w:lineRule="auto"/>
        <w:jc w:val="both"/>
        <w:rPr>
          <w:rFonts w:ascii="Arial" w:eastAsia="Calibri" w:hAnsi="Arial" w:cs="Arial"/>
          <w:b/>
          <w:bCs/>
          <w:sz w:val="22"/>
          <w:szCs w:val="22"/>
        </w:rPr>
      </w:pPr>
      <w:r w:rsidRPr="004E3543">
        <w:rPr>
          <w:rFonts w:ascii="Arial" w:eastAsia="Calibri" w:hAnsi="Arial" w:cs="Arial"/>
          <w:noProof/>
          <w:sz w:val="22"/>
          <w:szCs w:val="22"/>
          <w:lang w:eastAsia="fr-FR"/>
        </w:rPr>
        <w:drawing>
          <wp:anchor distT="0" distB="0" distL="114300" distR="114300" simplePos="0" relativeHeight="251664384" behindDoc="0" locked="0" layoutInCell="1" allowOverlap="1" wp14:anchorId="7A481D68" wp14:editId="3B9D09A1">
            <wp:simplePos x="0" y="0"/>
            <wp:positionH relativeFrom="margin">
              <wp:align>left</wp:align>
            </wp:positionH>
            <wp:positionV relativeFrom="paragraph">
              <wp:posOffset>287020</wp:posOffset>
            </wp:positionV>
            <wp:extent cx="3689350" cy="2295525"/>
            <wp:effectExtent l="0" t="0" r="6350" b="9525"/>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689350" cy="2295525"/>
                    </a:xfrm>
                    <a:prstGeom prst="rect">
                      <a:avLst/>
                    </a:prstGeom>
                  </pic:spPr>
                </pic:pic>
              </a:graphicData>
            </a:graphic>
            <wp14:sizeRelH relativeFrom="page">
              <wp14:pctWidth>0</wp14:pctWidth>
            </wp14:sizeRelH>
            <wp14:sizeRelV relativeFrom="page">
              <wp14:pctHeight>0</wp14:pctHeight>
            </wp14:sizeRelV>
          </wp:anchor>
        </w:drawing>
      </w:r>
      <w:r w:rsidRPr="004E3543">
        <w:rPr>
          <w:rFonts w:ascii="Arial" w:eastAsia="Calibri" w:hAnsi="Arial" w:cs="Arial"/>
          <w:b/>
          <w:bCs/>
          <w:sz w:val="22"/>
          <w:szCs w:val="22"/>
        </w:rPr>
        <w:t xml:space="preserve">Téléchargez le dossier de consultation </w:t>
      </w: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Connectez-vous avec votre identifiant et mot de passe. Recherchez la consultation et téléchargez le dosser. Il est conseillé de vous identifier avant de télécharger un dossier afin de pouvoir être informé de toutes les modifications.</w:t>
      </w: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b/>
          <w:sz w:val="22"/>
          <w:szCs w:val="22"/>
        </w:rPr>
      </w:pPr>
    </w:p>
    <w:p w:rsidR="004E3543" w:rsidRPr="004E3543" w:rsidRDefault="004E3543" w:rsidP="004E3543">
      <w:pPr>
        <w:spacing w:after="160" w:line="259" w:lineRule="auto"/>
        <w:jc w:val="both"/>
        <w:rPr>
          <w:rFonts w:ascii="Arial" w:eastAsia="Calibri" w:hAnsi="Arial" w:cs="Arial"/>
          <w:b/>
          <w:bCs/>
          <w:sz w:val="22"/>
          <w:szCs w:val="22"/>
        </w:rPr>
      </w:pPr>
      <w:r w:rsidRPr="004E3543">
        <w:rPr>
          <w:rFonts w:ascii="Arial" w:eastAsia="Calibri" w:hAnsi="Arial" w:cs="Arial"/>
          <w:b/>
          <w:bCs/>
          <w:sz w:val="22"/>
          <w:szCs w:val="22"/>
        </w:rPr>
        <w:t xml:space="preserve">Testez votre configuration de poste informatique </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noProof/>
          <w:sz w:val="22"/>
          <w:szCs w:val="22"/>
          <w:lang w:eastAsia="fr-FR"/>
        </w:rPr>
        <mc:AlternateContent>
          <mc:Choice Requires="wps">
            <w:drawing>
              <wp:anchor distT="0" distB="0" distL="114300" distR="114300" simplePos="0" relativeHeight="251659264" behindDoc="0" locked="0" layoutInCell="1" allowOverlap="1" wp14:anchorId="1287403B" wp14:editId="69B7C9A2">
                <wp:simplePos x="0" y="0"/>
                <wp:positionH relativeFrom="column">
                  <wp:posOffset>70264</wp:posOffset>
                </wp:positionH>
                <wp:positionV relativeFrom="paragraph">
                  <wp:posOffset>939800</wp:posOffset>
                </wp:positionV>
                <wp:extent cx="1518699" cy="341906"/>
                <wp:effectExtent l="19050" t="19050" r="43815" b="39370"/>
                <wp:wrapNone/>
                <wp:docPr id="6" name="Rectangle 6"/>
                <wp:cNvGraphicFramePr/>
                <a:graphic xmlns:a="http://schemas.openxmlformats.org/drawingml/2006/main">
                  <a:graphicData uri="http://schemas.microsoft.com/office/word/2010/wordprocessingShape">
                    <wps:wsp>
                      <wps:cNvSpPr/>
                      <wps:spPr>
                        <a:xfrm>
                          <a:off x="0" y="0"/>
                          <a:ext cx="1518699" cy="341906"/>
                        </a:xfrm>
                        <a:prstGeom prst="rect">
                          <a:avLst/>
                        </a:prstGeom>
                        <a:noFill/>
                        <a:ln w="508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C9B6DF" id="Rectangle 6" o:spid="_x0000_s1026" style="position:absolute;margin-left:5.55pt;margin-top:74pt;width:119.6pt;height:2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" filled="f" strokecolor="red" strokeweight="4pt"/>
            </w:pict>
          </mc:Fallback>
        </mc:AlternateContent>
      </w:r>
      <w:r w:rsidRPr="004E3543">
        <w:rPr>
          <w:rFonts w:ascii="Arial" w:eastAsia="Calibri" w:hAnsi="Arial" w:cs="Arial"/>
          <w:noProof/>
          <w:sz w:val="22"/>
          <w:szCs w:val="22"/>
          <w:lang w:eastAsia="fr-FR"/>
        </w:rPr>
        <w:drawing>
          <wp:anchor distT="0" distB="0" distL="114300" distR="114300" simplePos="0" relativeHeight="251660288" behindDoc="1" locked="0" layoutInCell="1" allowOverlap="1" wp14:anchorId="4ABF4084" wp14:editId="261ADAAD">
            <wp:simplePos x="0" y="0"/>
            <wp:positionH relativeFrom="column">
              <wp:posOffset>-1905</wp:posOffset>
            </wp:positionH>
            <wp:positionV relativeFrom="paragraph">
              <wp:posOffset>1270</wp:posOffset>
            </wp:positionV>
            <wp:extent cx="2521585" cy="1574165"/>
            <wp:effectExtent l="0" t="0" r="0" b="6985"/>
            <wp:wrapThrough wrapText="bothSides">
              <wp:wrapPolygon edited="0">
                <wp:start x="0" y="0"/>
                <wp:lineTo x="0" y="21434"/>
                <wp:lineTo x="21377" y="21434"/>
                <wp:lineTo x="21377"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21585" cy="1574165"/>
                    </a:xfrm>
                    <a:prstGeom prst="rect">
                      <a:avLst/>
                    </a:prstGeom>
                  </pic:spPr>
                </pic:pic>
              </a:graphicData>
            </a:graphic>
          </wp:anchor>
        </w:drawing>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noProof/>
          <w:sz w:val="22"/>
          <w:szCs w:val="22"/>
          <w:lang w:eastAsia="fr-FR"/>
        </w:rPr>
        <mc:AlternateContent>
          <mc:Choice Requires="wps">
            <w:drawing>
              <wp:anchor distT="0" distB="0" distL="114300" distR="114300" simplePos="0" relativeHeight="251661312" behindDoc="0" locked="0" layoutInCell="1" allowOverlap="1" wp14:anchorId="6F43E6B4" wp14:editId="1AF668A6">
                <wp:simplePos x="0" y="0"/>
                <wp:positionH relativeFrom="column">
                  <wp:posOffset>78215</wp:posOffset>
                </wp:positionH>
                <wp:positionV relativeFrom="paragraph">
                  <wp:posOffset>638782</wp:posOffset>
                </wp:positionV>
                <wp:extent cx="1518700" cy="357533"/>
                <wp:effectExtent l="19050" t="19050" r="24765" b="23495"/>
                <wp:wrapNone/>
                <wp:docPr id="7" name="Rectangle 7"/>
                <wp:cNvGraphicFramePr/>
                <a:graphic xmlns:a="http://schemas.openxmlformats.org/drawingml/2006/main">
                  <a:graphicData uri="http://schemas.microsoft.com/office/word/2010/wordprocessingShape">
                    <wps:wsp>
                      <wps:cNvSpPr/>
                      <wps:spPr>
                        <a:xfrm>
                          <a:off x="0" y="0"/>
                          <a:ext cx="1518700" cy="357533"/>
                        </a:xfrm>
                        <a:prstGeom prst="rect">
                          <a:avLst/>
                        </a:prstGeom>
                        <a:no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E4DA0" id="Rectangle 7" o:spid="_x0000_s1026" style="position:absolute;margin-left:6.15pt;margin-top:50.3pt;width:119.6pt;height:2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" filled="f" strokecolor="red" strokeweight="3.5pt"/>
            </w:pict>
          </mc:Fallback>
        </mc:AlternateContent>
      </w:r>
      <w:r w:rsidRPr="004E3543">
        <w:rPr>
          <w:rFonts w:ascii="Arial" w:eastAsia="Calibri" w:hAnsi="Arial" w:cs="Arial"/>
          <w:sz w:val="22"/>
          <w:szCs w:val="22"/>
        </w:rPr>
        <w:t>Il est conseillé avant envoi de tester la configuration de votre poste informatique en utilisant la fonctionnalité du profil acheteur afin d’identifier éventuellement des problèmes techniques.</w:t>
      </w: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b/>
          <w:bCs/>
          <w:sz w:val="22"/>
          <w:szCs w:val="22"/>
        </w:rPr>
      </w:pPr>
      <w:r w:rsidRPr="004E3543">
        <w:rPr>
          <w:rFonts w:ascii="Arial" w:eastAsia="Calibri" w:hAnsi="Arial" w:cs="Arial"/>
          <w:b/>
          <w:bCs/>
          <w:sz w:val="22"/>
          <w:szCs w:val="22"/>
        </w:rPr>
        <w:t xml:space="preserve">Entraînez-vous au dépôt </w:t>
      </w:r>
      <w:r w:rsidRPr="004E3543">
        <w:rPr>
          <w:rFonts w:ascii="Arial" w:eastAsia="Calibri" w:hAnsi="Arial" w:cs="Arial"/>
          <w:b/>
          <w:noProof/>
          <w:sz w:val="22"/>
          <w:szCs w:val="22"/>
          <w:lang w:eastAsia="fr-FR"/>
        </w:rPr>
        <w:drawing>
          <wp:anchor distT="0" distB="0" distL="114300" distR="114300" simplePos="0" relativeHeight="251662336" behindDoc="1" locked="0" layoutInCell="1" allowOverlap="1" wp14:anchorId="7A197973" wp14:editId="3E55261E">
            <wp:simplePos x="0" y="0"/>
            <wp:positionH relativeFrom="column">
              <wp:posOffset>0</wp:posOffset>
            </wp:positionH>
            <wp:positionV relativeFrom="paragraph">
              <wp:posOffset>277495</wp:posOffset>
            </wp:positionV>
            <wp:extent cx="2521585" cy="1574165"/>
            <wp:effectExtent l="0" t="0" r="0" b="6985"/>
            <wp:wrapThrough wrapText="bothSides">
              <wp:wrapPolygon edited="0">
                <wp:start x="0" y="0"/>
                <wp:lineTo x="0" y="21434"/>
                <wp:lineTo x="21377" y="21434"/>
                <wp:lineTo x="21377" y="0"/>
                <wp:lineTo x="0" y="0"/>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21585" cy="1574165"/>
                    </a:xfrm>
                    <a:prstGeom prst="rect">
                      <a:avLst/>
                    </a:prstGeom>
                  </pic:spPr>
                </pic:pic>
              </a:graphicData>
            </a:graphic>
          </wp:anchor>
        </w:drawing>
      </w: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noProof/>
          <w:sz w:val="22"/>
          <w:szCs w:val="22"/>
          <w:lang w:eastAsia="fr-FR"/>
        </w:rPr>
        <mc:AlternateContent>
          <mc:Choice Requires="wps">
            <w:drawing>
              <wp:anchor distT="0" distB="0" distL="114300" distR="114300" simplePos="0" relativeHeight="251663360" behindDoc="0" locked="0" layoutInCell="1" allowOverlap="1" wp14:anchorId="63A411C1" wp14:editId="284A168C">
                <wp:simplePos x="0" y="0"/>
                <wp:positionH relativeFrom="column">
                  <wp:posOffset>30452</wp:posOffset>
                </wp:positionH>
                <wp:positionV relativeFrom="paragraph">
                  <wp:posOffset>891650</wp:posOffset>
                </wp:positionV>
                <wp:extent cx="1518700" cy="357533"/>
                <wp:effectExtent l="19050" t="19050" r="24765" b="23495"/>
                <wp:wrapNone/>
                <wp:docPr id="10" name="Rectangle 10"/>
                <wp:cNvGraphicFramePr/>
                <a:graphic xmlns:a="http://schemas.openxmlformats.org/drawingml/2006/main">
                  <a:graphicData uri="http://schemas.microsoft.com/office/word/2010/wordprocessingShape">
                    <wps:wsp>
                      <wps:cNvSpPr/>
                      <wps:spPr>
                        <a:xfrm>
                          <a:off x="0" y="0"/>
                          <a:ext cx="1518700" cy="357533"/>
                        </a:xfrm>
                        <a:prstGeom prst="rect">
                          <a:avLst/>
                        </a:prstGeom>
                        <a:no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230CDA" id="Rectangle 10" o:spid="_x0000_s1026" style="position:absolute;margin-left:2.4pt;margin-top:70.2pt;width:119.6pt;height:2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" filled="f" strokecolor="red" strokeweight="3.5pt"/>
            </w:pict>
          </mc:Fallback>
        </mc:AlternateContent>
      </w:r>
      <w:r w:rsidRPr="004E3543">
        <w:rPr>
          <w:rFonts w:ascii="Arial" w:eastAsia="Calibri" w:hAnsi="Arial" w:cs="Arial"/>
          <w:sz w:val="22"/>
          <w:szCs w:val="22"/>
        </w:rPr>
        <w:t>Les consultations de test proposées par le profil acheteur vous permettent de vous entraîner à répondre électroniquement à une consultation de manière identique et réelle. Cela permet notamment de tester le bon fonctionnement de votre certificat électronique et le transfert lié à la réponse électronique.</w:t>
      </w: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b/>
          <w:bCs/>
          <w:sz w:val="22"/>
          <w:szCs w:val="22"/>
        </w:rPr>
      </w:pPr>
      <w:r w:rsidRPr="004E3543">
        <w:rPr>
          <w:rFonts w:ascii="Arial" w:eastAsia="Calibri" w:hAnsi="Arial" w:cs="Arial"/>
          <w:b/>
          <w:bCs/>
          <w:sz w:val="22"/>
          <w:szCs w:val="22"/>
        </w:rPr>
        <w:lastRenderedPageBreak/>
        <w:t xml:space="preserve">Posez une question pour une consultation en cours </w:t>
      </w:r>
    </w:p>
    <w:p w:rsidR="004E3543" w:rsidRPr="004E3543" w:rsidRDefault="004E3543" w:rsidP="004E3543">
      <w:pPr>
        <w:spacing w:after="160" w:line="259" w:lineRule="auto"/>
        <w:jc w:val="both"/>
        <w:rPr>
          <w:rFonts w:ascii="Arial" w:eastAsia="Calibri" w:hAnsi="Arial" w:cs="Arial"/>
          <w:b/>
          <w:sz w:val="22"/>
          <w:szCs w:val="22"/>
        </w:rPr>
      </w:pPr>
      <w:r w:rsidRPr="004E3543">
        <w:rPr>
          <w:rFonts w:ascii="Arial" w:eastAsia="Calibri" w:hAnsi="Arial" w:cs="Arial"/>
          <w:b/>
          <w:noProof/>
          <w:sz w:val="22"/>
          <w:szCs w:val="22"/>
          <w:lang w:eastAsia="fr-FR"/>
        </w:rPr>
        <mc:AlternateContent>
          <mc:Choice Requires="wps">
            <w:drawing>
              <wp:anchor distT="0" distB="0" distL="114300" distR="114300" simplePos="0" relativeHeight="251665408" behindDoc="0" locked="0" layoutInCell="1" allowOverlap="1" wp14:anchorId="3D4FAEE2" wp14:editId="34F4EC85">
                <wp:simplePos x="0" y="0"/>
                <wp:positionH relativeFrom="column">
                  <wp:posOffset>4799256</wp:posOffset>
                </wp:positionH>
                <wp:positionV relativeFrom="paragraph">
                  <wp:posOffset>257323</wp:posOffset>
                </wp:positionV>
                <wp:extent cx="925033" cy="287079"/>
                <wp:effectExtent l="19050" t="19050" r="27940" b="17780"/>
                <wp:wrapNone/>
                <wp:docPr id="8" name="Rectangle 8"/>
                <wp:cNvGraphicFramePr/>
                <a:graphic xmlns:a="http://schemas.openxmlformats.org/drawingml/2006/main">
                  <a:graphicData uri="http://schemas.microsoft.com/office/word/2010/wordprocessingShape">
                    <wps:wsp>
                      <wps:cNvSpPr/>
                      <wps:spPr>
                        <a:xfrm>
                          <a:off x="0" y="0"/>
                          <a:ext cx="925033" cy="287079"/>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328BF4" id="Rectangle 8" o:spid="_x0000_s1026" style="position:absolute;margin-left:377.9pt;margin-top:20.25pt;width:72.85pt;height:22.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" filled="f" strokecolor="red" strokeweight="3pt"/>
            </w:pict>
          </mc:Fallback>
        </mc:AlternateContent>
      </w:r>
      <w:r w:rsidRPr="004E3543">
        <w:rPr>
          <w:rFonts w:ascii="Arial" w:eastAsia="Calibri" w:hAnsi="Arial" w:cs="Arial"/>
          <w:b/>
          <w:noProof/>
          <w:sz w:val="22"/>
          <w:szCs w:val="22"/>
          <w:lang w:eastAsia="fr-FR"/>
        </w:rPr>
        <w:drawing>
          <wp:inline distT="0" distB="0" distL="0" distR="0" wp14:anchorId="33226AAE" wp14:editId="4A63702C">
            <wp:extent cx="5814393" cy="1095154"/>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719" cy="1102373"/>
                    </a:xfrm>
                    <a:prstGeom prst="rect">
                      <a:avLst/>
                    </a:prstGeom>
                    <a:noFill/>
                    <a:ln>
                      <a:noFill/>
                    </a:ln>
                  </pic:spPr>
                </pic:pic>
              </a:graphicData>
            </a:graphic>
          </wp:inline>
        </w:drawing>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Les soumissionnaires potentiels sont invités à poser des questions pour des consultations en cours dans les délais indiqués dans le règlement de la consultation. Ces questions sont ensuite traitées par la PFC-SE. Il faut que l’utilisateur ait été identifié pour être alerté d’une réponse.</w:t>
      </w:r>
    </w:p>
    <w:p w:rsidR="004E3543" w:rsidRPr="004E3543" w:rsidRDefault="004E3543" w:rsidP="004E3543">
      <w:pPr>
        <w:spacing w:after="160" w:line="259" w:lineRule="auto"/>
        <w:jc w:val="both"/>
        <w:rPr>
          <w:rFonts w:ascii="Arial" w:eastAsia="Calibri" w:hAnsi="Arial" w:cs="Arial"/>
          <w:b/>
          <w:bCs/>
          <w:sz w:val="22"/>
          <w:szCs w:val="22"/>
        </w:rPr>
      </w:pPr>
      <w:r w:rsidRPr="004E3543">
        <w:rPr>
          <w:rFonts w:ascii="Arial" w:eastAsia="Calibri" w:hAnsi="Arial" w:cs="Arial"/>
          <w:b/>
          <w:bCs/>
          <w:sz w:val="22"/>
          <w:szCs w:val="22"/>
        </w:rPr>
        <w:t xml:space="preserve">Définissez une politique de gestion du compte de votre entreprise </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Le profil acheteur admet 1 compte par entreprise. Il est conseillé de paramétrer une adresse de messagerie générique accessible par plusieurs collaborateurs de l’entreprise afin d’éviter des difficultés (absence, changement d’équipe etc).</w:t>
      </w:r>
    </w:p>
    <w:p w:rsidR="004E3543" w:rsidRPr="004E3543" w:rsidRDefault="004E3543" w:rsidP="004E3543">
      <w:pPr>
        <w:spacing w:after="160" w:line="259" w:lineRule="auto"/>
        <w:jc w:val="both"/>
        <w:rPr>
          <w:rFonts w:ascii="Arial" w:eastAsia="Calibri" w:hAnsi="Arial" w:cs="Arial"/>
          <w:b/>
          <w:bCs/>
          <w:sz w:val="22"/>
          <w:szCs w:val="22"/>
        </w:rPr>
      </w:pPr>
      <w:r w:rsidRPr="004E3543">
        <w:rPr>
          <w:rFonts w:ascii="Arial" w:eastAsia="Calibri" w:hAnsi="Arial" w:cs="Arial"/>
          <w:b/>
          <w:bCs/>
          <w:sz w:val="22"/>
          <w:szCs w:val="22"/>
        </w:rPr>
        <w:t>Vigilance à adopter face aux filtres anti-spam</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Les courriels envoyés via le profil acheteur le sont depuis l’adresse électronique suivante : nepasrepondre@marches-publics.gouv.fr. En cas d’utilisation d’un filtre anti-spam, vous êtes invités à ajouter cette adresse dans la liste blanche de messagerie afin que les courriels envoyés depuis le profil acheteur soient réceptionnés.</w:t>
      </w:r>
    </w:p>
    <w:p w:rsidR="004E3543" w:rsidRPr="004E3543" w:rsidRDefault="004E3543" w:rsidP="004E3543">
      <w:pPr>
        <w:spacing w:after="160" w:line="259" w:lineRule="auto"/>
        <w:jc w:val="both"/>
        <w:rPr>
          <w:rFonts w:ascii="Arial" w:eastAsia="Calibri" w:hAnsi="Arial" w:cs="Arial"/>
          <w:b/>
          <w:bCs/>
          <w:sz w:val="22"/>
          <w:szCs w:val="22"/>
        </w:rPr>
      </w:pPr>
      <w:r w:rsidRPr="004E3543">
        <w:rPr>
          <w:rFonts w:ascii="Arial" w:eastAsia="Calibri" w:hAnsi="Arial" w:cs="Arial"/>
          <w:b/>
          <w:bCs/>
          <w:sz w:val="22"/>
          <w:szCs w:val="22"/>
        </w:rPr>
        <w:t xml:space="preserve">Recommandations liées aux transmissions : </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Format des fichiers : </w:t>
      </w:r>
    </w:p>
    <w:p w:rsidR="004E3543" w:rsidRPr="004E3543" w:rsidRDefault="004E3543" w:rsidP="004E3543">
      <w:pPr>
        <w:pStyle w:val="Paragraphedeliste"/>
        <w:numPr>
          <w:ilvl w:val="0"/>
          <w:numId w:val="1"/>
        </w:numPr>
        <w:spacing w:after="160" w:line="259" w:lineRule="auto"/>
        <w:jc w:val="both"/>
        <w:rPr>
          <w:rFonts w:ascii="Arial" w:eastAsia="Calibri" w:hAnsi="Arial" w:cs="Arial"/>
          <w:sz w:val="22"/>
          <w:szCs w:val="22"/>
        </w:rPr>
      </w:pPr>
      <w:r w:rsidRPr="004E3543">
        <w:rPr>
          <w:rFonts w:ascii="Arial" w:eastAsia="Calibri" w:hAnsi="Arial" w:cs="Arial"/>
          <w:sz w:val="22"/>
          <w:szCs w:val="22"/>
        </w:rPr>
        <w:t>Ne pas modifier le format des fichiers transmis par l’administration</w:t>
      </w:r>
    </w:p>
    <w:p w:rsidR="004E3543" w:rsidRPr="004E3543" w:rsidRDefault="004E3543" w:rsidP="004E3543">
      <w:pPr>
        <w:pStyle w:val="Paragraphedeliste"/>
        <w:numPr>
          <w:ilvl w:val="0"/>
          <w:numId w:val="1"/>
        </w:numPr>
        <w:spacing w:after="160" w:line="259" w:lineRule="auto"/>
        <w:jc w:val="both"/>
        <w:rPr>
          <w:rFonts w:ascii="Arial" w:eastAsia="Calibri" w:hAnsi="Arial" w:cs="Arial"/>
          <w:sz w:val="22"/>
          <w:szCs w:val="22"/>
        </w:rPr>
      </w:pPr>
      <w:r w:rsidRPr="004E3543">
        <w:rPr>
          <w:rFonts w:ascii="Arial" w:eastAsia="Calibri" w:hAnsi="Arial" w:cs="Arial"/>
          <w:sz w:val="22"/>
          <w:szCs w:val="22"/>
        </w:rPr>
        <w:t>Faire en sorte que le pli ne soit pas trop volumineux</w:t>
      </w:r>
    </w:p>
    <w:p w:rsidR="004E3543" w:rsidRPr="004E3543" w:rsidRDefault="004E3543" w:rsidP="004E3543">
      <w:pPr>
        <w:pStyle w:val="Paragraphedeliste"/>
        <w:numPr>
          <w:ilvl w:val="0"/>
          <w:numId w:val="1"/>
        </w:numPr>
        <w:spacing w:after="160" w:line="259" w:lineRule="auto"/>
        <w:jc w:val="both"/>
        <w:rPr>
          <w:rFonts w:ascii="Arial" w:eastAsia="Calibri" w:hAnsi="Arial" w:cs="Arial"/>
          <w:sz w:val="22"/>
          <w:szCs w:val="22"/>
        </w:rPr>
      </w:pPr>
      <w:r w:rsidRPr="004E3543">
        <w:rPr>
          <w:rFonts w:ascii="Arial" w:eastAsia="Calibri" w:hAnsi="Arial" w:cs="Arial"/>
          <w:sz w:val="22"/>
          <w:szCs w:val="22"/>
        </w:rPr>
        <w:t>Zipper les documents pour faciliter leur dépôt et extraction</w:t>
      </w:r>
    </w:p>
    <w:p w:rsidR="004E3543" w:rsidRPr="004E3543" w:rsidRDefault="004E3543" w:rsidP="004E3543">
      <w:pPr>
        <w:pStyle w:val="Paragraphedeliste"/>
        <w:numPr>
          <w:ilvl w:val="0"/>
          <w:numId w:val="1"/>
        </w:numPr>
        <w:spacing w:after="160" w:line="259" w:lineRule="auto"/>
        <w:jc w:val="both"/>
        <w:rPr>
          <w:rFonts w:ascii="Arial" w:eastAsia="Calibri" w:hAnsi="Arial" w:cs="Arial"/>
          <w:sz w:val="22"/>
          <w:szCs w:val="22"/>
        </w:rPr>
      </w:pPr>
      <w:r w:rsidRPr="004E3543">
        <w:rPr>
          <w:rFonts w:ascii="Arial" w:eastAsia="Calibri" w:hAnsi="Arial" w:cs="Arial"/>
          <w:sz w:val="22"/>
          <w:szCs w:val="22"/>
        </w:rPr>
        <w:t>Prévoir un délai raisonnable pour la réponse afin de ne pas engendrer un risque de dépôt hors délai</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Nom des fichiers : </w:t>
      </w:r>
    </w:p>
    <w:p w:rsidR="004E3543" w:rsidRPr="004E3543" w:rsidRDefault="004E3543" w:rsidP="004E3543">
      <w:pPr>
        <w:pStyle w:val="Paragraphedeliste"/>
        <w:numPr>
          <w:ilvl w:val="0"/>
          <w:numId w:val="1"/>
        </w:num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Eviter les caractères spéciaux tels que (liste non exhaustive) : ,  /  \  °  :  *  ?  </w:t>
      </w:r>
      <w:r w:rsidRPr="004E3543">
        <w:rPr>
          <w:rFonts w:ascii="Arial" w:eastAsia="Calibri" w:hAnsi="Arial" w:cs="Arial"/>
          <w:sz w:val="22"/>
          <w:szCs w:val="22"/>
        </w:rPr>
        <w:t>  &lt;  &gt;</w:t>
      </w:r>
    </w:p>
    <w:p w:rsidR="004E3543" w:rsidRPr="004E3543" w:rsidRDefault="004E3543" w:rsidP="004E3543">
      <w:pPr>
        <w:pStyle w:val="Paragraphedeliste"/>
        <w:numPr>
          <w:ilvl w:val="0"/>
          <w:numId w:val="1"/>
        </w:numPr>
        <w:spacing w:after="160" w:line="259" w:lineRule="auto"/>
        <w:jc w:val="both"/>
        <w:rPr>
          <w:rFonts w:ascii="Arial" w:eastAsia="Calibri" w:hAnsi="Arial" w:cs="Arial"/>
          <w:sz w:val="22"/>
          <w:szCs w:val="22"/>
        </w:rPr>
      </w:pPr>
      <w:r w:rsidRPr="004E3543">
        <w:rPr>
          <w:rFonts w:ascii="Arial" w:eastAsia="Calibri" w:hAnsi="Arial" w:cs="Arial"/>
          <w:sz w:val="22"/>
          <w:szCs w:val="22"/>
        </w:rPr>
        <w:t>Privilégier les caractères alphanumériques et l’underscore</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Lisibilité : </w:t>
      </w:r>
    </w:p>
    <w:p w:rsidR="004E3543" w:rsidRPr="004E3543" w:rsidRDefault="004E3543" w:rsidP="004E3543">
      <w:pPr>
        <w:pStyle w:val="Paragraphedeliste"/>
        <w:numPr>
          <w:ilvl w:val="0"/>
          <w:numId w:val="1"/>
        </w:numPr>
        <w:spacing w:after="160" w:line="259" w:lineRule="auto"/>
        <w:jc w:val="both"/>
        <w:rPr>
          <w:rFonts w:ascii="Arial" w:eastAsia="Calibri" w:hAnsi="Arial" w:cs="Arial"/>
          <w:sz w:val="22"/>
          <w:szCs w:val="22"/>
        </w:rPr>
      </w:pPr>
      <w:r w:rsidRPr="004E3543">
        <w:rPr>
          <w:rFonts w:ascii="Arial" w:eastAsia="Calibri" w:hAnsi="Arial" w:cs="Arial"/>
          <w:sz w:val="22"/>
          <w:szCs w:val="22"/>
        </w:rPr>
        <w:t>Dans l'hypothèse où les candidats prévoient d'insérer dans leur pli des documents non fournis par l’administration, ils doivent les scanner avec une définition suffisante garantissant leur lisibilité.</w:t>
      </w:r>
    </w:p>
    <w:p w:rsidR="004E3543" w:rsidRPr="004E3543" w:rsidRDefault="004E3543" w:rsidP="004E3543">
      <w:pPr>
        <w:pStyle w:val="Paragraphedeliste"/>
        <w:numPr>
          <w:ilvl w:val="0"/>
          <w:numId w:val="1"/>
        </w:num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b/>
          <w:bCs/>
          <w:sz w:val="22"/>
          <w:szCs w:val="22"/>
          <w:u w:val="single"/>
        </w:rPr>
      </w:pPr>
      <w:r w:rsidRPr="004E3543">
        <w:rPr>
          <w:rFonts w:ascii="Arial" w:eastAsia="Calibri" w:hAnsi="Arial" w:cs="Arial"/>
          <w:b/>
          <w:bCs/>
          <w:sz w:val="22"/>
          <w:szCs w:val="22"/>
          <w:u w:val="single"/>
        </w:rPr>
        <w:t xml:space="preserve">2 – Signature électronique </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La signature électronique est obligatoire pour les marchés passés avec la PFC-Sud Est. A ce titre, le candidat doit posséder un certificat électronique conforme à l’arrêté du 22 mars 2019 relatif à la signature électronique des contrats de la commande publique et au règlement n°910/2014 dit « eIDAS ». Il est nominatif et délivré à une personne disposant du pouvoir d’engager la société qui répond à la consultation. </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b/>
          <w:bCs/>
          <w:sz w:val="22"/>
          <w:szCs w:val="22"/>
        </w:rPr>
        <w:t>La signature électronique n’est pas requise au moment du dépôt de l’offre</w:t>
      </w:r>
      <w:r w:rsidRPr="004E3543">
        <w:rPr>
          <w:rFonts w:ascii="Arial" w:eastAsia="Calibri" w:hAnsi="Arial" w:cs="Arial"/>
          <w:sz w:val="22"/>
          <w:szCs w:val="22"/>
        </w:rPr>
        <w:t xml:space="preserve">, mais elle le sera pour le candidat qui sera déclaré attributaire du marché et concernera strictement les documents suivants : </w:t>
      </w:r>
    </w:p>
    <w:p w:rsidR="004E3543" w:rsidRPr="004E3543" w:rsidRDefault="004E3543" w:rsidP="004E3543">
      <w:pPr>
        <w:numPr>
          <w:ilvl w:val="0"/>
          <w:numId w:val="3"/>
        </w:numPr>
        <w:spacing w:after="160" w:line="259" w:lineRule="auto"/>
        <w:contextualSpacing/>
        <w:jc w:val="both"/>
        <w:rPr>
          <w:rFonts w:ascii="Arial" w:eastAsia="Calibri" w:hAnsi="Arial" w:cs="Arial"/>
          <w:sz w:val="22"/>
          <w:szCs w:val="22"/>
        </w:rPr>
      </w:pPr>
      <w:r w:rsidRPr="004E3543">
        <w:rPr>
          <w:rFonts w:ascii="Arial" w:eastAsia="Calibri" w:hAnsi="Arial" w:cs="Arial"/>
          <w:sz w:val="22"/>
          <w:szCs w:val="22"/>
        </w:rPr>
        <w:lastRenderedPageBreak/>
        <w:t xml:space="preserve">Acte d’engagement signé (par le candidat unique, par chaque membre du groupement ou par le mandataire accompagné des pouvoirs des co-traitants) </w:t>
      </w:r>
    </w:p>
    <w:p w:rsidR="004E3543" w:rsidRPr="004E3543" w:rsidRDefault="004E3543" w:rsidP="004E3543">
      <w:pPr>
        <w:numPr>
          <w:ilvl w:val="0"/>
          <w:numId w:val="3"/>
        </w:numPr>
        <w:spacing w:after="160" w:line="259" w:lineRule="auto"/>
        <w:contextualSpacing/>
        <w:jc w:val="both"/>
        <w:rPr>
          <w:rFonts w:ascii="Arial" w:eastAsia="Calibri" w:hAnsi="Arial" w:cs="Arial"/>
          <w:sz w:val="22"/>
          <w:szCs w:val="22"/>
        </w:rPr>
      </w:pPr>
      <w:r w:rsidRPr="004E3543">
        <w:rPr>
          <w:rFonts w:ascii="Arial" w:eastAsia="Calibri" w:hAnsi="Arial" w:cs="Arial"/>
          <w:sz w:val="22"/>
          <w:szCs w:val="22"/>
        </w:rPr>
        <w:t>DC4 en cas de sous-traitance signé par le titulaire et le sous-traitant.</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Attention : si le candidat pressenti attributaire n’obtient pas, après régularisation, un certificat de signature électronique, alors que celui-ci figure comme une exigence dans les documents de la consultation, le marché sera attribué à l’offre qui est arrivée en seconde position. </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Un certificat électronique coût en moyenne entre 70 et 130 euros et s’obtient dans un délai de 15 jours à un mois environ. </w:t>
      </w:r>
    </w:p>
    <w:p w:rsidR="004E3543" w:rsidRPr="004E3543" w:rsidRDefault="004E3543" w:rsidP="004E3543">
      <w:pPr>
        <w:numPr>
          <w:ilvl w:val="0"/>
          <w:numId w:val="4"/>
        </w:numPr>
        <w:spacing w:after="160" w:line="259" w:lineRule="auto"/>
        <w:contextualSpacing/>
        <w:jc w:val="both"/>
        <w:rPr>
          <w:rFonts w:ascii="Arial" w:eastAsia="Calibri" w:hAnsi="Arial" w:cs="Arial"/>
          <w:b/>
          <w:bCs/>
          <w:sz w:val="22"/>
          <w:szCs w:val="22"/>
          <w:u w:val="single"/>
        </w:rPr>
      </w:pPr>
      <w:r w:rsidRPr="004E3543">
        <w:rPr>
          <w:rFonts w:ascii="Arial" w:eastAsia="Calibri" w:hAnsi="Arial" w:cs="Arial"/>
          <w:b/>
          <w:bCs/>
          <w:sz w:val="22"/>
          <w:szCs w:val="22"/>
          <w:u w:val="single"/>
        </w:rPr>
        <w:t>1</w:t>
      </w:r>
      <w:r w:rsidRPr="004E3543">
        <w:rPr>
          <w:rFonts w:ascii="Arial" w:eastAsia="Calibri" w:hAnsi="Arial" w:cs="Arial"/>
          <w:b/>
          <w:bCs/>
          <w:sz w:val="22"/>
          <w:szCs w:val="22"/>
          <w:u w:val="single"/>
          <w:vertAlign w:val="superscript"/>
        </w:rPr>
        <w:t>er</w:t>
      </w:r>
      <w:r w:rsidRPr="004E3543">
        <w:rPr>
          <w:rFonts w:ascii="Arial" w:eastAsia="Calibri" w:hAnsi="Arial" w:cs="Arial"/>
          <w:b/>
          <w:bCs/>
          <w:sz w:val="22"/>
          <w:szCs w:val="22"/>
          <w:u w:val="single"/>
        </w:rPr>
        <w:t xml:space="preserve"> cas : Obtention d’un certificat de signature électronique émis par une autorité de certification « reconnue de confiance » :</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Le candidat est informé des autorités de certification délivrant le certificat électronique dans le lien ci-après : </w:t>
      </w:r>
      <w:hyperlink r:id="rId11">
        <w:r w:rsidRPr="004E3543">
          <w:rPr>
            <w:rStyle w:val="Lienhypertexte"/>
            <w:rFonts w:ascii="Arial" w:eastAsia="Arial" w:hAnsi="Arial" w:cs="Arial"/>
            <w:sz w:val="22"/>
            <w:szCs w:val="22"/>
          </w:rPr>
          <w:t>Obtenir un certificat de signature électronique | ANSSI (cyber.gouv.fr)</w:t>
        </w:r>
      </w:hyperlink>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En cas de co-traitance ou de sous-traitance, chaque membre du groupement et sous-traitant utilise son propre certificat. </w:t>
      </w: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La PFC-SUD EST conseille les candidats d’acquérir un certificat électronique auprès d’une des autorités présentes dans le lien précédent, reconnues comme prestataires de services de confiance par l’Agence nationale de la sécurité des systèmes d’information (ANSSI). Ainsi, le candidat n’aura aucun justificatif supplémentaire à fournir sur le certificat de signature utilisé. </w:t>
      </w:r>
    </w:p>
    <w:p w:rsidR="004E3543" w:rsidRPr="004E3543" w:rsidRDefault="004E3543" w:rsidP="004E3543">
      <w:pPr>
        <w:numPr>
          <w:ilvl w:val="0"/>
          <w:numId w:val="4"/>
        </w:numPr>
        <w:spacing w:after="160" w:line="259" w:lineRule="auto"/>
        <w:contextualSpacing/>
        <w:jc w:val="both"/>
        <w:rPr>
          <w:rFonts w:ascii="Arial" w:eastAsia="Calibri" w:hAnsi="Arial" w:cs="Arial"/>
          <w:b/>
          <w:bCs/>
          <w:sz w:val="22"/>
          <w:szCs w:val="22"/>
          <w:u w:val="single"/>
        </w:rPr>
      </w:pPr>
      <w:r w:rsidRPr="004E3543">
        <w:rPr>
          <w:rFonts w:ascii="Arial" w:eastAsia="Calibri" w:hAnsi="Arial" w:cs="Arial"/>
          <w:b/>
          <w:bCs/>
          <w:sz w:val="22"/>
          <w:szCs w:val="22"/>
          <w:u w:val="single"/>
        </w:rPr>
        <w:t xml:space="preserve">2 ème cas : obtention d’un certificat de signature électronique émis par une autorité non référencée dans la liste de confiance : </w:t>
      </w: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Le candidat peut obtenir un certificat électronique auprès d’une autre autorité que celles mentionnées dans le lien, mais des justificatifs supplémentaires seront demandées :</w:t>
      </w:r>
    </w:p>
    <w:p w:rsidR="004E3543" w:rsidRPr="004E3543" w:rsidRDefault="004E3543" w:rsidP="004E3543">
      <w:pPr>
        <w:numPr>
          <w:ilvl w:val="0"/>
          <w:numId w:val="2"/>
        </w:numPr>
        <w:spacing w:after="160" w:line="259" w:lineRule="auto"/>
        <w:contextualSpacing/>
        <w:jc w:val="both"/>
        <w:rPr>
          <w:rFonts w:ascii="Arial" w:eastAsia="Calibri" w:hAnsi="Arial" w:cs="Arial"/>
          <w:sz w:val="22"/>
          <w:szCs w:val="22"/>
        </w:rPr>
      </w:pPr>
      <w:r w:rsidRPr="004E3543">
        <w:rPr>
          <w:rFonts w:ascii="Arial" w:eastAsia="Calibri" w:hAnsi="Arial" w:cs="Arial"/>
          <w:sz w:val="22"/>
          <w:szCs w:val="22"/>
        </w:rPr>
        <w:t xml:space="preserve">Le candidat devra s’assurer que son certificat est au moins conforme au niveau de sécurité défini par le Référentiel général de sécurité (RGS) et en fournit les justificatifs dans sa réponse électronique. Le candidat fournit également, à titre gracieux, tous les éléments techniques permettant à la PFC SUD EST de s’assurer de la validité technique du certificat utilisé. </w:t>
      </w:r>
    </w:p>
    <w:p w:rsidR="004E3543" w:rsidRPr="004E3543" w:rsidRDefault="004E3543" w:rsidP="004E3543">
      <w:pPr>
        <w:spacing w:after="160" w:line="259" w:lineRule="auto"/>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Lorsque le candidat utilise un certificat de signature émis par une autre autorité que celles considérées comme étant de confiance, il doit : </w:t>
      </w:r>
    </w:p>
    <w:p w:rsidR="004E3543" w:rsidRPr="004E3543" w:rsidRDefault="004E3543" w:rsidP="004E3543">
      <w:pPr>
        <w:numPr>
          <w:ilvl w:val="0"/>
          <w:numId w:val="2"/>
        </w:numPr>
        <w:spacing w:after="160" w:line="259" w:lineRule="auto"/>
        <w:contextualSpacing/>
        <w:jc w:val="both"/>
        <w:rPr>
          <w:rFonts w:ascii="Arial" w:eastAsia="Calibri" w:hAnsi="Arial" w:cs="Arial"/>
          <w:sz w:val="22"/>
          <w:szCs w:val="22"/>
        </w:rPr>
      </w:pPr>
      <w:r w:rsidRPr="004E3543">
        <w:rPr>
          <w:rFonts w:ascii="Arial" w:eastAsia="Calibri" w:hAnsi="Arial" w:cs="Arial"/>
          <w:sz w:val="22"/>
          <w:szCs w:val="22"/>
        </w:rPr>
        <w:t xml:space="preserve">Produire des formats de signature XAdES, CAdES ou PAdES </w:t>
      </w:r>
    </w:p>
    <w:p w:rsidR="004E3543" w:rsidRPr="004E3543" w:rsidRDefault="004E3543" w:rsidP="004E3543">
      <w:pPr>
        <w:numPr>
          <w:ilvl w:val="0"/>
          <w:numId w:val="2"/>
        </w:numPr>
        <w:spacing w:after="160" w:line="259" w:lineRule="auto"/>
        <w:contextualSpacing/>
        <w:jc w:val="both"/>
        <w:rPr>
          <w:rFonts w:ascii="Arial" w:eastAsia="Calibri" w:hAnsi="Arial" w:cs="Arial"/>
          <w:sz w:val="22"/>
          <w:szCs w:val="22"/>
        </w:rPr>
      </w:pPr>
      <w:r w:rsidRPr="004E3543">
        <w:rPr>
          <w:rFonts w:ascii="Arial" w:eastAsia="Calibri" w:hAnsi="Arial" w:cs="Arial"/>
          <w:sz w:val="22"/>
          <w:szCs w:val="22"/>
        </w:rPr>
        <w:t>Transmettre les éléments nécessaires pour procéder à la vérification de la validité de la signature et de l’intégrité du document, et ce gratuitement, en indiquant le format utilisé, l’outil de signature utilisé ainsi que l’outil de vérification de signature correspondant.</w:t>
      </w:r>
    </w:p>
    <w:p w:rsidR="004E3543" w:rsidRPr="004E3543" w:rsidRDefault="004E3543" w:rsidP="004E3543">
      <w:pPr>
        <w:spacing w:after="160" w:line="259" w:lineRule="auto"/>
        <w:ind w:left="720"/>
        <w:contextualSpacing/>
        <w:jc w:val="both"/>
        <w:rPr>
          <w:rFonts w:ascii="Arial" w:eastAsia="Calibri" w:hAnsi="Arial" w:cs="Arial"/>
          <w:sz w:val="22"/>
          <w:szCs w:val="22"/>
        </w:rPr>
      </w:pPr>
    </w:p>
    <w:p w:rsidR="004E3543" w:rsidRPr="004E3543" w:rsidRDefault="004E3543" w:rsidP="004E3543">
      <w:pPr>
        <w:spacing w:after="160" w:line="259" w:lineRule="auto"/>
        <w:ind w:left="720"/>
        <w:contextualSpacing/>
        <w:jc w:val="both"/>
        <w:rPr>
          <w:rFonts w:ascii="Arial" w:eastAsia="Calibri" w:hAnsi="Arial" w:cs="Arial"/>
          <w:sz w:val="22"/>
          <w:szCs w:val="22"/>
        </w:rPr>
      </w:pPr>
      <w:r w:rsidRPr="004E3543">
        <w:rPr>
          <w:rFonts w:ascii="Arial" w:eastAsia="Calibri" w:hAnsi="Arial" w:cs="Arial"/>
          <w:sz w:val="22"/>
          <w:szCs w:val="22"/>
        </w:rPr>
        <w:t>Dans ce cas, le signataire indique la procédure permettant la vérification de la validité de la signature en fournissant notamment :</w:t>
      </w:r>
    </w:p>
    <w:p w:rsidR="004E3543" w:rsidRPr="004E3543" w:rsidRDefault="004E3543" w:rsidP="004E3543">
      <w:pPr>
        <w:numPr>
          <w:ilvl w:val="0"/>
          <w:numId w:val="5"/>
        </w:numPr>
        <w:spacing w:after="160" w:line="259" w:lineRule="auto"/>
        <w:contextualSpacing/>
        <w:jc w:val="both"/>
        <w:rPr>
          <w:rFonts w:ascii="Arial" w:eastAsia="Calibri" w:hAnsi="Arial" w:cs="Arial"/>
          <w:sz w:val="22"/>
          <w:szCs w:val="22"/>
        </w:rPr>
      </w:pPr>
      <w:r w:rsidRPr="004E3543">
        <w:rPr>
          <w:rFonts w:ascii="Arial" w:eastAsia="Calibri" w:hAnsi="Arial" w:cs="Arial"/>
          <w:sz w:val="22"/>
          <w:szCs w:val="22"/>
        </w:rPr>
        <w:t>Le lien sur lequel l’outil de vérification de signature peut être récupéré, avec une notice d’explication et les prérequis d’installation (type d’exécutable, systèmes d’exploitation supportés, etc). La fourniture d’une notice en français est souhaitée ;</w:t>
      </w:r>
    </w:p>
    <w:p w:rsidR="004E3543" w:rsidRPr="004E3543" w:rsidRDefault="004E3543" w:rsidP="004E3543">
      <w:pPr>
        <w:numPr>
          <w:ilvl w:val="0"/>
          <w:numId w:val="5"/>
        </w:numPr>
        <w:spacing w:after="160" w:line="259" w:lineRule="auto"/>
        <w:contextualSpacing/>
        <w:jc w:val="both"/>
        <w:rPr>
          <w:rFonts w:ascii="Arial" w:eastAsia="Calibri" w:hAnsi="Arial" w:cs="Arial"/>
          <w:sz w:val="22"/>
          <w:szCs w:val="22"/>
        </w:rPr>
      </w:pPr>
      <w:r w:rsidRPr="004E3543">
        <w:rPr>
          <w:rFonts w:ascii="Arial" w:eastAsia="Calibri" w:hAnsi="Arial" w:cs="Arial"/>
          <w:sz w:val="22"/>
          <w:szCs w:val="22"/>
        </w:rPr>
        <w:t>Le mode de vérification alternatif en cas d’installation impossible pour l’acheteur (contact à joindre, support distant, support sur site etc.).</w:t>
      </w:r>
    </w:p>
    <w:p w:rsidR="004E3543" w:rsidRPr="004E3543" w:rsidRDefault="004E3543" w:rsidP="004E3543">
      <w:pPr>
        <w:spacing w:after="160" w:line="259" w:lineRule="auto"/>
        <w:ind w:left="720"/>
        <w:contextualSpacing/>
        <w:jc w:val="both"/>
        <w:rPr>
          <w:rFonts w:ascii="Arial" w:eastAsia="Calibri" w:hAnsi="Arial" w:cs="Arial"/>
          <w:sz w:val="22"/>
          <w:szCs w:val="22"/>
        </w:rPr>
      </w:pPr>
    </w:p>
    <w:p w:rsidR="004E3543" w:rsidRPr="004E3543" w:rsidRDefault="004E3543" w:rsidP="004E3543">
      <w:pPr>
        <w:spacing w:after="160" w:line="259" w:lineRule="auto"/>
        <w:jc w:val="both"/>
        <w:rPr>
          <w:rFonts w:ascii="Arial" w:eastAsia="Calibri" w:hAnsi="Arial" w:cs="Arial"/>
          <w:sz w:val="22"/>
          <w:szCs w:val="22"/>
        </w:rPr>
      </w:pPr>
      <w:r w:rsidRPr="004E3543">
        <w:rPr>
          <w:rFonts w:ascii="Arial" w:eastAsia="Calibri" w:hAnsi="Arial" w:cs="Arial"/>
          <w:sz w:val="22"/>
          <w:szCs w:val="22"/>
        </w:rPr>
        <w:t xml:space="preserve">Par ailleurs, le candidat est invité à utiliser l’outil de signature PADES intégré dans les logiciels de génération de document en pdf. Un mode opératoire pourra être fourni au candidat pressenti attributaire. </w:t>
      </w:r>
    </w:p>
    <w:p w:rsidR="00866B3F" w:rsidRPr="004E3543" w:rsidRDefault="007B5939">
      <w:pPr>
        <w:rPr>
          <w:sz w:val="22"/>
          <w:szCs w:val="22"/>
        </w:rPr>
      </w:pPr>
    </w:p>
    <w:sectPr w:rsidR="00866B3F" w:rsidRPr="004E3543" w:rsidSect="007D1DE4">
      <w:headerReference w:type="default" r:id="rId12"/>
      <w:footerReference w:type="default" r:id="rId13"/>
      <w:headerReference w:type="first" r:id="rId14"/>
      <w:footerReference w:type="first" r:id="rId15"/>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E43" w:rsidRDefault="00E07E43">
      <w:pPr>
        <w:spacing w:after="0"/>
      </w:pPr>
      <w:r>
        <w:separator/>
      </w:r>
    </w:p>
  </w:endnote>
  <w:endnote w:type="continuationSeparator" w:id="0">
    <w:p w:rsidR="00E07E43" w:rsidRDefault="00E07E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5976866"/>
      <w:docPartObj>
        <w:docPartGallery w:val="Page Numbers (Bottom of Page)"/>
        <w:docPartUnique/>
      </w:docPartObj>
    </w:sdtPr>
    <w:sdtEndPr>
      <w:rPr>
        <w:rFonts w:ascii="Marianne" w:hAnsi="Marianne"/>
      </w:rPr>
    </w:sdtEndPr>
    <w:sdtContent>
      <w:sdt>
        <w:sdtPr>
          <w:rPr>
            <w:rFonts w:ascii="Marianne" w:hAnsi="Marianne"/>
          </w:rPr>
          <w:id w:val="1063529184"/>
          <w:docPartObj>
            <w:docPartGallery w:val="Page Numbers (Top of Page)"/>
            <w:docPartUnique/>
          </w:docPartObj>
        </w:sdtPr>
        <w:sdtEndPr/>
        <w:sdtContent>
          <w:p w:rsidR="00CA1BE2" w:rsidRPr="00E06AAF" w:rsidRDefault="004445F2" w:rsidP="001633A5">
            <w:pPr>
              <w:pStyle w:val="Pieddepage"/>
              <w:pBdr>
                <w:top w:val="single" w:sz="4" w:space="1" w:color="auto"/>
              </w:pBdr>
              <w:tabs>
                <w:tab w:val="clear" w:pos="4536"/>
                <w:tab w:val="clear" w:pos="9072"/>
                <w:tab w:val="left" w:pos="4005"/>
                <w:tab w:val="right" w:pos="9923"/>
              </w:tabs>
              <w:jc w:val="right"/>
              <w:rPr>
                <w:rFonts w:ascii="Marianne" w:hAnsi="Marianne"/>
              </w:rPr>
            </w:pPr>
            <w:r w:rsidRPr="00E06AAF">
              <w:rPr>
                <w:rFonts w:ascii="Marianne" w:hAnsi="Marianne"/>
              </w:rPr>
              <w:t xml:space="preserve">Page </w:t>
            </w:r>
            <w:r w:rsidRPr="00E06AAF">
              <w:rPr>
                <w:rFonts w:ascii="Marianne" w:hAnsi="Marianne"/>
                <w:b/>
                <w:bCs/>
                <w:sz w:val="24"/>
                <w:szCs w:val="24"/>
              </w:rPr>
              <w:fldChar w:fldCharType="begin"/>
            </w:r>
            <w:r w:rsidRPr="00E06AAF">
              <w:rPr>
                <w:rFonts w:ascii="Marianne" w:hAnsi="Marianne"/>
                <w:b/>
                <w:bCs/>
              </w:rPr>
              <w:instrText>PAGE</w:instrText>
            </w:r>
            <w:r w:rsidRPr="00E06AAF">
              <w:rPr>
                <w:rFonts w:ascii="Marianne" w:hAnsi="Marianne"/>
                <w:b/>
                <w:bCs/>
                <w:sz w:val="24"/>
                <w:szCs w:val="24"/>
              </w:rPr>
              <w:fldChar w:fldCharType="separate"/>
            </w:r>
            <w:r w:rsidR="007B5939">
              <w:rPr>
                <w:rFonts w:ascii="Marianne" w:hAnsi="Marianne"/>
                <w:b/>
                <w:bCs/>
                <w:noProof/>
              </w:rPr>
              <w:t>3</w:t>
            </w:r>
            <w:r w:rsidRPr="00E06AAF">
              <w:rPr>
                <w:rFonts w:ascii="Marianne" w:hAnsi="Marianne"/>
                <w:b/>
                <w:bCs/>
                <w:sz w:val="24"/>
                <w:szCs w:val="24"/>
              </w:rPr>
              <w:fldChar w:fldCharType="end"/>
            </w:r>
            <w:r w:rsidRPr="00E06AAF">
              <w:rPr>
                <w:rFonts w:ascii="Marianne" w:hAnsi="Marianne"/>
              </w:rPr>
              <w:t xml:space="preserve"> sur </w:t>
            </w:r>
            <w:r w:rsidRPr="00E06AAF">
              <w:rPr>
                <w:rFonts w:ascii="Marianne" w:hAnsi="Marianne"/>
                <w:b/>
                <w:bCs/>
                <w:sz w:val="24"/>
                <w:szCs w:val="24"/>
              </w:rPr>
              <w:fldChar w:fldCharType="begin"/>
            </w:r>
            <w:r w:rsidRPr="00E06AAF">
              <w:rPr>
                <w:rFonts w:ascii="Marianne" w:hAnsi="Marianne"/>
                <w:b/>
                <w:bCs/>
              </w:rPr>
              <w:instrText>NUMPAGES</w:instrText>
            </w:r>
            <w:r w:rsidRPr="00E06AAF">
              <w:rPr>
                <w:rFonts w:ascii="Marianne" w:hAnsi="Marianne"/>
                <w:b/>
                <w:bCs/>
                <w:sz w:val="24"/>
                <w:szCs w:val="24"/>
              </w:rPr>
              <w:fldChar w:fldCharType="separate"/>
            </w:r>
            <w:r w:rsidR="007B5939">
              <w:rPr>
                <w:rFonts w:ascii="Marianne" w:hAnsi="Marianne"/>
                <w:b/>
                <w:bCs/>
                <w:noProof/>
              </w:rPr>
              <w:t>3</w:t>
            </w:r>
            <w:r w:rsidRPr="00E06AAF">
              <w:rPr>
                <w:rFonts w:ascii="Marianne" w:hAnsi="Marianne"/>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BE2" w:rsidRDefault="004445F2" w:rsidP="001633A5">
    <w:pPr>
      <w:pStyle w:val="Pieddepage"/>
      <w:jc w:val="right"/>
    </w:pPr>
    <w:r w:rsidRPr="10135974">
      <w:rPr>
        <w:rFonts w:ascii="Marianne" w:hAnsi="Marianne"/>
      </w:rPr>
      <w:t xml:space="preserve">Page </w:t>
    </w:r>
    <w:r w:rsidRPr="10135974">
      <w:rPr>
        <w:rFonts w:ascii="Marianne" w:hAnsi="Marianne"/>
        <w:b/>
        <w:bCs/>
        <w:noProof/>
      </w:rPr>
      <w:fldChar w:fldCharType="begin"/>
    </w:r>
    <w:r w:rsidRPr="10135974">
      <w:rPr>
        <w:rFonts w:ascii="Marianne" w:hAnsi="Marianne"/>
        <w:b/>
        <w:bCs/>
        <w:noProof/>
      </w:rPr>
      <w:instrText>PAGE</w:instrText>
    </w:r>
    <w:r w:rsidRPr="10135974">
      <w:rPr>
        <w:rFonts w:ascii="Marianne" w:hAnsi="Marianne"/>
        <w:b/>
        <w:bCs/>
        <w:noProof/>
      </w:rPr>
      <w:fldChar w:fldCharType="separate"/>
    </w:r>
    <w:r w:rsidR="007B5939">
      <w:rPr>
        <w:rFonts w:ascii="Marianne" w:hAnsi="Marianne"/>
        <w:b/>
        <w:bCs/>
        <w:noProof/>
      </w:rPr>
      <w:t>1</w:t>
    </w:r>
    <w:r w:rsidRPr="10135974">
      <w:rPr>
        <w:rFonts w:ascii="Marianne" w:hAnsi="Marianne"/>
        <w:b/>
        <w:bCs/>
        <w:noProof/>
      </w:rPr>
      <w:fldChar w:fldCharType="end"/>
    </w:r>
    <w:r w:rsidRPr="10135974">
      <w:rPr>
        <w:rFonts w:ascii="Marianne" w:hAnsi="Marianne"/>
      </w:rPr>
      <w:t xml:space="preserve"> sur </w:t>
    </w:r>
    <w:r w:rsidRPr="10135974">
      <w:rPr>
        <w:rFonts w:ascii="Marianne" w:hAnsi="Marianne"/>
        <w:b/>
        <w:bCs/>
        <w:noProof/>
      </w:rPr>
      <w:fldChar w:fldCharType="begin"/>
    </w:r>
    <w:r w:rsidRPr="10135974">
      <w:rPr>
        <w:rFonts w:ascii="Marianne" w:hAnsi="Marianne"/>
        <w:b/>
        <w:bCs/>
        <w:noProof/>
      </w:rPr>
      <w:instrText>NUMPAGES</w:instrText>
    </w:r>
    <w:r w:rsidRPr="10135974">
      <w:rPr>
        <w:rFonts w:ascii="Marianne" w:hAnsi="Marianne"/>
        <w:b/>
        <w:bCs/>
        <w:noProof/>
      </w:rPr>
      <w:fldChar w:fldCharType="separate"/>
    </w:r>
    <w:r w:rsidR="007B5939">
      <w:rPr>
        <w:rFonts w:ascii="Marianne" w:hAnsi="Marianne"/>
        <w:b/>
        <w:bCs/>
        <w:noProof/>
      </w:rPr>
      <w:t>3</w:t>
    </w:r>
    <w:r w:rsidRPr="10135974">
      <w:rPr>
        <w:rFonts w:ascii="Marianne" w:hAnsi="Marianne"/>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E43" w:rsidRDefault="00E07E43">
      <w:pPr>
        <w:spacing w:after="0"/>
      </w:pPr>
      <w:r>
        <w:separator/>
      </w:r>
    </w:p>
  </w:footnote>
  <w:footnote w:type="continuationSeparator" w:id="0">
    <w:p w:rsidR="00E07E43" w:rsidRDefault="00E07E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BE2" w:rsidRDefault="007B5939" w:rsidP="00006AEE">
    <w:pPr>
      <w:pStyle w:val="En-tt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BE2" w:rsidRDefault="007B59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24E64"/>
    <w:multiLevelType w:val="hybridMultilevel"/>
    <w:tmpl w:val="17C8B15E"/>
    <w:lvl w:ilvl="0" w:tplc="04D00884">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469E65A2"/>
    <w:multiLevelType w:val="hybridMultilevel"/>
    <w:tmpl w:val="DBD89866"/>
    <w:lvl w:ilvl="0" w:tplc="2264999E">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1E0DF1"/>
    <w:multiLevelType w:val="hybridMultilevel"/>
    <w:tmpl w:val="07EE97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76C3B50"/>
    <w:multiLevelType w:val="hybridMultilevel"/>
    <w:tmpl w:val="7B74AE2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76D81A70"/>
    <w:multiLevelType w:val="hybridMultilevel"/>
    <w:tmpl w:val="063EEEEE"/>
    <w:lvl w:ilvl="0" w:tplc="E368BA8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43"/>
    <w:rsid w:val="002C7435"/>
    <w:rsid w:val="004445F2"/>
    <w:rsid w:val="004E3543"/>
    <w:rsid w:val="006A58E1"/>
    <w:rsid w:val="007B5939"/>
    <w:rsid w:val="00956E96"/>
    <w:rsid w:val="00AD2BEB"/>
    <w:rsid w:val="00C33E75"/>
    <w:rsid w:val="00E07E43"/>
    <w:rsid w:val="00E53C77"/>
    <w:rsid w:val="00ED56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686FB"/>
  <w15:chartTrackingRefBased/>
  <w15:docId w15:val="{AC9A4BBD-26B5-4BAF-9857-EACB60654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543"/>
    <w:pPr>
      <w:spacing w:after="80" w:line="240" w:lineRule="auto"/>
    </w:pPr>
    <w:rPr>
      <w:rFonts w:eastAsiaTheme="minorEastAsi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E3543"/>
    <w:pPr>
      <w:tabs>
        <w:tab w:val="center" w:pos="4536"/>
        <w:tab w:val="right" w:pos="9072"/>
      </w:tabs>
    </w:pPr>
  </w:style>
  <w:style w:type="character" w:customStyle="1" w:styleId="En-tteCar">
    <w:name w:val="En-tête Car"/>
    <w:basedOn w:val="Policepardfaut"/>
    <w:link w:val="En-tte"/>
    <w:uiPriority w:val="99"/>
    <w:rsid w:val="004E3543"/>
    <w:rPr>
      <w:rFonts w:eastAsiaTheme="minorEastAsia"/>
      <w:sz w:val="21"/>
      <w:szCs w:val="21"/>
    </w:rPr>
  </w:style>
  <w:style w:type="character" w:styleId="Lienhypertexte">
    <w:name w:val="Hyperlink"/>
    <w:basedOn w:val="Policepardfaut"/>
    <w:uiPriority w:val="99"/>
    <w:unhideWhenUsed/>
    <w:rsid w:val="004E3543"/>
    <w:rPr>
      <w:color w:val="0563C1" w:themeColor="hyperlink"/>
      <w:u w:val="single"/>
    </w:rPr>
  </w:style>
  <w:style w:type="paragraph" w:styleId="Pieddepage">
    <w:name w:val="footer"/>
    <w:basedOn w:val="Normal"/>
    <w:link w:val="PieddepageCar"/>
    <w:uiPriority w:val="99"/>
    <w:unhideWhenUsed/>
    <w:rsid w:val="004E3543"/>
    <w:pPr>
      <w:tabs>
        <w:tab w:val="center" w:pos="4536"/>
        <w:tab w:val="right" w:pos="9072"/>
      </w:tabs>
      <w:spacing w:after="0"/>
    </w:pPr>
  </w:style>
  <w:style w:type="character" w:customStyle="1" w:styleId="PieddepageCar">
    <w:name w:val="Pied de page Car"/>
    <w:basedOn w:val="Policepardfaut"/>
    <w:link w:val="Pieddepage"/>
    <w:uiPriority w:val="99"/>
    <w:rsid w:val="004E3543"/>
    <w:rPr>
      <w:rFonts w:eastAsiaTheme="minorEastAsia"/>
      <w:sz w:val="21"/>
      <w:szCs w:val="21"/>
    </w:rPr>
  </w:style>
  <w:style w:type="paragraph" w:styleId="Paragraphedeliste">
    <w:name w:val="List Paragraph"/>
    <w:basedOn w:val="Normal"/>
    <w:uiPriority w:val="34"/>
    <w:qFormat/>
    <w:rsid w:val="004E35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yber.gouv.fr/obtenir-un-certificat-de-signature-electroniqu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1170</Words>
  <Characters>6438</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CARRIER MARIE SA CS MINDEF</dc:creator>
  <cp:keywords/>
  <dc:description/>
  <cp:lastModifiedBy>GRANGETTE JEAN-PHILIPPE ATTACHE ADMI</cp:lastModifiedBy>
  <cp:revision>5</cp:revision>
  <cp:lastPrinted>2024-11-15T08:11:00Z</cp:lastPrinted>
  <dcterms:created xsi:type="dcterms:W3CDTF">2024-11-15T08:09:00Z</dcterms:created>
  <dcterms:modified xsi:type="dcterms:W3CDTF">2025-03-06T09:47:00Z</dcterms:modified>
</cp:coreProperties>
</file>