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2A6B61" w:rsidRDefault="00E42FF3" w:rsidP="002A6B61">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596EE50A" w14:textId="77777777" w:rsidR="00FA6EF9" w:rsidRPr="00546FE0" w:rsidRDefault="00FA6EF9" w:rsidP="00FA6EF9">
      <w:pPr>
        <w:jc w:val="center"/>
        <w:rPr>
          <w:rFonts w:ascii="Arial Narrow" w:hAnsi="Arial Narrow"/>
          <w:sz w:val="28"/>
          <w:szCs w:val="28"/>
        </w:rPr>
      </w:pPr>
      <w:r>
        <w:rPr>
          <w:rFonts w:ascii="Arial Narrow" w:hAnsi="Arial Narrow"/>
          <w:sz w:val="28"/>
          <w:szCs w:val="28"/>
        </w:rPr>
        <w:t>Maintenance des é</w:t>
      </w:r>
      <w:r w:rsidRPr="000C07B8">
        <w:rPr>
          <w:rFonts w:ascii="Arial Narrow" w:hAnsi="Arial Narrow"/>
          <w:sz w:val="28"/>
          <w:szCs w:val="28"/>
        </w:rPr>
        <w:t>quipements de levage sur les sites de l’EPMO</w:t>
      </w:r>
      <w:r>
        <w:rPr>
          <w:rFonts w:ascii="Arial Narrow" w:hAnsi="Arial Narrow"/>
          <w:sz w:val="28"/>
          <w:szCs w:val="28"/>
        </w:rPr>
        <w:t>-VGE</w:t>
      </w:r>
    </w:p>
    <w:p w14:paraId="0F3D9944"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DD1DC31" w14:textId="2D012E4C" w:rsidR="00A02B17" w:rsidRDefault="00A02B17" w:rsidP="00E42FF3">
      <w:pPr>
        <w:pStyle w:val="En-tte"/>
        <w:tabs>
          <w:tab w:val="clear" w:pos="4536"/>
          <w:tab w:val="clear" w:pos="9072"/>
        </w:tabs>
        <w:spacing w:after="160" w:line="259" w:lineRule="auto"/>
        <w:rPr>
          <w:rFonts w:ascii="Arial Narrow" w:hAnsi="Arial Narrow"/>
        </w:rPr>
      </w:pPr>
    </w:p>
    <w:p w14:paraId="2159E643" w14:textId="2F97834B" w:rsidR="00527EF3" w:rsidRDefault="00527EF3" w:rsidP="00E42FF3">
      <w:pPr>
        <w:pStyle w:val="En-tte"/>
        <w:tabs>
          <w:tab w:val="clear" w:pos="4536"/>
          <w:tab w:val="clear" w:pos="9072"/>
        </w:tabs>
        <w:spacing w:after="160" w:line="259" w:lineRule="auto"/>
        <w:rPr>
          <w:rFonts w:ascii="Arial Narrow" w:hAnsi="Arial Narrow"/>
        </w:rPr>
      </w:pPr>
    </w:p>
    <w:p w14:paraId="6294A624" w14:textId="7415AADC" w:rsidR="00527EF3" w:rsidRDefault="00527EF3" w:rsidP="00E42FF3">
      <w:pPr>
        <w:pStyle w:val="En-tte"/>
        <w:tabs>
          <w:tab w:val="clear" w:pos="4536"/>
          <w:tab w:val="clear" w:pos="9072"/>
        </w:tabs>
        <w:spacing w:after="160" w:line="259" w:lineRule="auto"/>
        <w:rPr>
          <w:rFonts w:ascii="Arial Narrow" w:hAnsi="Arial Narrow"/>
        </w:rPr>
      </w:pPr>
    </w:p>
    <w:p w14:paraId="7E48BFAA" w14:textId="4674BD4F" w:rsidR="00527EF3" w:rsidRDefault="00527EF3" w:rsidP="00E42FF3">
      <w:pPr>
        <w:pStyle w:val="En-tte"/>
        <w:tabs>
          <w:tab w:val="clear" w:pos="4536"/>
          <w:tab w:val="clear" w:pos="9072"/>
        </w:tabs>
        <w:spacing w:after="160" w:line="259" w:lineRule="auto"/>
        <w:rPr>
          <w:rFonts w:ascii="Arial Narrow" w:hAnsi="Arial Narrow"/>
        </w:rPr>
      </w:pPr>
    </w:p>
    <w:p w14:paraId="078F502D" w14:textId="77777777" w:rsidR="00527EF3" w:rsidRPr="00546FE0" w:rsidRDefault="00527EF3" w:rsidP="00E42FF3">
      <w:pPr>
        <w:pStyle w:val="En-tte"/>
        <w:tabs>
          <w:tab w:val="clear" w:pos="4536"/>
          <w:tab w:val="clear" w:pos="9072"/>
        </w:tabs>
        <w:spacing w:after="160" w:line="259" w:lineRule="auto"/>
        <w:rPr>
          <w:rFonts w:ascii="Arial Narrow" w:hAnsi="Arial Narrow"/>
        </w:rPr>
      </w:pPr>
    </w:p>
    <w:p w14:paraId="2A8A4B30" w14:textId="5425D912"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3C9E238E"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564E9A">
                  <w:rPr>
                    <w:rFonts w:ascii="Arial Narrow" w:hAnsi="Arial Narrow"/>
                    <w:sz w:val="22"/>
                    <w:szCs w:val="22"/>
                  </w:rPr>
                  <w:t>Services</w:t>
                </w:r>
              </w:sdtContent>
            </w:sdt>
          </w:p>
          <w:p w14:paraId="4CA1EB62" w14:textId="72A2F11B"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564E9A">
              <w:rPr>
                <w:rFonts w:ascii="Arial Narrow" w:hAnsi="Arial Narrow"/>
              </w:rPr>
              <w:t xml:space="preserve"> - FCS</w:t>
            </w:r>
          </w:p>
          <w:p w14:paraId="7ACFE896" w14:textId="184BFC3B"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564E9A">
                  <w:rPr>
                    <w:rFonts w:ascii="Arial Narrow" w:hAnsi="Arial Narrow"/>
                  </w:rPr>
                  <w:t>- Procédure d’appel d’offres ouvert en application des dispositions de l’article L. 2124-2, du 1° de l’article R. 2124-2 et des articles R. 2161-2 à R. 2161-5 du code de la commande publique</w:t>
                </w:r>
              </w:sdtContent>
            </w:sdt>
          </w:p>
          <w:p w14:paraId="151AC878" w14:textId="40B606A5"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276F3B">
                  <w:rPr>
                    <w:rFonts w:ascii="Arial Narrow" w:hAnsi="Arial Narrow"/>
                  </w:rPr>
                  <w:t xml:space="preserve">-. </w:t>
                </w:r>
                <w:r w:rsidR="00276F3B" w:rsidRPr="0008188F">
                  <w:rPr>
                    <w:rFonts w:ascii="Arial Narrow" w:hAnsi="Arial Narrow"/>
                  </w:rPr>
                  <w:t xml:space="preserve">- Accord-cadre mono-attributaire </w:t>
                </w:r>
                <w:r w:rsidR="00276F3B">
                  <w:rPr>
                    <w:rFonts w:ascii="Arial Narrow" w:hAnsi="Arial Narrow"/>
                  </w:rPr>
                  <w:t>comportant une part forfaitaire et pouvant donner</w:t>
                </w:r>
                <w:r w:rsidR="00276F3B" w:rsidRPr="0008188F">
                  <w:rPr>
                    <w:rFonts w:ascii="Arial Narrow" w:hAnsi="Arial Narrow"/>
                  </w:rPr>
                  <w:t xml:space="preserve"> lieu à l’émission de bons de commande en application du 1° de l’article L. 2125-1 et des articles R. 2162-1 à R. 2162-6 et R. 2162-13 à R. 2162-14 du code de la commande publique</w:t>
                </w:r>
              </w:sdtContent>
            </w:sdt>
          </w:p>
          <w:p w14:paraId="3F894E61" w14:textId="77777777" w:rsidR="00E42FF3" w:rsidRPr="00546FE0" w:rsidRDefault="00E42FF3" w:rsidP="00EC6141">
            <w:pPr>
              <w:rPr>
                <w:rFonts w:ascii="Arial Narrow" w:hAnsi="Arial Narrow"/>
              </w:rPr>
            </w:pPr>
          </w:p>
        </w:tc>
      </w:tr>
    </w:tbl>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5BDB0B97" w14:textId="77777777"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de l’EPMO et ses missions</w:t>
      </w:r>
    </w:p>
    <w:p w14:paraId="11B433A1" w14:textId="77777777" w:rsidR="00CB4C70" w:rsidRPr="00B4297A" w:rsidRDefault="00CB4C70" w:rsidP="00CB4C70">
      <w:pPr>
        <w:pStyle w:val="En-tte"/>
        <w:spacing w:after="120" w:line="360" w:lineRule="auto"/>
        <w:jc w:val="both"/>
        <w:rPr>
          <w:rFonts w:ascii="Arial Narrow" w:hAnsi="Arial Narrow"/>
        </w:rPr>
      </w:pPr>
      <w:r w:rsidRPr="00B4297A">
        <w:rPr>
          <w:rFonts w:ascii="Arial Narrow" w:hAnsi="Arial Narrow"/>
        </w:rPr>
        <w:t xml:space="preserve">L’Etablissement public du musée d’Orsay et du musée de l’Orangerie (E.P.M.O.) </w:t>
      </w:r>
      <w:r>
        <w:rPr>
          <w:rFonts w:ascii="Arial Narrow" w:hAnsi="Arial Narrow"/>
        </w:rPr>
        <w:t xml:space="preserve">– Valéry Giscard d’Estaing </w:t>
      </w:r>
      <w:r w:rsidRPr="00B4297A">
        <w:rPr>
          <w:rFonts w:ascii="Arial Narrow" w:hAnsi="Arial Narrow"/>
        </w:rPr>
        <w:t xml:space="preserve">est un établissement public national à caractère administratif depuis le 1er janvier 2004, conformément au décret n°2003-1300 du 26 décembre 2003 (modifié), portant création de l’Etablissement public du musée d’Orsay et du musée de l’Orangerie. </w:t>
      </w:r>
    </w:p>
    <w:p w14:paraId="492D66F4" w14:textId="05BAF5D1" w:rsidR="00CB4C70" w:rsidRDefault="00CB4C70" w:rsidP="00CB4C70">
      <w:pPr>
        <w:pStyle w:val="En-tte"/>
        <w:spacing w:after="120" w:line="360" w:lineRule="auto"/>
        <w:jc w:val="both"/>
        <w:rPr>
          <w:rFonts w:ascii="Arial Narrow" w:hAnsi="Arial Narrow"/>
        </w:rPr>
      </w:pPr>
      <w:r w:rsidRPr="00B4297A">
        <w:rPr>
          <w:rFonts w:ascii="Arial Narrow" w:hAnsi="Arial Narrow"/>
        </w:rPr>
        <w:t>Cet établissement regroupe le musée d’Orsay et</w:t>
      </w:r>
      <w:r>
        <w:rPr>
          <w:rFonts w:ascii="Arial Narrow" w:hAnsi="Arial Narrow"/>
        </w:rPr>
        <w:t xml:space="preserve"> </w:t>
      </w:r>
      <w:r w:rsidRPr="00B4297A">
        <w:rPr>
          <w:rFonts w:ascii="Arial Narrow" w:hAnsi="Arial Narrow"/>
        </w:rPr>
        <w:t>le musée de l’Orangerie.</w:t>
      </w:r>
      <w:r>
        <w:rPr>
          <w:rFonts w:ascii="Arial Narrow" w:hAnsi="Arial Narrow"/>
        </w:rPr>
        <w:t xml:space="preserve"> </w:t>
      </w:r>
      <w:r w:rsidRPr="00B4297A">
        <w:rPr>
          <w:rFonts w:ascii="Arial Narrow" w:hAnsi="Arial Narrow"/>
        </w:rPr>
        <w:t xml:space="preserve">Le musée de l’Orangerie a été intégré à l’établissement public par le décret n° 2010-558 du 27 mai 2010. </w:t>
      </w:r>
    </w:p>
    <w:p w14:paraId="7074FA7C" w14:textId="77777777" w:rsidR="00E56B0C" w:rsidRPr="00B4297A" w:rsidRDefault="00E56B0C" w:rsidP="00CB4C70">
      <w:pPr>
        <w:pStyle w:val="En-tte"/>
        <w:spacing w:after="120" w:line="360" w:lineRule="auto"/>
        <w:jc w:val="both"/>
        <w:rPr>
          <w:rFonts w:ascii="Arial Narrow" w:hAnsi="Arial Narrow"/>
        </w:rPr>
      </w:pPr>
    </w:p>
    <w:p w14:paraId="483EEED8" w14:textId="77777777"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du marché</w:t>
      </w:r>
    </w:p>
    <w:p w14:paraId="7A75BE2B" w14:textId="3F5C8032" w:rsidR="00D67F9B" w:rsidRPr="00D67F9B" w:rsidRDefault="00AB6BBF" w:rsidP="00D67F9B">
      <w:pPr>
        <w:pStyle w:val="En-tte"/>
        <w:spacing w:after="120" w:line="360" w:lineRule="auto"/>
        <w:jc w:val="both"/>
        <w:rPr>
          <w:rFonts w:ascii="Arial Narrow" w:hAnsi="Arial Narrow"/>
        </w:rPr>
      </w:pPr>
      <w:r>
        <w:rPr>
          <w:rFonts w:ascii="Arial Narrow" w:hAnsi="Arial Narrow"/>
        </w:rPr>
        <w:t xml:space="preserve">Le marché a pour objet </w:t>
      </w:r>
      <w:r w:rsidRPr="00AB6BBF">
        <w:rPr>
          <w:rFonts w:ascii="Arial Narrow" w:hAnsi="Arial Narrow"/>
        </w:rPr>
        <w:t xml:space="preserve">la maintenance </w:t>
      </w:r>
      <w:r w:rsidR="00D67F9B" w:rsidRPr="00D67F9B">
        <w:rPr>
          <w:rFonts w:ascii="Arial Narrow" w:hAnsi="Arial Narrow"/>
        </w:rPr>
        <w:t>des équipements de leva</w:t>
      </w:r>
      <w:r w:rsidR="00EC2C85">
        <w:rPr>
          <w:rFonts w:ascii="Arial Narrow" w:hAnsi="Arial Narrow"/>
        </w:rPr>
        <w:t>ge et de manutention de type : p</w:t>
      </w:r>
      <w:r w:rsidR="00D67F9B" w:rsidRPr="00D67F9B">
        <w:rPr>
          <w:rFonts w:ascii="Arial Narrow" w:hAnsi="Arial Narrow"/>
        </w:rPr>
        <w:t>late-forme élévatrice mobile de personnel (PEMP), table élévatrice, gerbeur et hayon, sur les sites de l’EPMO</w:t>
      </w:r>
      <w:r w:rsidR="00704A71">
        <w:rPr>
          <w:rFonts w:ascii="Arial Narrow" w:hAnsi="Arial Narrow"/>
        </w:rPr>
        <w:t>-VGE.</w:t>
      </w:r>
    </w:p>
    <w:p w14:paraId="120D6073" w14:textId="77777777" w:rsidR="00D67F9B" w:rsidRPr="00D67F9B" w:rsidRDefault="00D67F9B" w:rsidP="00D67F9B">
      <w:pPr>
        <w:pStyle w:val="En-tte"/>
        <w:spacing w:after="120" w:line="360" w:lineRule="auto"/>
        <w:jc w:val="both"/>
        <w:rPr>
          <w:rFonts w:ascii="Arial Narrow" w:hAnsi="Arial Narrow"/>
          <w:b/>
        </w:rPr>
      </w:pPr>
      <w:r w:rsidRPr="00D67F9B">
        <w:rPr>
          <w:rFonts w:ascii="Arial Narrow" w:hAnsi="Arial Narrow"/>
          <w:b/>
        </w:rPr>
        <w:t>Sur le Site du musée d’Orsay :</w:t>
      </w:r>
    </w:p>
    <w:p w14:paraId="2639D3C0" w14:textId="77777777" w:rsidR="00D67F9B" w:rsidRPr="00D67F9B" w:rsidRDefault="00D67F9B" w:rsidP="00D67F9B">
      <w:pPr>
        <w:pStyle w:val="En-tte"/>
        <w:spacing w:after="120" w:line="360" w:lineRule="auto"/>
        <w:jc w:val="both"/>
        <w:rPr>
          <w:rFonts w:ascii="Arial Narrow" w:hAnsi="Arial Narrow"/>
        </w:rPr>
      </w:pPr>
      <w:r w:rsidRPr="00D67F9B">
        <w:rPr>
          <w:rFonts w:ascii="Arial Narrow" w:hAnsi="Arial Narrow"/>
        </w:rPr>
        <w:t>-Onze PEMP (13)</w:t>
      </w:r>
    </w:p>
    <w:p w14:paraId="137D3A87" w14:textId="77777777" w:rsidR="00D67F9B" w:rsidRPr="00D67F9B" w:rsidRDefault="00D67F9B" w:rsidP="00D67F9B">
      <w:pPr>
        <w:pStyle w:val="En-tte"/>
        <w:spacing w:after="120" w:line="360" w:lineRule="auto"/>
        <w:jc w:val="both"/>
        <w:rPr>
          <w:rFonts w:ascii="Arial Narrow" w:hAnsi="Arial Narrow"/>
        </w:rPr>
      </w:pPr>
      <w:r w:rsidRPr="00D67F9B">
        <w:rPr>
          <w:rFonts w:ascii="Arial Narrow" w:hAnsi="Arial Narrow"/>
        </w:rPr>
        <w:t>-Trois tables élévatrices (3)</w:t>
      </w:r>
    </w:p>
    <w:p w14:paraId="463B1559" w14:textId="77777777" w:rsidR="00D67F9B" w:rsidRPr="00D67F9B" w:rsidRDefault="00D67F9B" w:rsidP="00D67F9B">
      <w:pPr>
        <w:pStyle w:val="En-tte"/>
        <w:spacing w:after="120" w:line="360" w:lineRule="auto"/>
        <w:jc w:val="both"/>
        <w:rPr>
          <w:rFonts w:ascii="Arial Narrow" w:hAnsi="Arial Narrow"/>
        </w:rPr>
      </w:pPr>
      <w:r w:rsidRPr="00D67F9B">
        <w:rPr>
          <w:rFonts w:ascii="Arial Narrow" w:hAnsi="Arial Narrow"/>
        </w:rPr>
        <w:t>-Quatre gerbeurs (4)</w:t>
      </w:r>
    </w:p>
    <w:p w14:paraId="63AEDC09" w14:textId="77777777" w:rsidR="00D67F9B" w:rsidRPr="00D67F9B" w:rsidRDefault="00D67F9B" w:rsidP="00D67F9B">
      <w:pPr>
        <w:pStyle w:val="En-tte"/>
        <w:spacing w:after="120" w:line="360" w:lineRule="auto"/>
        <w:jc w:val="both"/>
        <w:rPr>
          <w:rFonts w:ascii="Arial Narrow" w:hAnsi="Arial Narrow"/>
        </w:rPr>
      </w:pPr>
      <w:r w:rsidRPr="00D67F9B">
        <w:rPr>
          <w:rFonts w:ascii="Arial Narrow" w:hAnsi="Arial Narrow"/>
        </w:rPr>
        <w:t>-Un hayon (1)</w:t>
      </w:r>
    </w:p>
    <w:p w14:paraId="463C23E7" w14:textId="77777777" w:rsidR="00D67F9B" w:rsidRPr="00D67F9B" w:rsidRDefault="00D67F9B" w:rsidP="00D67F9B">
      <w:pPr>
        <w:pStyle w:val="En-tte"/>
        <w:spacing w:after="120" w:line="360" w:lineRule="auto"/>
        <w:jc w:val="both"/>
        <w:rPr>
          <w:rFonts w:ascii="Arial Narrow" w:hAnsi="Arial Narrow"/>
          <w:b/>
        </w:rPr>
      </w:pPr>
      <w:r w:rsidRPr="00D67F9B">
        <w:rPr>
          <w:rFonts w:ascii="Arial Narrow" w:hAnsi="Arial Narrow"/>
          <w:b/>
        </w:rPr>
        <w:t>Sur le Site du musée de l’Orangerie :</w:t>
      </w:r>
    </w:p>
    <w:p w14:paraId="0C3A3E92" w14:textId="77777777" w:rsidR="00D67F9B" w:rsidRPr="00D67F9B" w:rsidRDefault="00D67F9B" w:rsidP="00D67F9B">
      <w:pPr>
        <w:pStyle w:val="En-tte"/>
        <w:spacing w:after="120" w:line="360" w:lineRule="auto"/>
        <w:jc w:val="both"/>
        <w:rPr>
          <w:rFonts w:ascii="Arial Narrow" w:hAnsi="Arial Narrow"/>
        </w:rPr>
      </w:pPr>
      <w:r w:rsidRPr="00D67F9B">
        <w:rPr>
          <w:rFonts w:ascii="Arial Narrow" w:hAnsi="Arial Narrow"/>
        </w:rPr>
        <w:t>-Deux PEMP (2)</w:t>
      </w:r>
    </w:p>
    <w:p w14:paraId="5B05805E" w14:textId="77777777" w:rsidR="000C2C57" w:rsidRPr="000C2C57" w:rsidRDefault="000C2C57" w:rsidP="000C2C57">
      <w:pPr>
        <w:pStyle w:val="En-tte"/>
        <w:spacing w:after="120" w:line="360" w:lineRule="auto"/>
        <w:ind w:left="720"/>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5689D48D"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 la part forfaitaire</w:t>
      </w:r>
    </w:p>
    <w:p w14:paraId="00ABF82C" w14:textId="672247D8" w:rsidR="0006022E" w:rsidRDefault="0006022E" w:rsidP="0006022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La part forfaitaire de l’accord-cadre comprend les prestations </w:t>
      </w:r>
      <w:r w:rsidR="00A71968">
        <w:rPr>
          <w:rFonts w:ascii="Arial Narrow" w:hAnsi="Arial Narrow"/>
        </w:rPr>
        <w:t>de maintenance préventive et corrective telles que décrites au CCTP.</w:t>
      </w:r>
    </w:p>
    <w:p w14:paraId="076AE80F" w14:textId="7A4302A6" w:rsidR="00567E17" w:rsidRDefault="00567E17">
      <w:pPr>
        <w:rPr>
          <w:rFonts w:ascii="Arial Narrow" w:hAnsi="Arial Narrow"/>
        </w:rPr>
      </w:pPr>
      <w:r>
        <w:rPr>
          <w:rFonts w:ascii="Arial Narrow" w:hAnsi="Arial Narrow"/>
        </w:rPr>
        <w:br w:type="page"/>
      </w:r>
    </w:p>
    <w:p w14:paraId="77C99290" w14:textId="77777777" w:rsidR="00C10FFE" w:rsidRPr="00546FE0" w:rsidRDefault="00C10FFE" w:rsidP="0006022E">
      <w:pPr>
        <w:pStyle w:val="En-tte"/>
        <w:tabs>
          <w:tab w:val="clear" w:pos="4536"/>
          <w:tab w:val="clear" w:pos="9072"/>
        </w:tabs>
        <w:spacing w:after="120" w:line="360" w:lineRule="auto"/>
        <w:jc w:val="both"/>
        <w:rPr>
          <w:rFonts w:ascii="Arial Narrow" w:hAnsi="Arial Narrow"/>
        </w:rPr>
      </w:pPr>
    </w:p>
    <w:p w14:paraId="605C6661"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 la part à commandes</w:t>
      </w:r>
    </w:p>
    <w:p w14:paraId="5DB0F524" w14:textId="098616DD" w:rsidR="00C10FFE" w:rsidRDefault="007A45E0" w:rsidP="00C10FFE">
      <w:pPr>
        <w:pStyle w:val="En-tte"/>
        <w:tabs>
          <w:tab w:val="clear" w:pos="4536"/>
          <w:tab w:val="clear" w:pos="9072"/>
        </w:tabs>
        <w:spacing w:after="120" w:line="360" w:lineRule="auto"/>
        <w:jc w:val="both"/>
        <w:rPr>
          <w:rFonts w:ascii="Arial Narrow" w:hAnsi="Arial Narrow"/>
        </w:rPr>
      </w:pPr>
      <w:r>
        <w:rPr>
          <w:rFonts w:ascii="Arial Narrow" w:hAnsi="Arial Narrow"/>
        </w:rPr>
        <w:t>Les bons de commande peuvent</w:t>
      </w:r>
      <w:r w:rsidR="0006022E" w:rsidRPr="00546FE0">
        <w:rPr>
          <w:rFonts w:ascii="Arial Narrow" w:hAnsi="Arial Narrow"/>
        </w:rPr>
        <w:t xml:space="preserve"> porter sur une ou plusieurs prestations </w:t>
      </w:r>
      <w:r w:rsidR="00C10FFE">
        <w:rPr>
          <w:rFonts w:ascii="Arial Narrow" w:hAnsi="Arial Narrow"/>
        </w:rPr>
        <w:t xml:space="preserve">de </w:t>
      </w:r>
      <w:r w:rsidR="00C10FFE" w:rsidRPr="00C10FFE">
        <w:rPr>
          <w:rFonts w:ascii="Arial Narrow" w:hAnsi="Arial Narrow"/>
        </w:rPr>
        <w:t>maintenance corrective complémentaire</w:t>
      </w:r>
      <w:r w:rsidR="00C10FFE">
        <w:rPr>
          <w:rFonts w:ascii="Arial Narrow" w:hAnsi="Arial Narrow"/>
        </w:rPr>
        <w:t xml:space="preserve"> : </w:t>
      </w:r>
      <w:r w:rsidR="00C10FFE" w:rsidRPr="00C10FFE">
        <w:rPr>
          <w:rFonts w:ascii="Arial Narrow" w:hAnsi="Arial Narrow"/>
        </w:rPr>
        <w:t>les interventions non couvertes par la maintenance forfaitaire et nécessaires au maintien en l'état des appareils, à leur mise en conformité ou à l</w:t>
      </w:r>
      <w:r w:rsidR="00D50C57">
        <w:rPr>
          <w:rFonts w:ascii="Arial Narrow" w:hAnsi="Arial Narrow"/>
        </w:rPr>
        <w:t>eur amélioration fonctionnelle.</w:t>
      </w:r>
    </w:p>
    <w:p w14:paraId="3621625F" w14:textId="77777777" w:rsidR="006E2A62" w:rsidRPr="000B3B75" w:rsidRDefault="006E2A62" w:rsidP="000B3B75">
      <w:pPr>
        <w:pStyle w:val="En-tte"/>
        <w:tabs>
          <w:tab w:val="clear" w:pos="4536"/>
          <w:tab w:val="clear" w:pos="9072"/>
        </w:tabs>
        <w:spacing w:after="240" w:line="360" w:lineRule="auto"/>
        <w:jc w:val="both"/>
        <w:rPr>
          <w:rFonts w:ascii="Arial Narrow" w:hAnsi="Arial Narrow"/>
          <w:b/>
        </w:rPr>
      </w:pPr>
    </w:p>
    <w:p w14:paraId="178C3053" w14:textId="68217DD7" w:rsidR="00F73F01" w:rsidRPr="00546FE0" w:rsidRDefault="00F73F01" w:rsidP="00F73F01">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Clause de non exclusivité</w:t>
      </w:r>
    </w:p>
    <w:p w14:paraId="55066013" w14:textId="5149C1CD" w:rsidR="00F73F01" w:rsidRPr="00F73F01" w:rsidRDefault="00F73F01" w:rsidP="00F73F01">
      <w:pPr>
        <w:pStyle w:val="Sansinterligne"/>
        <w:spacing w:line="360" w:lineRule="auto"/>
        <w:jc w:val="both"/>
        <w:rPr>
          <w:rFonts w:ascii="Arial Narrow" w:eastAsiaTheme="minorHAnsi" w:hAnsi="Arial Narrow" w:cstheme="minorBidi"/>
          <w:lang w:eastAsia="en-US"/>
        </w:rPr>
      </w:pPr>
      <w:r w:rsidRPr="00546FE0">
        <w:rPr>
          <w:rFonts w:ascii="Arial Narrow" w:eastAsiaTheme="minorHAnsi" w:hAnsi="Arial Narrow" w:cstheme="minorBidi"/>
          <w:lang w:eastAsia="en-US"/>
        </w:rPr>
        <w:t xml:space="preserve">L’accord-cadre est non exclusif, l’EPMO se réservant la possibilité de s’adresser à un prestataire extérieur dans </w:t>
      </w:r>
      <w:r>
        <w:rPr>
          <w:rFonts w:ascii="Arial Narrow" w:eastAsiaTheme="minorHAnsi" w:hAnsi="Arial Narrow" w:cstheme="minorBidi"/>
          <w:lang w:eastAsia="en-US"/>
        </w:rPr>
        <w:t>en cas :</w:t>
      </w:r>
    </w:p>
    <w:p w14:paraId="70A09AD5" w14:textId="77777777" w:rsidR="00F73F01" w:rsidRPr="00F73F01" w:rsidRDefault="00F73F01" w:rsidP="005C2170">
      <w:pPr>
        <w:pStyle w:val="En-tte"/>
        <w:numPr>
          <w:ilvl w:val="0"/>
          <w:numId w:val="30"/>
        </w:numPr>
        <w:tabs>
          <w:tab w:val="clear" w:pos="4536"/>
          <w:tab w:val="clear" w:pos="9072"/>
        </w:tabs>
        <w:spacing w:after="240" w:line="360" w:lineRule="auto"/>
        <w:jc w:val="both"/>
        <w:rPr>
          <w:rFonts w:ascii="Arial Narrow" w:hAnsi="Arial Narrow"/>
        </w:rPr>
      </w:pPr>
      <w:r w:rsidRPr="00F73F01">
        <w:rPr>
          <w:rFonts w:ascii="Arial Narrow" w:hAnsi="Arial Narrow"/>
        </w:rPr>
        <w:t xml:space="preserve">Incapacité du titulaire d’exécuter les prestations ; </w:t>
      </w:r>
    </w:p>
    <w:p w14:paraId="5C60C6BA" w14:textId="77777777" w:rsidR="00F73F01" w:rsidRPr="00F73F01" w:rsidRDefault="00F73F01" w:rsidP="005C2170">
      <w:pPr>
        <w:pStyle w:val="En-tte"/>
        <w:numPr>
          <w:ilvl w:val="0"/>
          <w:numId w:val="30"/>
        </w:numPr>
        <w:tabs>
          <w:tab w:val="clear" w:pos="4536"/>
          <w:tab w:val="clear" w:pos="9072"/>
        </w:tabs>
        <w:spacing w:after="240" w:line="360" w:lineRule="auto"/>
        <w:jc w:val="both"/>
        <w:rPr>
          <w:rFonts w:ascii="Arial Narrow" w:hAnsi="Arial Narrow"/>
        </w:rPr>
      </w:pPr>
      <w:r w:rsidRPr="00F73F01">
        <w:rPr>
          <w:rFonts w:ascii="Arial Narrow" w:hAnsi="Arial Narrow"/>
        </w:rPr>
        <w:t>Description justifiée et encadrée des prestations exclues du marché</w:t>
      </w:r>
    </w:p>
    <w:p w14:paraId="60287433" w14:textId="77777777" w:rsidR="00F73F01" w:rsidRPr="00546FE0" w:rsidRDefault="00F73F01" w:rsidP="00257918">
      <w:pPr>
        <w:pStyle w:val="En-tte"/>
        <w:tabs>
          <w:tab w:val="clear" w:pos="4536"/>
          <w:tab w:val="clear" w:pos="9072"/>
        </w:tabs>
        <w:spacing w:after="24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41654A77" w14:textId="53682E66" w:rsidR="00F26936" w:rsidRDefault="00F26936" w:rsidP="00F26936">
      <w:pPr>
        <w:pStyle w:val="En-tte"/>
        <w:tabs>
          <w:tab w:val="left" w:pos="708"/>
        </w:tabs>
        <w:spacing w:after="120" w:line="360" w:lineRule="auto"/>
        <w:jc w:val="both"/>
        <w:rPr>
          <w:rFonts w:ascii="Arial Narrow" w:hAnsi="Arial Narrow"/>
        </w:rPr>
      </w:pPr>
      <w:r>
        <w:rPr>
          <w:rFonts w:ascii="Arial Narrow" w:hAnsi="Arial Narrow"/>
        </w:rPr>
        <w:t>L’EPMO pourra confier au titulaire des prestations similaires dans les conditions prévues à l’article R. 2122-7 du code de la commande publique</w:t>
      </w:r>
      <w:r w:rsidR="00704A71">
        <w:rPr>
          <w:rFonts w:ascii="Arial Narrow" w:hAnsi="Arial Narrow"/>
        </w:rPr>
        <w:t>.</w:t>
      </w:r>
    </w:p>
    <w:p w14:paraId="5F4DA642" w14:textId="77777777" w:rsidR="00AB6BBF" w:rsidRPr="002D3377" w:rsidRDefault="00AB6BBF"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5528360F" w:rsidR="00D9355E" w:rsidRPr="00805F7E"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805F7E">
        <w:rPr>
          <w:rFonts w:ascii="Arial Narrow" w:hAnsi="Arial Narrow"/>
          <w:b/>
        </w:rPr>
        <w:t>Pour l'EPMO</w:t>
      </w:r>
      <w:r w:rsidR="006F6B67">
        <w:rPr>
          <w:rFonts w:ascii="Arial Narrow" w:hAnsi="Arial Narrow"/>
          <w:b/>
        </w:rPr>
        <w:t>-VGE</w:t>
      </w:r>
    </w:p>
    <w:p w14:paraId="71168B08" w14:textId="6CCE77F6" w:rsidR="00805F7E" w:rsidRDefault="00805F7E" w:rsidP="00805F7E">
      <w:pPr>
        <w:pStyle w:val="En-tte"/>
        <w:spacing w:after="120" w:line="360" w:lineRule="auto"/>
        <w:jc w:val="both"/>
        <w:rPr>
          <w:rFonts w:ascii="Arial Narrow" w:hAnsi="Arial Narrow"/>
        </w:rPr>
      </w:pPr>
      <w:r w:rsidRPr="00805F7E">
        <w:rPr>
          <w:rFonts w:ascii="Arial Narrow" w:hAnsi="Arial Narrow"/>
        </w:rPr>
        <w:t xml:space="preserve">Le suivi des prestations est assuré par la Direction de de l’architecture maintenance et sécurité des </w:t>
      </w:r>
      <w:r w:rsidR="002168AA">
        <w:rPr>
          <w:rFonts w:ascii="Arial Narrow" w:hAnsi="Arial Narrow"/>
        </w:rPr>
        <w:t>bâtiments</w:t>
      </w:r>
      <w:r w:rsidRPr="00805F7E">
        <w:rPr>
          <w:rFonts w:ascii="Arial Narrow" w:hAnsi="Arial Narrow"/>
        </w:rPr>
        <w:t>, Mme Amélie Bodin</w:t>
      </w:r>
      <w:r>
        <w:rPr>
          <w:rFonts w:ascii="Arial Narrow" w:hAnsi="Arial Narrow"/>
        </w:rPr>
        <w:t xml:space="preserve"> </w:t>
      </w:r>
      <w:r w:rsidR="00C62337">
        <w:rPr>
          <w:rFonts w:ascii="Arial Narrow" w:hAnsi="Arial Narrow"/>
        </w:rPr>
        <w:t xml:space="preserve">dûment habilité à cet effet </w:t>
      </w:r>
      <w:r w:rsidR="00C62337" w:rsidRPr="00546FE0">
        <w:rPr>
          <w:rFonts w:ascii="Arial Narrow" w:hAnsi="Arial Narrow"/>
        </w:rPr>
        <w:t>ou son représentant dûment habilité à cet effet en la personne</w:t>
      </w:r>
      <w:r w:rsidR="00C62337">
        <w:rPr>
          <w:rFonts w:ascii="Arial Narrow" w:hAnsi="Arial Narrow"/>
        </w:rPr>
        <w:t xml:space="preserve"> de Pierre Guillaume Ritter.</w:t>
      </w:r>
    </w:p>
    <w:p w14:paraId="47DD0D55" w14:textId="77777777" w:rsidR="00AB63B1" w:rsidRPr="00805F7E" w:rsidRDefault="00AB63B1" w:rsidP="00805F7E">
      <w:pPr>
        <w:pStyle w:val="En-tte"/>
        <w:spacing w:after="120" w:line="360" w:lineRule="auto"/>
        <w:jc w:val="both"/>
        <w:rPr>
          <w:rFonts w:ascii="Arial Narrow" w:hAnsi="Arial Narrow"/>
        </w:rPr>
      </w:pPr>
    </w:p>
    <w:p w14:paraId="0E1F2FC7"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 titulaire</w:t>
      </w:r>
    </w:p>
    <w:p w14:paraId="5D789F83" w14:textId="77777777"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l’EPMO.</w:t>
      </w:r>
    </w:p>
    <w:p w14:paraId="778C4399" w14:textId="77777777" w:rsidR="00D9355E" w:rsidRPr="00546FE0"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l’EP</w:t>
      </w:r>
      <w:r w:rsidR="00376A8E" w:rsidRPr="00546FE0">
        <w:rPr>
          <w:rFonts w:ascii="Arial Narrow" w:hAnsi="Arial Narrow"/>
        </w:rPr>
        <w:t>MO</w:t>
      </w:r>
      <w:r w:rsidRPr="00546FE0">
        <w:rPr>
          <w:rFonts w:ascii="Arial Narrow" w:hAnsi="Arial Narrow"/>
        </w:rPr>
        <w:t xml:space="preserve"> par tous moyens et prendre toutes les dispositions nécessaires pour que </w:t>
      </w:r>
      <w:r w:rsidRPr="00546FE0">
        <w:rPr>
          <w:rFonts w:ascii="Arial Narrow" w:hAnsi="Arial Narrow"/>
        </w:rPr>
        <w:lastRenderedPageBreak/>
        <w:t xml:space="preserve">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l’EPMO</w:t>
      </w:r>
      <w:r w:rsidR="00DC2FA3" w:rsidRPr="00546FE0">
        <w:rPr>
          <w:rFonts w:ascii="Arial Narrow" w:hAnsi="Arial Narrow"/>
        </w:rPr>
        <w:t xml:space="preserve"> dans les plus brefs délais.</w:t>
      </w:r>
    </w:p>
    <w:p w14:paraId="7E4208F8" w14:textId="77777777" w:rsidR="005D555E" w:rsidRPr="00546FE0" w:rsidRDefault="005D555E" w:rsidP="00DC2FA3">
      <w:pPr>
        <w:pStyle w:val="En-tte"/>
        <w:spacing w:after="120" w:line="360" w:lineRule="auto"/>
        <w:jc w:val="both"/>
        <w:rPr>
          <w:rFonts w:ascii="Arial Narrow" w:hAnsi="Arial Narrow"/>
        </w:rPr>
      </w:pPr>
    </w:p>
    <w:p w14:paraId="3CEEE19C" w14:textId="77777777" w:rsidR="00D9355E" w:rsidRPr="00546FE0"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FONCTIONNEMENT DE L’ACCORD-CADRE</w:t>
      </w:r>
    </w:p>
    <w:p w14:paraId="3351FEDB"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Exécution de la part forfaitaire de l’accord-cadre</w:t>
      </w:r>
    </w:p>
    <w:p w14:paraId="1D37E15A" w14:textId="4D23F596" w:rsidR="005D555E" w:rsidRDefault="005D555E" w:rsidP="00E56B0C">
      <w:pPr>
        <w:pStyle w:val="En-tte"/>
        <w:spacing w:after="120" w:line="360" w:lineRule="auto"/>
        <w:jc w:val="both"/>
        <w:rPr>
          <w:rFonts w:ascii="Arial Narrow" w:hAnsi="Arial Narrow"/>
        </w:rPr>
      </w:pPr>
      <w:r w:rsidRPr="00546FE0">
        <w:rPr>
          <w:rFonts w:ascii="Arial Narrow" w:hAnsi="Arial Narrow"/>
        </w:rPr>
        <w:t xml:space="preserve">Il est précisé que la notification de l’accord-cadre vaut </w:t>
      </w:r>
      <w:r w:rsidR="006F6B67">
        <w:rPr>
          <w:rFonts w:ascii="Arial Narrow" w:hAnsi="Arial Narrow"/>
        </w:rPr>
        <w:t>notification</w:t>
      </w:r>
      <w:r w:rsidRPr="00546FE0">
        <w:rPr>
          <w:rFonts w:ascii="Arial Narrow" w:hAnsi="Arial Narrow"/>
        </w:rPr>
        <w:t xml:space="preserve"> du montant forfaitaire mentionné à l’article 5.1 de l’acte d’engagement.</w:t>
      </w:r>
    </w:p>
    <w:p w14:paraId="77916CB5" w14:textId="77777777" w:rsidR="006F6B67" w:rsidRPr="00546FE0" w:rsidRDefault="006F6B67" w:rsidP="00E56B0C">
      <w:pPr>
        <w:pStyle w:val="En-tte"/>
        <w:spacing w:after="120" w:line="360" w:lineRule="auto"/>
        <w:jc w:val="both"/>
        <w:rPr>
          <w:rFonts w:ascii="Arial Narrow" w:hAnsi="Arial Narrow"/>
        </w:rPr>
      </w:pPr>
    </w:p>
    <w:p w14:paraId="159D2304"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Modalités d’émission des bons de commande</w:t>
      </w:r>
    </w:p>
    <w:p w14:paraId="044A67AF" w14:textId="77777777" w:rsidR="005D555E" w:rsidRPr="00546FE0" w:rsidRDefault="005D555E" w:rsidP="007639B4">
      <w:pPr>
        <w:pStyle w:val="En-tte"/>
        <w:spacing w:after="120" w:line="360" w:lineRule="auto"/>
        <w:jc w:val="both"/>
        <w:rPr>
          <w:rFonts w:ascii="Arial Narrow" w:hAnsi="Arial Narrow"/>
        </w:rPr>
      </w:pPr>
      <w:r w:rsidRPr="00546FE0">
        <w:rPr>
          <w:rFonts w:ascii="Arial Narrow" w:hAnsi="Arial Narrow"/>
        </w:rPr>
        <w:t>L’EPMO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35785401" w14:textId="77777777" w:rsidR="005D555E" w:rsidRPr="00546FE0" w:rsidRDefault="005D555E" w:rsidP="005D555E">
      <w:pPr>
        <w:pStyle w:val="En-tte"/>
        <w:spacing w:after="120" w:line="360" w:lineRule="auto"/>
        <w:rPr>
          <w:rFonts w:ascii="Arial Narrow" w:hAnsi="Arial Narrow"/>
        </w:rPr>
      </w:pPr>
      <w:r w:rsidRPr="00546FE0">
        <w:rPr>
          <w:rFonts w:ascii="Arial Narrow" w:hAnsi="Arial Narrow"/>
        </w:rPr>
        <w:t xml:space="preserve">Chaque bon de commande devra comporter les mentions suivantes : </w:t>
      </w:r>
    </w:p>
    <w:p w14:paraId="643B836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référence au présent accord-cadre</w:t>
      </w:r>
    </w:p>
    <w:p w14:paraId="5A2BF1F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numéro du bon de commande</w:t>
      </w:r>
    </w:p>
    <w:p w14:paraId="62EF30E7"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désignation des prestations</w:t>
      </w:r>
    </w:p>
    <w:p w14:paraId="0D33FE64"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Les prix unitaires HT conformes au BPU et les quantités à exécuter</w:t>
      </w:r>
    </w:p>
    <w:p w14:paraId="1EB2E818"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montant HT des prestations</w:t>
      </w:r>
    </w:p>
    <w:p w14:paraId="507EA92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taux et le montant de TVA applicable</w:t>
      </w:r>
    </w:p>
    <w:p w14:paraId="262CEFA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 xml:space="preserve">Le montant total TTC </w:t>
      </w:r>
    </w:p>
    <w:p w14:paraId="24F1A385" w14:textId="152E4A2B" w:rsidR="005D555E" w:rsidRPr="001258B9" w:rsidRDefault="005D555E" w:rsidP="003A0E64">
      <w:pPr>
        <w:pStyle w:val="En-tte"/>
        <w:spacing w:line="360" w:lineRule="auto"/>
        <w:jc w:val="both"/>
        <w:rPr>
          <w:rFonts w:ascii="Arial Narrow" w:hAnsi="Arial Narrow"/>
        </w:rPr>
      </w:pPr>
      <w:r w:rsidRPr="001258B9">
        <w:rPr>
          <w:rFonts w:ascii="Arial Narrow" w:hAnsi="Arial Narrow"/>
        </w:rPr>
        <w:t xml:space="preserve">Le délai d’exécution des prestations </w:t>
      </w:r>
      <w:r w:rsidR="00452245" w:rsidRPr="001258B9">
        <w:rPr>
          <w:rFonts w:ascii="Arial Narrow" w:hAnsi="Arial Narrow"/>
        </w:rPr>
        <w:t>est transmis</w:t>
      </w:r>
      <w:r w:rsidR="006F5F1B" w:rsidRPr="001258B9">
        <w:rPr>
          <w:rFonts w:ascii="Arial Narrow" w:hAnsi="Arial Narrow"/>
        </w:rPr>
        <w:t xml:space="preserve"> </w:t>
      </w:r>
      <w:r w:rsidR="00FD3BFA" w:rsidRPr="001258B9">
        <w:rPr>
          <w:rFonts w:ascii="Arial Narrow" w:hAnsi="Arial Narrow"/>
        </w:rPr>
        <w:t>par le chef de lot technique</w:t>
      </w:r>
      <w:r w:rsidRPr="001258B9">
        <w:rPr>
          <w:rFonts w:ascii="Arial Narrow" w:hAnsi="Arial Narrow"/>
        </w:rPr>
        <w:t xml:space="preserve"> </w:t>
      </w:r>
      <w:r w:rsidR="009D49A4" w:rsidRPr="001258B9">
        <w:rPr>
          <w:rFonts w:ascii="Arial Narrow" w:hAnsi="Arial Narrow"/>
        </w:rPr>
        <w:t>par mail suite à l’émission de</w:t>
      </w:r>
      <w:r w:rsidR="00FD3BFA" w:rsidRPr="001258B9">
        <w:rPr>
          <w:rFonts w:ascii="Arial Narrow" w:hAnsi="Arial Narrow"/>
        </w:rPr>
        <w:t xml:space="preserve"> </w:t>
      </w:r>
      <w:r w:rsidRPr="001258B9">
        <w:rPr>
          <w:rFonts w:ascii="Arial Narrow" w:hAnsi="Arial Narrow"/>
        </w:rPr>
        <w:t xml:space="preserve">chaque bon de commande. </w:t>
      </w:r>
    </w:p>
    <w:p w14:paraId="4A735799" w14:textId="19C001A3" w:rsidR="0039639A" w:rsidRPr="00E8028F" w:rsidRDefault="0039639A" w:rsidP="003A0E64">
      <w:pPr>
        <w:pStyle w:val="Normalcentr"/>
        <w:spacing w:line="360" w:lineRule="auto"/>
        <w:ind w:left="0" w:right="0"/>
        <w:jc w:val="both"/>
        <w:rPr>
          <w:rFonts w:ascii="Arial Narrow" w:hAnsi="Arial Narrow" w:cstheme="minorBidi"/>
        </w:rPr>
      </w:pPr>
      <w:r w:rsidRPr="001258B9">
        <w:rPr>
          <w:rFonts w:ascii="Arial Narrow" w:hAnsi="Arial Narrow" w:cstheme="minorBidi"/>
        </w:rPr>
        <w:t xml:space="preserve">Lorsque le remplacement d’une pièce détachée ou d’un petit équipement est rendu nécessaire </w:t>
      </w:r>
      <w:r w:rsidR="00194BD4" w:rsidRPr="001258B9">
        <w:rPr>
          <w:rFonts w:ascii="Arial Narrow" w:hAnsi="Arial Narrow" w:cstheme="minorBidi"/>
        </w:rPr>
        <w:t>et que ceux-ci ne figurent ni pas au BPU</w:t>
      </w:r>
      <w:r w:rsidRPr="001258B9">
        <w:rPr>
          <w:rFonts w:ascii="Arial Narrow" w:hAnsi="Arial Narrow" w:cstheme="minorBidi"/>
        </w:rPr>
        <w:t>, l’EPMO demande au titulaire l’établissement d’un devis détaillé qui indiquera notamment :</w:t>
      </w:r>
    </w:p>
    <w:p w14:paraId="0F7420CA" w14:textId="642F91D9" w:rsidR="007B4DDF" w:rsidRPr="00E8028F" w:rsidRDefault="007B4DDF" w:rsidP="003A0E64">
      <w:pPr>
        <w:pStyle w:val="Normalcentr"/>
        <w:spacing w:line="360" w:lineRule="auto"/>
        <w:ind w:left="0" w:right="0"/>
        <w:jc w:val="both"/>
        <w:rPr>
          <w:rFonts w:ascii="Arial Narrow" w:hAnsi="Arial Narrow" w:cstheme="minorBidi"/>
        </w:rPr>
      </w:pPr>
    </w:p>
    <w:p w14:paraId="4CC98B63" w14:textId="4A67DB57" w:rsidR="0039639A" w:rsidRPr="00E8028F" w:rsidRDefault="00E8028F" w:rsidP="003A0E64">
      <w:pPr>
        <w:pStyle w:val="Paragraphedeliste"/>
        <w:spacing w:after="0" w:line="360" w:lineRule="auto"/>
        <w:ind w:left="0"/>
        <w:jc w:val="both"/>
        <w:rPr>
          <w:rFonts w:ascii="Arial Narrow" w:hAnsi="Arial Narrow"/>
        </w:rPr>
      </w:pPr>
      <w:r>
        <w:rPr>
          <w:rFonts w:ascii="Arial Narrow" w:hAnsi="Arial Narrow"/>
        </w:rPr>
        <w:t xml:space="preserve">- </w:t>
      </w:r>
      <w:r w:rsidR="0039639A" w:rsidRPr="00E8028F">
        <w:rPr>
          <w:rFonts w:ascii="Arial Narrow" w:hAnsi="Arial Narrow"/>
        </w:rPr>
        <w:t>le nom du fournisseur</w:t>
      </w:r>
    </w:p>
    <w:p w14:paraId="6AF5328C" w14:textId="0803E15C" w:rsidR="0039639A" w:rsidRPr="00E8028F" w:rsidRDefault="00E8028F" w:rsidP="003A0E64">
      <w:pPr>
        <w:pStyle w:val="Paragraphedeliste"/>
        <w:spacing w:after="0" w:line="360" w:lineRule="auto"/>
        <w:ind w:left="0"/>
        <w:jc w:val="both"/>
        <w:rPr>
          <w:rFonts w:ascii="Arial Narrow" w:hAnsi="Arial Narrow"/>
        </w:rPr>
      </w:pPr>
      <w:r>
        <w:rPr>
          <w:rFonts w:ascii="Arial Narrow" w:hAnsi="Arial Narrow"/>
        </w:rPr>
        <w:t xml:space="preserve">- </w:t>
      </w:r>
      <w:r w:rsidR="0039639A" w:rsidRPr="00E8028F">
        <w:rPr>
          <w:rFonts w:ascii="Arial Narrow" w:hAnsi="Arial Narrow"/>
        </w:rPr>
        <w:t xml:space="preserve">le prix de cette pièce ou de cet équipement tel qu’il figure dans les référencements de prix du fournisseur (catalogue, site internet ou devis d’un tiers) ou en cas d’impossibilité de fournir ces référencements, une attestation sur l’honneur </w:t>
      </w:r>
      <w:proofErr w:type="gramStart"/>
      <w:r w:rsidR="0039639A" w:rsidRPr="00E8028F">
        <w:rPr>
          <w:rFonts w:ascii="Arial Narrow" w:hAnsi="Arial Narrow"/>
        </w:rPr>
        <w:t>du titulaire relative</w:t>
      </w:r>
      <w:proofErr w:type="gramEnd"/>
      <w:r w:rsidR="0039639A" w:rsidRPr="00E8028F">
        <w:rPr>
          <w:rFonts w:ascii="Arial Narrow" w:hAnsi="Arial Narrow"/>
        </w:rPr>
        <w:t xml:space="preserve"> à ce prix</w:t>
      </w:r>
    </w:p>
    <w:p w14:paraId="4F571126" w14:textId="128A3606" w:rsidR="0039639A" w:rsidRDefault="00E8028F" w:rsidP="003A0E64">
      <w:pPr>
        <w:pStyle w:val="Paragraphedeliste"/>
        <w:spacing w:after="0" w:line="360" w:lineRule="auto"/>
        <w:ind w:left="0"/>
        <w:jc w:val="both"/>
        <w:rPr>
          <w:rFonts w:ascii="Arial Narrow" w:hAnsi="Arial Narrow"/>
        </w:rPr>
      </w:pPr>
      <w:r>
        <w:rPr>
          <w:rFonts w:ascii="Arial Narrow" w:hAnsi="Arial Narrow"/>
        </w:rPr>
        <w:lastRenderedPageBreak/>
        <w:t xml:space="preserve">- </w:t>
      </w:r>
      <w:r w:rsidR="0039639A" w:rsidRPr="001258B9">
        <w:rPr>
          <w:rFonts w:ascii="Arial Narrow" w:hAnsi="Arial Narrow"/>
          <w:highlight w:val="yellow"/>
        </w:rPr>
        <w:t>la marge du titulaire sur ce prix fournisseur sachant que celle-</w:t>
      </w:r>
      <w:r w:rsidR="0039639A" w:rsidRPr="001258B9">
        <w:rPr>
          <w:rFonts w:ascii="Arial Narrow" w:hAnsi="Arial Narrow"/>
          <w:b/>
          <w:highlight w:val="yellow"/>
        </w:rPr>
        <w:t xml:space="preserve">ci ne saurait excéder </w:t>
      </w:r>
      <w:r w:rsidR="00A209FD" w:rsidRPr="001258B9">
        <w:rPr>
          <w:rFonts w:ascii="Arial Narrow" w:hAnsi="Arial Narrow"/>
          <w:b/>
          <w:highlight w:val="yellow"/>
        </w:rPr>
        <w:t>19</w:t>
      </w:r>
      <w:r w:rsidR="0039639A" w:rsidRPr="001258B9">
        <w:rPr>
          <w:rFonts w:ascii="Arial Narrow" w:hAnsi="Arial Narrow"/>
          <w:b/>
          <w:highlight w:val="yellow"/>
        </w:rPr>
        <w:t>%</w:t>
      </w:r>
      <w:r w:rsidR="00146C6B" w:rsidRPr="001258B9">
        <w:rPr>
          <w:rFonts w:ascii="Arial Narrow" w:hAnsi="Arial Narrow"/>
          <w:b/>
          <w:highlight w:val="yellow"/>
        </w:rPr>
        <w:t>.</w:t>
      </w:r>
    </w:p>
    <w:p w14:paraId="0E317085" w14:textId="77777777" w:rsidR="00E8028F" w:rsidRPr="00E8028F" w:rsidRDefault="00E8028F" w:rsidP="003A0E64">
      <w:pPr>
        <w:pStyle w:val="Paragraphedeliste"/>
        <w:spacing w:after="0" w:line="360" w:lineRule="auto"/>
        <w:ind w:left="0"/>
        <w:jc w:val="both"/>
        <w:rPr>
          <w:rFonts w:ascii="Arial Narrow" w:hAnsi="Arial Narrow"/>
        </w:rPr>
      </w:pPr>
    </w:p>
    <w:p w14:paraId="65F55377" w14:textId="77777777" w:rsidR="007B4DDF" w:rsidRDefault="0039639A" w:rsidP="003A0E64">
      <w:pPr>
        <w:spacing w:after="0" w:line="360" w:lineRule="auto"/>
        <w:jc w:val="both"/>
        <w:rPr>
          <w:rFonts w:ascii="Arial Narrow" w:hAnsi="Arial Narrow"/>
        </w:rPr>
      </w:pPr>
      <w:r w:rsidRPr="00E8028F">
        <w:rPr>
          <w:rFonts w:ascii="Arial Narrow" w:hAnsi="Arial Narrow"/>
        </w:rPr>
        <w:t xml:space="preserve">Le titulaire devra transmettre à l’appui du devis le référencement du fournisseur qui mentionne le prix d’achat. </w:t>
      </w:r>
    </w:p>
    <w:p w14:paraId="3D2B9455" w14:textId="0777657D" w:rsidR="007B4DDF" w:rsidRDefault="007B4DDF" w:rsidP="003A0E64">
      <w:pPr>
        <w:spacing w:after="0" w:line="360" w:lineRule="auto"/>
        <w:jc w:val="both"/>
        <w:rPr>
          <w:rFonts w:ascii="Arial Narrow" w:hAnsi="Arial Narrow"/>
        </w:rPr>
      </w:pPr>
    </w:p>
    <w:p w14:paraId="32B4A30A" w14:textId="38BCC703" w:rsidR="0039639A" w:rsidRPr="00E8028F" w:rsidRDefault="0039639A" w:rsidP="003A0E64">
      <w:pPr>
        <w:spacing w:after="0" w:line="360" w:lineRule="auto"/>
        <w:jc w:val="both"/>
        <w:rPr>
          <w:rFonts w:ascii="Arial Narrow" w:hAnsi="Arial Narrow"/>
        </w:rPr>
      </w:pPr>
      <w:r w:rsidRPr="00E8028F">
        <w:rPr>
          <w:rFonts w:ascii="Arial Narrow" w:hAnsi="Arial Narrow"/>
        </w:rPr>
        <w:t>L’EPMO se réserve la possibilité d’accepter le devis ou de demander au titulaire de revoir le prix proposé ou encore de trouver un autre fournisseur.</w:t>
      </w:r>
    </w:p>
    <w:p w14:paraId="4AA8B12C" w14:textId="77777777" w:rsidR="0039639A" w:rsidRPr="00546FE0" w:rsidRDefault="0039639A" w:rsidP="00D72FEE">
      <w:pPr>
        <w:pStyle w:val="En-tte"/>
        <w:spacing w:after="120" w:line="360" w:lineRule="auto"/>
        <w:jc w:val="both"/>
        <w:rPr>
          <w:rFonts w:ascii="Arial Narrow" w:hAnsi="Arial Narrow"/>
        </w:rPr>
      </w:pPr>
    </w:p>
    <w:p w14:paraId="651AE959" w14:textId="77777777" w:rsidR="005D555E" w:rsidRPr="00546FE0" w:rsidRDefault="005D555E">
      <w:pPr>
        <w:pStyle w:val="En-tte"/>
        <w:spacing w:after="120" w:line="360" w:lineRule="auto"/>
        <w:jc w:val="both"/>
        <w:rPr>
          <w:rFonts w:ascii="Arial Narrow" w:hAnsi="Arial Narrow"/>
        </w:rPr>
      </w:pPr>
      <w:r w:rsidRPr="00546FE0">
        <w:rPr>
          <w:rFonts w:ascii="Arial Narrow" w:hAnsi="Arial Narrow"/>
        </w:rPr>
        <w:t>Des bons de commande peuvent être émis jusqu’au dernier jour de validité de l’accord-cadre. Néanmoins, le délai d’exécution d’un bon de commande ne saurait excéder de manière excessive la durée contractuelle de l’accord-cadre.</w:t>
      </w:r>
    </w:p>
    <w:p w14:paraId="440DC83B" w14:textId="6E1542E3" w:rsidR="001A0213" w:rsidRPr="00546FE0" w:rsidRDefault="001A0213" w:rsidP="00D9355E">
      <w:pPr>
        <w:pStyle w:val="En-tte"/>
        <w:tabs>
          <w:tab w:val="clear" w:pos="4536"/>
          <w:tab w:val="clear" w:pos="9072"/>
        </w:tabs>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ADMISSION DES PRESTATIONS</w:t>
      </w:r>
    </w:p>
    <w:p w14:paraId="1FE130AE" w14:textId="71F9A431" w:rsidR="00586654" w:rsidRDefault="00586654" w:rsidP="00586654">
      <w:pPr>
        <w:spacing w:after="120" w:line="360" w:lineRule="auto"/>
        <w:rPr>
          <w:rFonts w:ascii="Arial Narrow" w:hAnsi="Arial Narrow"/>
          <w:b/>
          <w:bCs/>
          <w:lang w:eastAsia="fr-FR"/>
        </w:rPr>
      </w:pPr>
      <w:r w:rsidRPr="00586654">
        <w:rPr>
          <w:rFonts w:ascii="Arial Narrow" w:hAnsi="Arial Narrow"/>
          <w:b/>
          <w:bCs/>
          <w:lang w:eastAsia="fr-FR"/>
        </w:rPr>
        <w:t xml:space="preserve">Par dérogation aux articles </w:t>
      </w:r>
      <w:r w:rsidRPr="00973FC0">
        <w:rPr>
          <w:rFonts w:ascii="Arial Narrow" w:hAnsi="Arial Narrow"/>
          <w:b/>
          <w:bCs/>
          <w:lang w:eastAsia="fr-FR"/>
        </w:rPr>
        <w:t>27 à 30 du</w:t>
      </w:r>
      <w:r w:rsidRPr="00586654">
        <w:rPr>
          <w:rFonts w:ascii="Arial Narrow" w:hAnsi="Arial Narrow"/>
          <w:b/>
          <w:bCs/>
          <w:lang w:eastAsia="fr-FR"/>
        </w:rPr>
        <w:t xml:space="preserve"> CCAG FCS, les opérations de vérification seront réalisées dans les conditions suivantes.</w:t>
      </w:r>
    </w:p>
    <w:p w14:paraId="4DD2E366" w14:textId="568F23CF" w:rsidR="00C10FFE" w:rsidRPr="00A21B58" w:rsidRDefault="00C10FFE" w:rsidP="00A21B58">
      <w:pPr>
        <w:pStyle w:val="En-tte"/>
        <w:spacing w:after="120" w:line="360" w:lineRule="auto"/>
        <w:jc w:val="both"/>
        <w:rPr>
          <w:rFonts w:ascii="Arial Narrow" w:hAnsi="Arial Narrow"/>
        </w:rPr>
      </w:pPr>
      <w:r w:rsidRPr="00A21B58">
        <w:rPr>
          <w:rFonts w:ascii="Arial Narrow" w:hAnsi="Arial Narrow"/>
        </w:rPr>
        <w:t>Les prestations de maintenance sont soumises à des vérifications quantitatives et qualitatives, destinées à constater qu'elles répondent aux stipulations du marché. La présence du titulaire n’est pas requise pour les opérations de vérification.</w:t>
      </w:r>
    </w:p>
    <w:p w14:paraId="4DF75153" w14:textId="68ADF978" w:rsidR="00C10FFE" w:rsidRPr="00A21B58" w:rsidRDefault="00C10FFE" w:rsidP="00A21B58">
      <w:pPr>
        <w:pStyle w:val="En-tte"/>
        <w:spacing w:after="120" w:line="360" w:lineRule="auto"/>
        <w:jc w:val="both"/>
        <w:rPr>
          <w:rFonts w:ascii="Arial Narrow" w:hAnsi="Arial Narrow"/>
        </w:rPr>
      </w:pPr>
      <w:r w:rsidRPr="00A21B58">
        <w:rPr>
          <w:rFonts w:ascii="Arial Narrow" w:hAnsi="Arial Narrow"/>
        </w:rPr>
        <w:t xml:space="preserve">L’EPMO contrôle la qualité des prestations effectuées et peut se faire assister pour cette mission par un bureau de contrôle ou l’organisme de son choix. Les frais de vérification sont alors à la charge de l’EPMO. </w:t>
      </w:r>
    </w:p>
    <w:p w14:paraId="25C35A57" w14:textId="642CFF10" w:rsidR="00C10FFE" w:rsidRPr="00A21B58" w:rsidRDefault="00C10FFE" w:rsidP="00A21B58">
      <w:pPr>
        <w:pStyle w:val="En-tte"/>
        <w:spacing w:after="120" w:line="360" w:lineRule="auto"/>
        <w:jc w:val="both"/>
        <w:rPr>
          <w:rFonts w:ascii="Arial Narrow" w:hAnsi="Arial Narrow"/>
        </w:rPr>
      </w:pPr>
      <w:r w:rsidRPr="00A21B58">
        <w:rPr>
          <w:rFonts w:ascii="Arial Narrow" w:hAnsi="Arial Narrow"/>
        </w:rPr>
        <w:t>Les éléments suivants sont notamment pris en compte pour le contrôle des prestations :</w:t>
      </w:r>
    </w:p>
    <w:p w14:paraId="47A1C99E" w14:textId="77777777" w:rsidR="00C10FFE" w:rsidRPr="00BD51F8" w:rsidRDefault="00C10FFE" w:rsidP="00F7691F">
      <w:pPr>
        <w:pStyle w:val="Paragraphedeliste"/>
        <w:widowControl w:val="0"/>
        <w:numPr>
          <w:ilvl w:val="0"/>
          <w:numId w:val="21"/>
        </w:numPr>
        <w:suppressAutoHyphens/>
        <w:spacing w:after="120" w:line="360" w:lineRule="auto"/>
        <w:ind w:left="714" w:hanging="357"/>
        <w:contextualSpacing w:val="0"/>
        <w:rPr>
          <w:rFonts w:ascii="Arial Narrow" w:hAnsi="Arial Narrow" w:cs="Arial"/>
        </w:rPr>
      </w:pPr>
      <w:r w:rsidRPr="00BD51F8">
        <w:rPr>
          <w:rFonts w:ascii="Arial Narrow" w:hAnsi="Arial Narrow" w:cs="Arial"/>
        </w:rPr>
        <w:t>Tenue du carnet d'entretien</w:t>
      </w:r>
    </w:p>
    <w:p w14:paraId="24C07C34" w14:textId="77777777" w:rsidR="00C10FFE" w:rsidRPr="00BD51F8" w:rsidRDefault="00C10FFE" w:rsidP="00F7691F">
      <w:pPr>
        <w:pStyle w:val="Paragraphedeliste"/>
        <w:widowControl w:val="0"/>
        <w:numPr>
          <w:ilvl w:val="0"/>
          <w:numId w:val="21"/>
        </w:numPr>
        <w:suppressAutoHyphens/>
        <w:spacing w:after="120" w:line="360" w:lineRule="auto"/>
        <w:ind w:left="714" w:hanging="357"/>
        <w:contextualSpacing w:val="0"/>
        <w:rPr>
          <w:rFonts w:ascii="Arial Narrow" w:hAnsi="Arial Narrow" w:cs="Arial"/>
        </w:rPr>
      </w:pPr>
      <w:r w:rsidRPr="00BD51F8">
        <w:rPr>
          <w:rFonts w:ascii="Arial Narrow" w:hAnsi="Arial Narrow" w:cs="Arial"/>
        </w:rPr>
        <w:t>Rapport du bureau de contrôle et suites données par le titulaire</w:t>
      </w:r>
    </w:p>
    <w:p w14:paraId="0769AD83" w14:textId="77777777" w:rsidR="00C10FFE" w:rsidRPr="00BD51F8" w:rsidRDefault="00C10FFE" w:rsidP="00F7691F">
      <w:pPr>
        <w:pStyle w:val="Paragraphedeliste"/>
        <w:widowControl w:val="0"/>
        <w:numPr>
          <w:ilvl w:val="0"/>
          <w:numId w:val="21"/>
        </w:numPr>
        <w:suppressAutoHyphens/>
        <w:spacing w:after="120" w:line="360" w:lineRule="auto"/>
        <w:ind w:left="714" w:hanging="357"/>
        <w:contextualSpacing w:val="0"/>
        <w:rPr>
          <w:rFonts w:ascii="Arial Narrow" w:hAnsi="Arial Narrow" w:cs="Arial"/>
        </w:rPr>
      </w:pPr>
      <w:r w:rsidRPr="00BD51F8">
        <w:rPr>
          <w:rFonts w:ascii="Arial Narrow" w:hAnsi="Arial Narrow" w:cs="Arial"/>
        </w:rPr>
        <w:t xml:space="preserve">Rapport d'intervention mensuel  </w:t>
      </w:r>
    </w:p>
    <w:p w14:paraId="7C322D2A" w14:textId="77777777" w:rsidR="00C10FFE" w:rsidRPr="00BD51F8" w:rsidRDefault="00C10FFE" w:rsidP="00F7691F">
      <w:pPr>
        <w:pStyle w:val="Paragraphedeliste"/>
        <w:widowControl w:val="0"/>
        <w:numPr>
          <w:ilvl w:val="0"/>
          <w:numId w:val="21"/>
        </w:numPr>
        <w:suppressAutoHyphens/>
        <w:spacing w:after="120" w:line="360" w:lineRule="auto"/>
        <w:ind w:left="714" w:hanging="357"/>
        <w:contextualSpacing w:val="0"/>
        <w:rPr>
          <w:rFonts w:ascii="Arial Narrow" w:hAnsi="Arial Narrow" w:cs="Arial"/>
        </w:rPr>
      </w:pPr>
      <w:r w:rsidRPr="00BD51F8">
        <w:rPr>
          <w:rFonts w:ascii="Arial Narrow" w:hAnsi="Arial Narrow" w:cs="Arial"/>
        </w:rPr>
        <w:t>Rapport d’activité annuel</w:t>
      </w:r>
    </w:p>
    <w:p w14:paraId="2BFB9567" w14:textId="77777777" w:rsidR="00C10FFE" w:rsidRPr="00BD51F8" w:rsidRDefault="00C10FFE" w:rsidP="00F7691F">
      <w:pPr>
        <w:pStyle w:val="Paragraphedeliste"/>
        <w:widowControl w:val="0"/>
        <w:numPr>
          <w:ilvl w:val="0"/>
          <w:numId w:val="21"/>
        </w:numPr>
        <w:suppressAutoHyphens/>
        <w:spacing w:after="120" w:line="360" w:lineRule="auto"/>
        <w:ind w:left="714" w:hanging="357"/>
        <w:contextualSpacing w:val="0"/>
        <w:rPr>
          <w:rFonts w:ascii="Arial Narrow" w:hAnsi="Arial Narrow" w:cs="Arial"/>
        </w:rPr>
      </w:pPr>
      <w:r w:rsidRPr="00BD51F8">
        <w:rPr>
          <w:rFonts w:ascii="Arial Narrow" w:hAnsi="Arial Narrow" w:cs="Arial"/>
        </w:rPr>
        <w:t>Cahier de quart de la centrale de surveillance</w:t>
      </w:r>
    </w:p>
    <w:p w14:paraId="6D9F4EAE" w14:textId="77777777" w:rsidR="00C10FFE" w:rsidRPr="00BD51F8" w:rsidRDefault="00C10FFE" w:rsidP="00F7691F">
      <w:pPr>
        <w:pStyle w:val="Paragraphedeliste"/>
        <w:widowControl w:val="0"/>
        <w:numPr>
          <w:ilvl w:val="0"/>
          <w:numId w:val="21"/>
        </w:numPr>
        <w:suppressAutoHyphens/>
        <w:spacing w:after="120" w:line="360" w:lineRule="auto"/>
        <w:ind w:left="714" w:hanging="357"/>
        <w:contextualSpacing w:val="0"/>
        <w:rPr>
          <w:rFonts w:ascii="Arial Narrow" w:hAnsi="Arial Narrow" w:cs="Arial"/>
        </w:rPr>
      </w:pPr>
      <w:r w:rsidRPr="00BD51F8">
        <w:rPr>
          <w:rFonts w:ascii="Arial Narrow" w:hAnsi="Arial Narrow" w:cs="Arial"/>
        </w:rPr>
        <w:t>Inspections visuelles</w:t>
      </w:r>
    </w:p>
    <w:p w14:paraId="139A673E" w14:textId="77777777" w:rsidR="00C10FFE" w:rsidRPr="00BD51F8" w:rsidRDefault="00C10FFE" w:rsidP="00F7691F">
      <w:pPr>
        <w:pStyle w:val="Paragraphedeliste"/>
        <w:widowControl w:val="0"/>
        <w:numPr>
          <w:ilvl w:val="0"/>
          <w:numId w:val="21"/>
        </w:numPr>
        <w:suppressAutoHyphens/>
        <w:spacing w:after="120" w:line="360" w:lineRule="auto"/>
        <w:ind w:left="714" w:hanging="357"/>
        <w:contextualSpacing w:val="0"/>
        <w:rPr>
          <w:rFonts w:ascii="Arial Narrow" w:hAnsi="Arial Narrow" w:cs="Arial"/>
        </w:rPr>
      </w:pPr>
      <w:r w:rsidRPr="00BD51F8">
        <w:rPr>
          <w:rFonts w:ascii="Arial Narrow" w:hAnsi="Arial Narrow" w:cs="Arial"/>
        </w:rPr>
        <w:t>Qualité de l'information donnée en fin d'intervention par le titulaire</w:t>
      </w:r>
    </w:p>
    <w:p w14:paraId="25777D15" w14:textId="77777777" w:rsidR="00C10FFE" w:rsidRPr="00BD51F8" w:rsidRDefault="00C10FFE" w:rsidP="00F7691F">
      <w:pPr>
        <w:pStyle w:val="Paragraphedeliste"/>
        <w:widowControl w:val="0"/>
        <w:numPr>
          <w:ilvl w:val="0"/>
          <w:numId w:val="21"/>
        </w:numPr>
        <w:suppressAutoHyphens/>
        <w:spacing w:after="120" w:line="360" w:lineRule="auto"/>
        <w:ind w:left="714" w:hanging="357"/>
        <w:contextualSpacing w:val="0"/>
        <w:rPr>
          <w:rFonts w:ascii="Arial Narrow" w:hAnsi="Arial Narrow" w:cs="Arial"/>
        </w:rPr>
      </w:pPr>
      <w:r w:rsidRPr="00BD51F8">
        <w:rPr>
          <w:rFonts w:ascii="Arial Narrow" w:hAnsi="Arial Narrow" w:cs="Arial"/>
        </w:rPr>
        <w:t xml:space="preserve">Réponses aux demandes de l’E.P.M.O. </w:t>
      </w:r>
    </w:p>
    <w:p w14:paraId="74065402" w14:textId="5379EF65" w:rsidR="00C10FFE" w:rsidRPr="00BD51F8" w:rsidRDefault="00C10FFE" w:rsidP="00F7691F">
      <w:pPr>
        <w:pStyle w:val="Paragraphedeliste"/>
        <w:widowControl w:val="0"/>
        <w:numPr>
          <w:ilvl w:val="0"/>
          <w:numId w:val="21"/>
        </w:numPr>
        <w:suppressAutoHyphens/>
        <w:spacing w:after="120" w:line="360" w:lineRule="auto"/>
        <w:ind w:left="714" w:hanging="357"/>
        <w:contextualSpacing w:val="0"/>
        <w:rPr>
          <w:rFonts w:ascii="Arial Narrow" w:hAnsi="Arial Narrow" w:cs="Arial"/>
        </w:rPr>
      </w:pPr>
      <w:r w:rsidRPr="00BD51F8">
        <w:rPr>
          <w:rFonts w:ascii="Arial Narrow" w:hAnsi="Arial Narrow" w:cs="Arial"/>
        </w:rPr>
        <w:t>Consultation du système d’intervention et d’analyse du titulaire</w:t>
      </w:r>
    </w:p>
    <w:p w14:paraId="14498861" w14:textId="2587F394" w:rsidR="00194BD4" w:rsidRDefault="00194BD4">
      <w:pPr>
        <w:rPr>
          <w:rFonts w:ascii="Arial Narrow" w:hAnsi="Arial Narrow" w:cs="Arial"/>
        </w:rPr>
      </w:pPr>
      <w:r>
        <w:rPr>
          <w:rFonts w:ascii="Arial Narrow" w:hAnsi="Arial Narrow" w:cs="Arial"/>
        </w:rPr>
        <w:br w:type="page"/>
      </w:r>
    </w:p>
    <w:p w14:paraId="6B983F9E" w14:textId="77777777" w:rsidR="00E56B0C" w:rsidRPr="00023FFA" w:rsidRDefault="00E56B0C" w:rsidP="00E56B0C">
      <w:pPr>
        <w:pStyle w:val="Paragraphedeliste"/>
        <w:widowControl w:val="0"/>
        <w:suppressAutoHyphens/>
        <w:spacing w:after="120" w:line="360" w:lineRule="auto"/>
        <w:ind w:left="714"/>
        <w:contextualSpacing w:val="0"/>
        <w:rPr>
          <w:rFonts w:ascii="Arial Narrow" w:hAnsi="Arial Narrow" w:cs="Arial"/>
        </w:rPr>
      </w:pPr>
    </w:p>
    <w:p w14:paraId="31A9CBDB" w14:textId="77777777" w:rsidR="003C2DDE" w:rsidRPr="00DA3C1E" w:rsidRDefault="003C2DDE" w:rsidP="003C2DDE">
      <w:pPr>
        <w:pStyle w:val="En-tte"/>
        <w:numPr>
          <w:ilvl w:val="1"/>
          <w:numId w:val="22"/>
        </w:numPr>
        <w:tabs>
          <w:tab w:val="clear" w:pos="4536"/>
          <w:tab w:val="clear" w:pos="9072"/>
        </w:tabs>
        <w:spacing w:after="240" w:line="360" w:lineRule="auto"/>
        <w:ind w:hanging="720"/>
        <w:jc w:val="both"/>
        <w:rPr>
          <w:rFonts w:ascii="Arial Narrow" w:hAnsi="Arial Narrow"/>
          <w:b/>
        </w:rPr>
      </w:pPr>
      <w:r w:rsidRPr="00DA3C1E">
        <w:rPr>
          <w:rFonts w:ascii="Arial Narrow" w:hAnsi="Arial Narrow"/>
          <w:b/>
        </w:rPr>
        <w:t>Pour les prestations réalisées au forfait</w:t>
      </w:r>
    </w:p>
    <w:p w14:paraId="59FE5CC2" w14:textId="77777777" w:rsidR="003C2DDE" w:rsidRPr="00DA3C1E" w:rsidRDefault="003C2DDE" w:rsidP="003C2DDE">
      <w:pPr>
        <w:pStyle w:val="En-tte"/>
        <w:spacing w:after="120" w:line="360" w:lineRule="auto"/>
        <w:jc w:val="both"/>
        <w:rPr>
          <w:rFonts w:ascii="Arial Narrow" w:hAnsi="Arial Narrow"/>
        </w:rPr>
      </w:pPr>
      <w:r w:rsidRPr="00DA3C1E">
        <w:rPr>
          <w:rFonts w:ascii="Arial Narrow" w:hAnsi="Arial Narrow"/>
        </w:rPr>
        <w:t xml:space="preserve">Les prestations seront vérifiées au fur </w:t>
      </w:r>
      <w:r>
        <w:rPr>
          <w:rFonts w:ascii="Arial Narrow" w:hAnsi="Arial Narrow"/>
        </w:rPr>
        <w:t>et à mesure de leur exécution. L</w:t>
      </w:r>
      <w:r w:rsidRPr="00DA3C1E">
        <w:rPr>
          <w:rFonts w:ascii="Arial Narrow" w:hAnsi="Arial Narrow"/>
        </w:rPr>
        <w:t>’EPMO suivra les incidents survenus et leur délai de résolution.</w:t>
      </w:r>
    </w:p>
    <w:p w14:paraId="0E397444" w14:textId="7519B2EA" w:rsidR="002F2DB2" w:rsidRDefault="003C2DDE" w:rsidP="003C2DDE">
      <w:pPr>
        <w:pStyle w:val="En-tte"/>
        <w:spacing w:after="120" w:line="360" w:lineRule="auto"/>
        <w:jc w:val="both"/>
        <w:rPr>
          <w:rFonts w:ascii="Arial Narrow" w:hAnsi="Arial Narrow"/>
        </w:rPr>
      </w:pPr>
      <w:r w:rsidRPr="00DA3C1E">
        <w:rPr>
          <w:rFonts w:ascii="Arial Narrow" w:hAnsi="Arial Narrow"/>
        </w:rPr>
        <w:t xml:space="preserve">Par dérogation à l’article </w:t>
      </w:r>
      <w:r w:rsidR="006D726C">
        <w:rPr>
          <w:rFonts w:ascii="Arial Narrow" w:hAnsi="Arial Narrow"/>
        </w:rPr>
        <w:t>30.1</w:t>
      </w:r>
      <w:r w:rsidRPr="00DA3C1E">
        <w:rPr>
          <w:rFonts w:ascii="Arial Narrow" w:hAnsi="Arial Narrow"/>
        </w:rPr>
        <w:t xml:space="preserve"> du CCAG-</w:t>
      </w:r>
      <w:r>
        <w:rPr>
          <w:rFonts w:ascii="Arial Narrow" w:hAnsi="Arial Narrow"/>
        </w:rPr>
        <w:t>FCS</w:t>
      </w:r>
      <w:r w:rsidRPr="00DA3C1E">
        <w:rPr>
          <w:rFonts w:ascii="Arial Narrow" w:hAnsi="Arial Narrow"/>
        </w:rPr>
        <w:t xml:space="preserve">, le service fait, mentionné sur la demande de paiement, vaut </w:t>
      </w:r>
      <w:r w:rsidR="006D726C">
        <w:rPr>
          <w:rFonts w:ascii="Arial Narrow" w:hAnsi="Arial Narrow"/>
        </w:rPr>
        <w:t>admission</w:t>
      </w:r>
      <w:r w:rsidR="0018770A">
        <w:rPr>
          <w:rFonts w:ascii="Arial Narrow" w:hAnsi="Arial Narrow"/>
        </w:rPr>
        <w:t>.</w:t>
      </w:r>
    </w:p>
    <w:p w14:paraId="18D66CD4" w14:textId="77777777" w:rsidR="0039639A" w:rsidRDefault="0039639A" w:rsidP="003C2DDE">
      <w:pPr>
        <w:pStyle w:val="En-tte"/>
        <w:spacing w:after="120" w:line="360" w:lineRule="auto"/>
        <w:jc w:val="both"/>
        <w:rPr>
          <w:rFonts w:ascii="Arial Narrow" w:hAnsi="Arial Narrow"/>
        </w:rPr>
      </w:pPr>
    </w:p>
    <w:p w14:paraId="7AE6F35E" w14:textId="1F0415D8" w:rsidR="00B13342" w:rsidRPr="00DA3C1E" w:rsidRDefault="00B13342" w:rsidP="00B13342">
      <w:pPr>
        <w:pStyle w:val="En-tte"/>
        <w:numPr>
          <w:ilvl w:val="1"/>
          <w:numId w:val="22"/>
        </w:numPr>
        <w:tabs>
          <w:tab w:val="clear" w:pos="4536"/>
          <w:tab w:val="clear" w:pos="9072"/>
        </w:tabs>
        <w:spacing w:after="240" w:line="360" w:lineRule="auto"/>
        <w:ind w:hanging="720"/>
        <w:jc w:val="both"/>
        <w:rPr>
          <w:rFonts w:ascii="Arial Narrow" w:hAnsi="Arial Narrow"/>
          <w:b/>
        </w:rPr>
      </w:pPr>
      <w:r>
        <w:rPr>
          <w:rFonts w:ascii="Arial Narrow" w:hAnsi="Arial Narrow"/>
          <w:b/>
        </w:rPr>
        <w:t>Pour les</w:t>
      </w:r>
      <w:r w:rsidRPr="00DA3C1E">
        <w:rPr>
          <w:rFonts w:ascii="Arial Narrow" w:hAnsi="Arial Narrow"/>
          <w:b/>
        </w:rPr>
        <w:t xml:space="preserve"> prestations réalisées au titre de la part à commande</w:t>
      </w:r>
      <w:r>
        <w:rPr>
          <w:rFonts w:ascii="Arial Narrow" w:hAnsi="Arial Narrow"/>
          <w:b/>
        </w:rPr>
        <w:t xml:space="preserve"> </w:t>
      </w:r>
    </w:p>
    <w:p w14:paraId="09135BEE" w14:textId="0940F398" w:rsidR="00B13342" w:rsidRPr="003616F5" w:rsidRDefault="00B13342" w:rsidP="00B13342">
      <w:pPr>
        <w:pStyle w:val="En-tte"/>
        <w:spacing w:after="120" w:line="360" w:lineRule="auto"/>
        <w:jc w:val="both"/>
        <w:rPr>
          <w:rFonts w:ascii="Arial Narrow" w:hAnsi="Arial Narrow"/>
        </w:rPr>
      </w:pPr>
      <w:r w:rsidRPr="003616F5">
        <w:rPr>
          <w:rFonts w:ascii="Arial Narrow" w:hAnsi="Arial Narrow"/>
        </w:rPr>
        <w:t xml:space="preserve">Par dérogation </w:t>
      </w:r>
      <w:r>
        <w:rPr>
          <w:rFonts w:ascii="Arial Narrow" w:hAnsi="Arial Narrow"/>
        </w:rPr>
        <w:t>aux articles</w:t>
      </w:r>
      <w:r w:rsidRPr="003616F5">
        <w:rPr>
          <w:rFonts w:ascii="Arial Narrow" w:hAnsi="Arial Narrow"/>
        </w:rPr>
        <w:t xml:space="preserve"> 27 à 30 du CCAG-FCS, les prestations seront vérifiées, pour chaque bon de commande, une fois réalisée les prestations </w:t>
      </w:r>
      <w:r w:rsidR="00194BD4">
        <w:rPr>
          <w:rFonts w:ascii="Arial Narrow" w:hAnsi="Arial Narrow"/>
        </w:rPr>
        <w:t>du bon de commande</w:t>
      </w:r>
      <w:r w:rsidR="00FD3BFA">
        <w:rPr>
          <w:rFonts w:ascii="Arial Narrow" w:hAnsi="Arial Narrow"/>
        </w:rPr>
        <w:t>.</w:t>
      </w:r>
    </w:p>
    <w:p w14:paraId="46BA79D3" w14:textId="77777777" w:rsidR="00B13342" w:rsidRPr="00DA3C1E" w:rsidRDefault="00B13342" w:rsidP="00B13342">
      <w:pPr>
        <w:pStyle w:val="En-tte"/>
        <w:spacing w:after="120" w:line="360" w:lineRule="auto"/>
        <w:jc w:val="both"/>
        <w:rPr>
          <w:rFonts w:ascii="Arial Narrow" w:hAnsi="Arial Narrow"/>
        </w:rPr>
      </w:pPr>
      <w:r w:rsidRPr="003616F5">
        <w:rPr>
          <w:rFonts w:ascii="Arial Narrow" w:hAnsi="Arial Narrow"/>
        </w:rPr>
        <w:t>Cette vérification consiste en une vérification qualitative et quantitative. L’admission de ces prestations prend la forme d’un simple courriel ou d’un service fait, mentionné sur la demande de paiement.</w:t>
      </w:r>
    </w:p>
    <w:p w14:paraId="2ADBAFF0" w14:textId="77777777" w:rsidR="00C10FFE" w:rsidRPr="00546FE0" w:rsidRDefault="00C10FFE" w:rsidP="00D9355E">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4D118276"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CCAG-FCS.</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167ABEDD"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CCAG-FCS.</w:t>
      </w:r>
    </w:p>
    <w:p w14:paraId="20A08148"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4151637B" w14:textId="77777777" w:rsidR="006F6B67" w:rsidRPr="00546FE0" w:rsidRDefault="006F6B67" w:rsidP="006F6B6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RESPONSABILITE SOCIETALE</w:t>
      </w:r>
    </w:p>
    <w:p w14:paraId="6A624A89" w14:textId="77777777" w:rsidR="006F6B67" w:rsidRDefault="006F6B67" w:rsidP="006F6B67">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Pr>
          <w:rFonts w:ascii="Arial Narrow" w:hAnsi="Arial Narrow"/>
        </w:rPr>
        <w:t>EPMO-VGE</w:t>
      </w:r>
      <w:r w:rsidRPr="00546FE0">
        <w:rPr>
          <w:rFonts w:ascii="Arial Narrow" w:hAnsi="Arial Narrow"/>
        </w:rPr>
        <w:t xml:space="preserve"> est engagé dans une démarche de responsabilité sociétale ambitieuse inscrite dans le cœur de ses missions de service public et décrite dans la Stratégie RSO 2021-2024 disponible </w:t>
      </w:r>
      <w:r>
        <w:rPr>
          <w:rFonts w:ascii="Arial Narrow" w:hAnsi="Arial Narrow"/>
        </w:rPr>
        <w:t xml:space="preserve">sur demande. Cette démarche recouvre l’ensemble des missions de l’Etablissement ; elle a pour objet l’intégration systématique des enjeux sociaux et environnementaux dans toutes les activités. L’EPMO-VGE s’inscrit entre autres dans la transition écologique à travers trois axes d’action principaux : sobriété énergétique, </w:t>
      </w:r>
      <w:proofErr w:type="spellStart"/>
      <w:r>
        <w:rPr>
          <w:rFonts w:ascii="Arial Narrow" w:hAnsi="Arial Narrow"/>
        </w:rPr>
        <w:t>décarbonation</w:t>
      </w:r>
      <w:proofErr w:type="spellEnd"/>
      <w:r>
        <w:rPr>
          <w:rFonts w:ascii="Arial Narrow" w:hAnsi="Arial Narrow"/>
        </w:rPr>
        <w:t xml:space="preserve">, économie circulaire. </w:t>
      </w:r>
    </w:p>
    <w:p w14:paraId="57D25657" w14:textId="77777777" w:rsidR="006F6B67" w:rsidRPr="00546FE0" w:rsidRDefault="006F6B67" w:rsidP="006F6B67">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3B472903" w14:textId="77777777" w:rsidR="006F6B67" w:rsidRDefault="006F6B67" w:rsidP="006F6B67">
      <w:pPr>
        <w:pStyle w:val="En-tte"/>
        <w:tabs>
          <w:tab w:val="clear" w:pos="4536"/>
          <w:tab w:val="clear" w:pos="9072"/>
        </w:tabs>
        <w:spacing w:after="120" w:line="360" w:lineRule="auto"/>
        <w:jc w:val="both"/>
        <w:rPr>
          <w:rFonts w:ascii="Arial Narrow" w:hAnsi="Arial Narrow"/>
        </w:rPr>
      </w:pPr>
      <w:r w:rsidRPr="00546FE0">
        <w:rPr>
          <w:rFonts w:ascii="Arial Narrow" w:hAnsi="Arial Narrow"/>
        </w:rPr>
        <w:lastRenderedPageBreak/>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487A8216" w14:textId="4249180C" w:rsidR="00560BA6" w:rsidRPr="00560BA6" w:rsidRDefault="00560BA6" w:rsidP="00560BA6">
      <w:pPr>
        <w:spacing w:after="0" w:line="360" w:lineRule="auto"/>
        <w:jc w:val="both"/>
        <w:rPr>
          <w:rFonts w:ascii="Arial Narrow" w:hAnsi="Arial Narrow"/>
        </w:rPr>
      </w:pPr>
      <w:r w:rsidRPr="00560BA6">
        <w:rPr>
          <w:rFonts w:ascii="Arial Narrow" w:hAnsi="Arial Narrow"/>
        </w:rPr>
        <w:t>Enfin, il est attendu du titulaire qu’il participe au suivi de l’empreinte carbone de l’E.P.</w:t>
      </w:r>
      <w:proofErr w:type="gramStart"/>
      <w:r w:rsidRPr="00560BA6">
        <w:rPr>
          <w:rFonts w:ascii="Arial Narrow" w:hAnsi="Arial Narrow"/>
        </w:rPr>
        <w:t>M.O</w:t>
      </w:r>
      <w:proofErr w:type="gramEnd"/>
      <w:r w:rsidR="006F6B34">
        <w:rPr>
          <w:rFonts w:ascii="Arial Narrow" w:hAnsi="Arial Narrow"/>
        </w:rPr>
        <w:t xml:space="preserve"> </w:t>
      </w:r>
      <w:r w:rsidRPr="00560BA6">
        <w:rPr>
          <w:rFonts w:ascii="Arial Narrow" w:hAnsi="Arial Narrow"/>
        </w:rPr>
        <w:t xml:space="preserve">-VGE, notamment lors de la réalisation du Bilan Carbone, en fournissant les données demandées par l’E.P.M.O-VGE. </w:t>
      </w:r>
    </w:p>
    <w:p w14:paraId="4FF33919" w14:textId="77777777" w:rsidR="00AB5DFE" w:rsidRDefault="00AB5DFE" w:rsidP="00AB5DFE">
      <w:pPr>
        <w:pStyle w:val="En-tte"/>
        <w:tabs>
          <w:tab w:val="clear" w:pos="4536"/>
          <w:tab w:val="clear" w:pos="9072"/>
        </w:tabs>
        <w:spacing w:after="120" w:line="360" w:lineRule="auto"/>
        <w:jc w:val="both"/>
        <w:rPr>
          <w:rFonts w:ascii="Arial Narrow" w:hAnsi="Arial Narrow"/>
        </w:rPr>
      </w:pPr>
    </w:p>
    <w:p w14:paraId="40E24874" w14:textId="77777777" w:rsidR="00AB5DFE" w:rsidRPr="00FC6128" w:rsidRDefault="00AB5DFE" w:rsidP="00AB5DFE">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0" w:name="_Toc181891871"/>
      <w:r w:rsidRPr="00FC6128">
        <w:rPr>
          <w:rFonts w:ascii="Arial Narrow" w:hAnsi="Arial Narrow"/>
          <w:b/>
        </w:rPr>
        <w:t>Flotte de véhicules</w:t>
      </w:r>
      <w:bookmarkEnd w:id="0"/>
      <w:r w:rsidRPr="00FC6128">
        <w:rPr>
          <w:rFonts w:ascii="Arial Narrow" w:hAnsi="Arial Narrow"/>
          <w:b/>
        </w:rPr>
        <w:t xml:space="preserve"> </w:t>
      </w:r>
    </w:p>
    <w:p w14:paraId="440251D9"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Les dispositions qui suivent s’appliquent aux véhicules mobilisés dans le cadre de l’exécution du marché, que la prestation soit réalisée en flotte propre ou externalisée.</w:t>
      </w:r>
    </w:p>
    <w:p w14:paraId="280AC527"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 xml:space="preserve">Le titulaire recourt, autant que possible et lorsque les trajets le permettent, à des motorisations alternatives au transport routier conventionnel utilisant l’essence ou le diesel comme carburant, dans un objectif de minimiser leur impact en matière d’émissions de gaz à effet de serre (GES). </w:t>
      </w:r>
    </w:p>
    <w:p w14:paraId="403A4268"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 xml:space="preserve">Les motorisations alternatives peuvent être les suivantes : électricité, hydrogène, gaz naturel (GNC/GNL) y compris biogaz, gaz de pétrole liquéfié (GPL), biocarburant non produit à partir d’huile de palme ou de soja, ou carburant de synthèse. </w:t>
      </w:r>
    </w:p>
    <w:p w14:paraId="68FB8A82"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p>
    <w:p w14:paraId="53ED9904" w14:textId="77777777" w:rsidR="00AB5DFE" w:rsidRPr="00FC6128" w:rsidRDefault="00AB5DFE" w:rsidP="00AB5DFE">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181891872"/>
      <w:r w:rsidRPr="00FC6128">
        <w:rPr>
          <w:rFonts w:ascii="Arial Narrow" w:hAnsi="Arial Narrow"/>
          <w:b/>
        </w:rPr>
        <w:t>Formation des personnels à l’éco-conduite</w:t>
      </w:r>
      <w:bookmarkEnd w:id="1"/>
      <w:r w:rsidRPr="00FC6128">
        <w:rPr>
          <w:rFonts w:ascii="Arial Narrow" w:hAnsi="Arial Narrow"/>
          <w:b/>
        </w:rPr>
        <w:t xml:space="preserve"> </w:t>
      </w:r>
    </w:p>
    <w:p w14:paraId="5D141661"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L’éco-conduite est une pratique permettant de limiter l’émission de gaz à effet de serre, de polluants</w:t>
      </w:r>
      <w:r w:rsidRPr="000F6A9C">
        <w:rPr>
          <w:rFonts w:cs="Arial"/>
          <w:color w:val="00000A"/>
          <w:szCs w:val="20"/>
        </w:rPr>
        <w:t xml:space="preserve"> </w:t>
      </w:r>
      <w:r w:rsidRPr="00FC6128">
        <w:rPr>
          <w:rFonts w:ascii="Arial Narrow" w:hAnsi="Arial Narrow"/>
        </w:rPr>
        <w:t>atmosphériques ainsi que les dépenses associées à la consommation de carburant.</w:t>
      </w:r>
    </w:p>
    <w:p w14:paraId="66AB5E9A" w14:textId="48174E0E"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 xml:space="preserve">En cas de mobilisation de sa propre flotte de véhicules, le titulaire veille à ce que l’ensemble des conducteurs mobilisés sur le marché soit formé à l'éco-conduite. Les conducteurs doivent être formés </w:t>
      </w:r>
      <w:r w:rsidR="0016493C" w:rsidRPr="00FC6128">
        <w:rPr>
          <w:rFonts w:ascii="Arial Narrow" w:hAnsi="Arial Narrow"/>
        </w:rPr>
        <w:t>à</w:t>
      </w:r>
      <w:r w:rsidRPr="00FC6128">
        <w:rPr>
          <w:rFonts w:ascii="Arial Narrow" w:hAnsi="Arial Narrow"/>
        </w:rPr>
        <w:t xml:space="preserve"> minima chaque année sur toute la durée d’exécution du marché.</w:t>
      </w:r>
    </w:p>
    <w:p w14:paraId="57593234" w14:textId="77777777" w:rsidR="00AB5DFE" w:rsidRPr="00FC6128" w:rsidRDefault="00AB5DFE" w:rsidP="00AB5DFE">
      <w:pPr>
        <w:pStyle w:val="En-tte"/>
        <w:tabs>
          <w:tab w:val="clear" w:pos="4536"/>
          <w:tab w:val="clear" w:pos="9072"/>
        </w:tabs>
        <w:spacing w:after="120" w:line="360" w:lineRule="auto"/>
        <w:jc w:val="both"/>
        <w:rPr>
          <w:rFonts w:ascii="Arial Narrow" w:hAnsi="Arial Narrow"/>
          <w:b/>
        </w:rPr>
      </w:pPr>
      <w:r w:rsidRPr="00FC6128">
        <w:rPr>
          <w:rFonts w:ascii="Arial Narrow" w:hAnsi="Arial Narrow"/>
          <w:b/>
        </w:rPr>
        <w:t>Le titulaire transmet à l’EPMO-VGE, à la fin de chaque année civile et au plus tard le 15 janvier de l’année suivante, sous format électronique facilement exploitable, les documents justifiant la formation effective de ses personnels conducteurs à l’éco-conduite : relevé annuel des sessions de formation des conducteurs, dates auxquelles elles ont eu lieu, durée, effectifs concernés, etc.</w:t>
      </w:r>
    </w:p>
    <w:p w14:paraId="13E7E330"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p>
    <w:p w14:paraId="42036A4D"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En cas d’externalisation de la prestation de transport, le titulaire incite les prestataires auxquels il fait appel à respecter cette obligation dans le cadre de l’exécution du marché.</w:t>
      </w:r>
    </w:p>
    <w:p w14:paraId="1811D8DA"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p>
    <w:p w14:paraId="7FB8E49B"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 xml:space="preserve">Dans les soixante (60) jours qui suivent la notification de l’accord-cadre, les titulaires </w:t>
      </w:r>
      <w:r>
        <w:rPr>
          <w:rFonts w:ascii="Arial Narrow" w:hAnsi="Arial Narrow"/>
        </w:rPr>
        <w:t>remet au responsable technique du marché</w:t>
      </w:r>
      <w:r w:rsidRPr="00FC6128">
        <w:rPr>
          <w:rFonts w:ascii="Arial Narrow" w:hAnsi="Arial Narrow"/>
        </w:rPr>
        <w:t xml:space="preserve"> les documents de preuve attestant de la réalité de ces pratiques (</w:t>
      </w:r>
      <w:proofErr w:type="spellStart"/>
      <w:r w:rsidRPr="00FC6128">
        <w:rPr>
          <w:rFonts w:ascii="Arial Narrow" w:hAnsi="Arial Narrow"/>
        </w:rPr>
        <w:t>e.g</w:t>
      </w:r>
      <w:proofErr w:type="spellEnd"/>
      <w:r w:rsidRPr="00FC6128">
        <w:rPr>
          <w:rFonts w:ascii="Arial Narrow" w:hAnsi="Arial Narrow"/>
        </w:rPr>
        <w:t xml:space="preserve">. certificat de formation </w:t>
      </w:r>
      <w:r w:rsidRPr="00FC6128">
        <w:rPr>
          <w:rFonts w:ascii="Arial Narrow" w:hAnsi="Arial Narrow"/>
        </w:rPr>
        <w:lastRenderedPageBreak/>
        <w:t xml:space="preserve">du personnel à l’éco-conduite, caractéristiques </w:t>
      </w:r>
      <w:proofErr w:type="spellStart"/>
      <w:r w:rsidRPr="00FC6128">
        <w:rPr>
          <w:rFonts w:ascii="Arial Narrow" w:hAnsi="Arial Narrow"/>
        </w:rPr>
        <w:t>éco-responsables</w:t>
      </w:r>
      <w:proofErr w:type="spellEnd"/>
      <w:r w:rsidRPr="00FC6128">
        <w:rPr>
          <w:rFonts w:ascii="Arial Narrow" w:hAnsi="Arial Narrow"/>
        </w:rPr>
        <w:t xml:space="preserve"> de la flotte de véhicules -motorisation électrique, faibles émissions, etc.-, attestations de formation des conducteurs indiquant les dates des formations, les noms et les prénoms des personnels formés).</w:t>
      </w:r>
    </w:p>
    <w:p w14:paraId="7326FE19"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 xml:space="preserve">Ces preuves seront remises sous format électronique à l’adresse de courriel qui sera communiqué lors de la réunion de lancement du marché </w:t>
      </w:r>
    </w:p>
    <w:p w14:paraId="39EF0596" w14:textId="70DBB5DD"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 xml:space="preserve">Le titulaire qui n’aurait pas transmis les documents se voit appliquer, pour chaque manquement, et après une mise en demeure restée infructueuse, une pénalité dont le montant est fixé à l’article </w:t>
      </w:r>
      <w:r w:rsidR="0016493C">
        <w:rPr>
          <w:rFonts w:ascii="Arial Narrow" w:hAnsi="Arial Narrow"/>
        </w:rPr>
        <w:t xml:space="preserve">19 </w:t>
      </w:r>
      <w:r w:rsidRPr="00FC6128">
        <w:rPr>
          <w:rFonts w:ascii="Arial Narrow" w:hAnsi="Arial Narrow"/>
        </w:rPr>
        <w:t>du présent CCAP.</w:t>
      </w:r>
    </w:p>
    <w:p w14:paraId="21B612C0" w14:textId="77777777" w:rsidR="00AB5DFE" w:rsidRDefault="00AB5DFE" w:rsidP="00AB5DFE">
      <w:pPr>
        <w:pStyle w:val="Paragraphedeliste"/>
        <w:autoSpaceDE w:val="0"/>
        <w:autoSpaceDN w:val="0"/>
        <w:adjustRightInd w:val="0"/>
        <w:ind w:left="0"/>
        <w:rPr>
          <w:rFonts w:cs="Arial"/>
          <w:color w:val="00000A"/>
          <w:szCs w:val="20"/>
        </w:rPr>
      </w:pPr>
    </w:p>
    <w:p w14:paraId="60FA1F9F" w14:textId="77777777" w:rsidR="00AB5DFE" w:rsidRPr="00FC6128" w:rsidRDefault="00AB5DFE" w:rsidP="00AB5DFE">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181891873"/>
      <w:r w:rsidRPr="00FC6128">
        <w:rPr>
          <w:rFonts w:ascii="Arial Narrow" w:hAnsi="Arial Narrow"/>
          <w:b/>
        </w:rPr>
        <w:t>Valorisation ou élimination des déchets</w:t>
      </w:r>
      <w:bookmarkEnd w:id="2"/>
    </w:p>
    <w:p w14:paraId="769C08BA"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La valorisation ou l’élimination des déchets générés lors de l’exécution des prestations est de la responsabilité du titulaire pendant la durée du marché. Le titulaire s’assure de la mise en place de collectes sélectives des déchets produits à l’occasion des prestations.</w:t>
      </w:r>
    </w:p>
    <w:p w14:paraId="5B07ABF9"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p>
    <w:p w14:paraId="281C1FE7" w14:textId="7FC5B5C8" w:rsidR="00AB5DFE" w:rsidRPr="001D1F28" w:rsidRDefault="00AB5DFE" w:rsidP="001D1F28">
      <w:pPr>
        <w:pStyle w:val="En-tte"/>
        <w:tabs>
          <w:tab w:val="clear" w:pos="4536"/>
          <w:tab w:val="clear" w:pos="9072"/>
        </w:tabs>
        <w:spacing w:after="120" w:line="360" w:lineRule="auto"/>
        <w:jc w:val="both"/>
        <w:rPr>
          <w:rFonts w:ascii="Arial Narrow" w:hAnsi="Arial Narrow"/>
        </w:rPr>
      </w:pPr>
      <w:r w:rsidRPr="00FC6128">
        <w:rPr>
          <w:rFonts w:ascii="Arial Narrow" w:hAnsi="Arial Narrow"/>
        </w:rPr>
        <w:t>Il veille à ce que soient effectuées les opérations de collecte, de transport, entreposage, tris éventuels, traitement des déchets générés par les prestations objet du marché vers les sites susceptibles de les recevoir, conformément à la réglementation en vigueur. Ainsi, chaque titulaire assure le traitement desdits déchets dans les conditions définies par la réglementation spécifique à chaque typologie de déchet, selon la hiérarchie des modes de traitement visée à l’article L. 541-1 du code de l’environnement :</w:t>
      </w:r>
    </w:p>
    <w:p w14:paraId="5A00973D" w14:textId="77777777" w:rsidR="00AB5DFE" w:rsidRPr="00FC6128" w:rsidRDefault="00AB5DFE" w:rsidP="00AB5DFE">
      <w:pPr>
        <w:pStyle w:val="En-tte"/>
        <w:numPr>
          <w:ilvl w:val="0"/>
          <w:numId w:val="29"/>
        </w:numPr>
        <w:tabs>
          <w:tab w:val="clear" w:pos="4536"/>
          <w:tab w:val="clear" w:pos="9072"/>
        </w:tabs>
        <w:spacing w:after="120" w:line="360" w:lineRule="auto"/>
        <w:jc w:val="both"/>
        <w:rPr>
          <w:rFonts w:ascii="Arial Narrow" w:hAnsi="Arial Narrow"/>
        </w:rPr>
      </w:pPr>
      <w:r w:rsidRPr="00FC6128">
        <w:rPr>
          <w:rFonts w:ascii="Arial Narrow" w:hAnsi="Arial Narrow"/>
        </w:rPr>
        <w:t>Préparation en vue de la réutilisation ;</w:t>
      </w:r>
    </w:p>
    <w:p w14:paraId="63B6F372" w14:textId="77777777" w:rsidR="00AB5DFE" w:rsidRDefault="00AB5DFE" w:rsidP="00AB5DFE">
      <w:pPr>
        <w:pStyle w:val="En-tte"/>
        <w:numPr>
          <w:ilvl w:val="0"/>
          <w:numId w:val="29"/>
        </w:numPr>
        <w:tabs>
          <w:tab w:val="clear" w:pos="4536"/>
          <w:tab w:val="clear" w:pos="9072"/>
        </w:tabs>
        <w:spacing w:after="120" w:line="360" w:lineRule="auto"/>
        <w:jc w:val="both"/>
        <w:rPr>
          <w:rFonts w:ascii="Arial Narrow" w:hAnsi="Arial Narrow"/>
        </w:rPr>
      </w:pPr>
      <w:r w:rsidRPr="00FC6128">
        <w:rPr>
          <w:rFonts w:ascii="Arial Narrow" w:hAnsi="Arial Narrow"/>
        </w:rPr>
        <w:t>Recyclage ;</w:t>
      </w:r>
    </w:p>
    <w:p w14:paraId="7CA65904" w14:textId="77777777" w:rsidR="00AB5DFE" w:rsidRDefault="00AB5DFE" w:rsidP="00AB5DFE">
      <w:pPr>
        <w:pStyle w:val="En-tte"/>
        <w:numPr>
          <w:ilvl w:val="0"/>
          <w:numId w:val="29"/>
        </w:numPr>
        <w:tabs>
          <w:tab w:val="clear" w:pos="4536"/>
          <w:tab w:val="clear" w:pos="9072"/>
        </w:tabs>
        <w:spacing w:after="120" w:line="360" w:lineRule="auto"/>
        <w:jc w:val="both"/>
        <w:rPr>
          <w:rFonts w:ascii="Arial Narrow" w:hAnsi="Arial Narrow"/>
        </w:rPr>
      </w:pPr>
      <w:r w:rsidRPr="00FC6128">
        <w:rPr>
          <w:rFonts w:ascii="Arial Narrow" w:hAnsi="Arial Narrow"/>
        </w:rPr>
        <w:t>Toute autre valorisation, notamment la valorisation énergétique ;</w:t>
      </w:r>
    </w:p>
    <w:p w14:paraId="14B1F148" w14:textId="77777777" w:rsidR="00AB5DFE" w:rsidRPr="00FC6128" w:rsidRDefault="00AB5DFE" w:rsidP="00AB5DFE">
      <w:pPr>
        <w:pStyle w:val="En-tte"/>
        <w:numPr>
          <w:ilvl w:val="0"/>
          <w:numId w:val="29"/>
        </w:numPr>
        <w:tabs>
          <w:tab w:val="clear" w:pos="4536"/>
          <w:tab w:val="clear" w:pos="9072"/>
        </w:tabs>
        <w:spacing w:after="120" w:line="360" w:lineRule="auto"/>
        <w:jc w:val="both"/>
        <w:rPr>
          <w:rFonts w:ascii="Arial Narrow" w:hAnsi="Arial Narrow"/>
        </w:rPr>
      </w:pPr>
      <w:r w:rsidRPr="00FC6128">
        <w:rPr>
          <w:rFonts w:ascii="Arial Narrow" w:hAnsi="Arial Narrow"/>
        </w:rPr>
        <w:t xml:space="preserve">En dernier recours, élimination. </w:t>
      </w:r>
    </w:p>
    <w:p w14:paraId="09821055"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p>
    <w:p w14:paraId="5DB930B1"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Le titulaire est tenu de produire, à la demande de l’</w:t>
      </w:r>
      <w:r>
        <w:rPr>
          <w:rFonts w:ascii="Arial Narrow" w:hAnsi="Arial Narrow"/>
        </w:rPr>
        <w:t>’EPMO-VGE</w:t>
      </w:r>
      <w:r w:rsidRPr="00FC6128">
        <w:rPr>
          <w:rFonts w:ascii="Arial Narrow" w:hAnsi="Arial Narrow"/>
        </w:rPr>
        <w:t xml:space="preserve">, les bordereaux de suivi des déchets (BSD, recensés dans le </w:t>
      </w:r>
      <w:proofErr w:type="spellStart"/>
      <w:r w:rsidRPr="00FC6128">
        <w:rPr>
          <w:rFonts w:ascii="Arial Narrow" w:hAnsi="Arial Narrow"/>
        </w:rPr>
        <w:t>Cerfa</w:t>
      </w:r>
      <w:proofErr w:type="spellEnd"/>
      <w:r w:rsidRPr="00FC6128">
        <w:rPr>
          <w:rFonts w:ascii="Arial Narrow" w:hAnsi="Arial Narrow"/>
        </w:rPr>
        <w:t xml:space="preserve"> numéro 12571) permettant de garantir la traçabilité du traitement des déchets issus de l’exécution de la prestation et la conformité de ce traitement aux exigences réglementaires.</w:t>
      </w:r>
    </w:p>
    <w:p w14:paraId="248DEFC3"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p>
    <w:p w14:paraId="7433D02C"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 xml:space="preserve">En cas d’évolution de la réglementation en cours d’exécution du marché, notamment en cas de création d’une nouvelle filière de responsabilité élargie des producteurs (« Filière REP »), le titulaire est tenu de se conformer aux éventuelles nouvelles obligations. </w:t>
      </w:r>
    </w:p>
    <w:p w14:paraId="02C61B01"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lastRenderedPageBreak/>
        <w:t xml:space="preserve">Dans ce cas, le titulaire est tenu d’informer l’acheteur des modalités de mise en œuvre de ces obligations dans le cadre de l’exécution du marché. </w:t>
      </w:r>
    </w:p>
    <w:p w14:paraId="0506A1F3"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L’évolution de la réglementation concerne, spécifiquement, le règlement européen « Ecoconception » publié au Journal officiel de l’Union européenne du 28 juin 2024. Ce règlement permet à la Commission européenne d’imposer la prise en compte dans les marchés publics de certaines exigences environnementales</w:t>
      </w:r>
    </w:p>
    <w:p w14:paraId="6A7F9DAD"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p>
    <w:p w14:paraId="3CD0E1BC" w14:textId="0CB6C233"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En cas de non-communication des éléments justificatifs</w:t>
      </w:r>
      <w:r>
        <w:rPr>
          <w:rFonts w:ascii="Arial Narrow" w:hAnsi="Arial Narrow"/>
        </w:rPr>
        <w:t xml:space="preserve"> prévus à l’article 11</w:t>
      </w:r>
      <w:r w:rsidRPr="00FC6128">
        <w:rPr>
          <w:rFonts w:ascii="Arial Narrow" w:hAnsi="Arial Narrow"/>
        </w:rPr>
        <w:t xml:space="preserve"> et à l’article </w:t>
      </w:r>
      <w:r>
        <w:rPr>
          <w:rFonts w:ascii="Arial Narrow" w:hAnsi="Arial Narrow"/>
        </w:rPr>
        <w:t>12</w:t>
      </w:r>
      <w:r w:rsidRPr="00FC6128">
        <w:rPr>
          <w:rFonts w:ascii="Arial Narrow" w:hAnsi="Arial Narrow"/>
        </w:rPr>
        <w:t xml:space="preserve"> C.C.A.P, l’</w:t>
      </w:r>
      <w:r w:rsidR="0016493C">
        <w:rPr>
          <w:rFonts w:ascii="Arial Narrow" w:hAnsi="Arial Narrow"/>
        </w:rPr>
        <w:t xml:space="preserve">EPMO </w:t>
      </w:r>
      <w:r w:rsidRPr="00FC6128">
        <w:rPr>
          <w:rFonts w:ascii="Arial Narrow" w:hAnsi="Arial Narrow"/>
        </w:rPr>
        <w:t xml:space="preserve">se réserve le droit d’appliquer les pénalités prévues à l’article </w:t>
      </w:r>
      <w:r w:rsidR="0016493C">
        <w:rPr>
          <w:rFonts w:ascii="Arial Narrow" w:hAnsi="Arial Narrow"/>
        </w:rPr>
        <w:t>19</w:t>
      </w:r>
      <w:r w:rsidRPr="00FC6128">
        <w:rPr>
          <w:rFonts w:ascii="Arial Narrow" w:hAnsi="Arial Narrow"/>
        </w:rPr>
        <w:t xml:space="preserve"> du CCAP.</w:t>
      </w:r>
    </w:p>
    <w:p w14:paraId="65EC5C85" w14:textId="77777777" w:rsidR="00AB5DFE" w:rsidRDefault="00AB5DFE" w:rsidP="00AB5DFE">
      <w:pPr>
        <w:pStyle w:val="Paragraphedeliste"/>
        <w:autoSpaceDE w:val="0"/>
        <w:autoSpaceDN w:val="0"/>
        <w:adjustRightInd w:val="0"/>
        <w:ind w:left="0"/>
        <w:rPr>
          <w:rFonts w:cs="Arial"/>
          <w:color w:val="00000A"/>
          <w:szCs w:val="20"/>
        </w:rPr>
      </w:pPr>
    </w:p>
    <w:p w14:paraId="37A6592C" w14:textId="77777777" w:rsidR="00AB5DFE" w:rsidRPr="00FC6128" w:rsidRDefault="00AB5DFE" w:rsidP="00AB5DFE">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3" w:name="_Toc181891874"/>
      <w:r w:rsidRPr="00FC6128">
        <w:rPr>
          <w:rFonts w:ascii="Arial Narrow" w:hAnsi="Arial Narrow"/>
          <w:b/>
        </w:rPr>
        <w:t>Bilan des émissions de gaz à effet de serre (BEGES)</w:t>
      </w:r>
      <w:bookmarkEnd w:id="3"/>
    </w:p>
    <w:p w14:paraId="03B7B452" w14:textId="77777777" w:rsidR="00AB5DFE" w:rsidRPr="00FC6128" w:rsidRDefault="00AB5DFE" w:rsidP="00AB5DFE">
      <w:pPr>
        <w:pStyle w:val="En-tte"/>
        <w:spacing w:after="120" w:line="360" w:lineRule="auto"/>
        <w:jc w:val="both"/>
        <w:rPr>
          <w:rFonts w:ascii="Arial Narrow" w:hAnsi="Arial Narrow"/>
        </w:rPr>
      </w:pPr>
      <w:r w:rsidRPr="00FC6128">
        <w:rPr>
          <w:rFonts w:ascii="Arial Narrow" w:hAnsi="Arial Narrow"/>
        </w:rPr>
        <w:t xml:space="preserve">En application de la circulaire n° 6425-SG du 21 novembre 2023 relative à l’engagement pour la transformation écologique de l’État, il est exigé des titulaires soumis à l’article L.229-25 du code de l'environnement, de communiquer à l’acheteur leur BEGES et plan de transition associé. </w:t>
      </w:r>
    </w:p>
    <w:p w14:paraId="398D5E45" w14:textId="77777777" w:rsidR="00AB5DFE" w:rsidRPr="00FC6128" w:rsidRDefault="00AB5DFE" w:rsidP="00AB5DFE">
      <w:pPr>
        <w:pStyle w:val="En-tte"/>
        <w:spacing w:after="120" w:line="360" w:lineRule="auto"/>
        <w:jc w:val="both"/>
        <w:rPr>
          <w:rFonts w:ascii="Arial Narrow" w:hAnsi="Arial Narrow"/>
          <w:b/>
        </w:rPr>
      </w:pPr>
      <w:r w:rsidRPr="00FC6128">
        <w:rPr>
          <w:rFonts w:ascii="Arial Narrow" w:hAnsi="Arial Narrow"/>
          <w:b/>
        </w:rPr>
        <w:t>Ce BEGES est obligatoire pour les entreprises employant 500 personnes en France.</w:t>
      </w:r>
    </w:p>
    <w:p w14:paraId="116093A4" w14:textId="6A04AEAE" w:rsidR="00AB5DFE" w:rsidRPr="00FC6128" w:rsidRDefault="00A2497B" w:rsidP="00AB5DFE">
      <w:pPr>
        <w:pStyle w:val="En-tte"/>
        <w:spacing w:after="120" w:line="360" w:lineRule="auto"/>
        <w:jc w:val="both"/>
        <w:rPr>
          <w:rFonts w:ascii="Arial Narrow" w:hAnsi="Arial Narrow"/>
          <w:b/>
        </w:rPr>
      </w:pPr>
      <w:r>
        <w:rPr>
          <w:rFonts w:ascii="Arial Narrow" w:hAnsi="Arial Narrow"/>
          <w:b/>
        </w:rPr>
        <w:t xml:space="preserve">Le </w:t>
      </w:r>
      <w:r w:rsidR="00AB5DFE" w:rsidRPr="00FC6128">
        <w:rPr>
          <w:rFonts w:ascii="Arial Narrow" w:hAnsi="Arial Narrow"/>
          <w:b/>
        </w:rPr>
        <w:t xml:space="preserve">BEGES </w:t>
      </w:r>
      <w:r w:rsidR="0016493C">
        <w:rPr>
          <w:rFonts w:ascii="Arial Narrow" w:hAnsi="Arial Narrow"/>
          <w:b/>
        </w:rPr>
        <w:t>sera communiqué</w:t>
      </w:r>
      <w:r w:rsidR="00AB5DFE" w:rsidRPr="00FC6128">
        <w:rPr>
          <w:rFonts w:ascii="Arial Narrow" w:hAnsi="Arial Narrow"/>
          <w:b/>
        </w:rPr>
        <w:t xml:space="preserve"> </w:t>
      </w:r>
      <w:r>
        <w:rPr>
          <w:rFonts w:ascii="Arial Narrow" w:hAnsi="Arial Narrow"/>
          <w:b/>
        </w:rPr>
        <w:t xml:space="preserve">au plus tard deux </w:t>
      </w:r>
      <w:r w:rsidR="0016493C">
        <w:rPr>
          <w:rFonts w:ascii="Arial Narrow" w:hAnsi="Arial Narrow"/>
          <w:b/>
        </w:rPr>
        <w:t xml:space="preserve">mois </w:t>
      </w:r>
      <w:r w:rsidR="00AB5DFE" w:rsidRPr="00FC6128">
        <w:rPr>
          <w:rFonts w:ascii="Arial Narrow" w:hAnsi="Arial Narrow"/>
          <w:b/>
        </w:rPr>
        <w:t>après la notification du marché</w:t>
      </w:r>
      <w:r w:rsidR="0016493C">
        <w:rPr>
          <w:rFonts w:ascii="Arial Narrow" w:hAnsi="Arial Narrow"/>
          <w:b/>
        </w:rPr>
        <w:t>. Si ce dernier</w:t>
      </w:r>
      <w:r w:rsidR="00AB5DFE" w:rsidRPr="00FC6128">
        <w:rPr>
          <w:rFonts w:ascii="Arial Narrow" w:hAnsi="Arial Narrow"/>
          <w:b/>
        </w:rPr>
        <w:t xml:space="preserve"> </w:t>
      </w:r>
      <w:r>
        <w:rPr>
          <w:rFonts w:ascii="Arial Narrow" w:hAnsi="Arial Narrow"/>
          <w:b/>
        </w:rPr>
        <w:t xml:space="preserve">arrivé à </w:t>
      </w:r>
      <w:r w:rsidR="00AB5DFE" w:rsidRPr="00FC6128">
        <w:rPr>
          <w:rFonts w:ascii="Arial Narrow" w:hAnsi="Arial Narrow"/>
          <w:b/>
        </w:rPr>
        <w:t xml:space="preserve">échéance durant l’exécution de ce dernier, </w:t>
      </w:r>
      <w:r>
        <w:rPr>
          <w:rFonts w:ascii="Arial Narrow" w:hAnsi="Arial Narrow"/>
          <w:b/>
        </w:rPr>
        <w:t>le</w:t>
      </w:r>
      <w:r w:rsidR="00AB5DFE" w:rsidRPr="00FC6128">
        <w:rPr>
          <w:rFonts w:ascii="Arial Narrow" w:hAnsi="Arial Narrow"/>
          <w:b/>
        </w:rPr>
        <w:t xml:space="preserve"> nouveau BEGES (et le plan de transition associé) </w:t>
      </w:r>
      <w:r w:rsidR="0016493C">
        <w:rPr>
          <w:rFonts w:ascii="Arial Narrow" w:hAnsi="Arial Narrow"/>
          <w:b/>
        </w:rPr>
        <w:t xml:space="preserve">sera transmis </w:t>
      </w:r>
      <w:r>
        <w:rPr>
          <w:rFonts w:ascii="Arial Narrow" w:hAnsi="Arial Narrow"/>
          <w:b/>
        </w:rPr>
        <w:t>à l’EPMO.</w:t>
      </w:r>
    </w:p>
    <w:p w14:paraId="410CB9E5" w14:textId="77777777" w:rsidR="00AB5DFE" w:rsidRPr="00FC6128" w:rsidRDefault="00AB5DFE" w:rsidP="00AB5DFE">
      <w:pPr>
        <w:pStyle w:val="En-tte"/>
        <w:spacing w:after="120" w:line="360" w:lineRule="auto"/>
        <w:jc w:val="both"/>
        <w:rPr>
          <w:rFonts w:ascii="Arial Narrow" w:hAnsi="Arial Narrow"/>
        </w:rPr>
      </w:pPr>
    </w:p>
    <w:p w14:paraId="20444C54" w14:textId="77777777" w:rsidR="00AB5DFE" w:rsidRPr="00FC6128" w:rsidRDefault="00AB5DFE" w:rsidP="00AB5DFE">
      <w:pPr>
        <w:pStyle w:val="En-tte"/>
        <w:spacing w:after="120" w:line="360" w:lineRule="auto"/>
        <w:jc w:val="both"/>
        <w:rPr>
          <w:rFonts w:ascii="Arial Narrow" w:hAnsi="Arial Narrow"/>
        </w:rPr>
      </w:pPr>
      <w:r w:rsidRPr="00FC6128">
        <w:rPr>
          <w:rFonts w:ascii="Arial Narrow" w:hAnsi="Arial Narrow"/>
        </w:rPr>
        <w:t>La communication du BEGES doit impérativement être effectuée en utilisant le site internet de l’ADEME (https://bilans-ges.ademe.fr/), conformément à l’article L. 229-25 du code de l'environnement et à l’arrêté du 25 janvier 2016 relatif à la plate-forme informatique pour la transmission des bilans d'émission de gaz à effet de serre.</w:t>
      </w:r>
    </w:p>
    <w:p w14:paraId="7730E696" w14:textId="77777777" w:rsidR="00AB5DFE" w:rsidRPr="00FC6128" w:rsidRDefault="00AB5DFE" w:rsidP="00AB5DFE">
      <w:pPr>
        <w:pStyle w:val="En-tte"/>
        <w:spacing w:after="120" w:line="360" w:lineRule="auto"/>
        <w:jc w:val="both"/>
        <w:rPr>
          <w:rFonts w:ascii="Arial Narrow" w:hAnsi="Arial Narrow"/>
        </w:rPr>
      </w:pPr>
      <w:r w:rsidRPr="00FC6128">
        <w:rPr>
          <w:rFonts w:ascii="Arial Narrow" w:hAnsi="Arial Narrow"/>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p>
    <w:p w14:paraId="686B224E" w14:textId="77777777" w:rsidR="00EE65EC" w:rsidRPr="00546FE0" w:rsidRDefault="00EE65EC"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6F1272C5" w14:textId="24B928CD" w:rsidR="00B42ED3" w:rsidRPr="00546FE0" w:rsidRDefault="00B42ED3" w:rsidP="00B42ED3">
      <w:pPr>
        <w:pStyle w:val="En-tte"/>
        <w:spacing w:after="120" w:line="360" w:lineRule="auto"/>
        <w:jc w:val="both"/>
        <w:rPr>
          <w:rFonts w:ascii="Arial Narrow" w:hAnsi="Arial Narrow"/>
        </w:rPr>
      </w:pPr>
      <w:r w:rsidRPr="00546FE0">
        <w:rPr>
          <w:rFonts w:ascii="Arial Narrow" w:hAnsi="Arial Narrow"/>
        </w:rPr>
        <w:t xml:space="preserve">Les prix des prestations sont des prix </w:t>
      </w:r>
      <w:r w:rsidR="006F6B67">
        <w:rPr>
          <w:rFonts w:ascii="Arial Narrow" w:hAnsi="Arial Narrow"/>
        </w:rPr>
        <w:t xml:space="preserve">forfaitaires et </w:t>
      </w:r>
      <w:r w:rsidRPr="00973FC0">
        <w:rPr>
          <w:rFonts w:ascii="Arial Narrow" w:hAnsi="Arial Narrow"/>
        </w:rPr>
        <w:t xml:space="preserve">unitaires. </w:t>
      </w:r>
      <w:r w:rsidRPr="00546FE0">
        <w:rPr>
          <w:rFonts w:ascii="Arial Narrow" w:hAnsi="Arial Narrow"/>
        </w:rPr>
        <w:t xml:space="preserve">Ils sont </w:t>
      </w:r>
      <w:r w:rsidR="000C10A2" w:rsidRPr="00546FE0">
        <w:rPr>
          <w:rFonts w:ascii="Arial Narrow" w:hAnsi="Arial Narrow"/>
        </w:rPr>
        <w:t xml:space="preserve">définitifs et </w:t>
      </w:r>
      <w:r w:rsidRPr="00546FE0">
        <w:rPr>
          <w:rFonts w:ascii="Arial Narrow" w:hAnsi="Arial Narrow"/>
        </w:rPr>
        <w:t xml:space="preserve">réputés comprendre toutes les charges fiscales ou autres frappant obligatoirement les prestations. </w:t>
      </w:r>
    </w:p>
    <w:p w14:paraId="06141038"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Ils sont révisables et établis sur la base des conditions économiques en vigueur au mois de remise des offres. Ce mois est appelé le « mois zéro » (M0).</w:t>
      </w:r>
    </w:p>
    <w:p w14:paraId="4ABEDA2F"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lastRenderedPageBreak/>
        <w:t>Cette révision s’effectue annuellement à la date anniversaire de la notification du marché par application de la formule suivante :</w:t>
      </w:r>
    </w:p>
    <w:p w14:paraId="0F61BA94" w14:textId="4F4530D6" w:rsidR="00D42020" w:rsidRPr="008921DA" w:rsidRDefault="00D42020" w:rsidP="00A13DA7">
      <w:pPr>
        <w:pStyle w:val="En-tte"/>
        <w:tabs>
          <w:tab w:val="clear" w:pos="4536"/>
          <w:tab w:val="clear" w:pos="9072"/>
        </w:tabs>
        <w:spacing w:after="160" w:line="259" w:lineRule="auto"/>
        <w:rPr>
          <w:rFonts w:ascii="Arial Narrow" w:hAnsi="Arial Narrow"/>
          <w:lang w:val="en-IE"/>
        </w:rPr>
      </w:pPr>
      <w:r w:rsidRPr="008921DA">
        <w:rPr>
          <w:rStyle w:val="spnmessagetext"/>
          <w:rFonts w:ascii="Arial Narrow" w:hAnsi="Arial Narrow"/>
          <w:lang w:val="en-IE"/>
        </w:rPr>
        <w:t xml:space="preserve">P = Po </w:t>
      </w:r>
      <w:r w:rsidRPr="00AF4EE8">
        <w:rPr>
          <w:rStyle w:val="spnmessagetext"/>
          <w:rFonts w:ascii="Arial Narrow" w:hAnsi="Arial Narrow"/>
          <w:b/>
          <w:lang w:val="en-IE"/>
        </w:rPr>
        <w:t>x</w:t>
      </w:r>
      <w:r w:rsidR="00AF4EE8" w:rsidRPr="00AF4EE8">
        <w:rPr>
          <w:rStyle w:val="spnmessagetext"/>
          <w:rFonts w:ascii="Arial Narrow" w:hAnsi="Arial Narrow"/>
          <w:b/>
          <w:lang w:val="en-IE"/>
        </w:rPr>
        <w:t xml:space="preserve"> </w:t>
      </w:r>
      <w:r w:rsidR="00AF4EE8" w:rsidRPr="00146C6B">
        <w:rPr>
          <w:rStyle w:val="spnmessagetext"/>
          <w:rFonts w:ascii="Arial Narrow" w:hAnsi="Arial Narrow"/>
          <w:b/>
          <w:lang w:val="en-IE"/>
        </w:rPr>
        <w:t>0</w:t>
      </w:r>
      <w:proofErr w:type="gramStart"/>
      <w:r w:rsidR="00AF4EE8" w:rsidRPr="00146C6B">
        <w:rPr>
          <w:rStyle w:val="spnmessagetext"/>
          <w:rFonts w:ascii="Arial Narrow" w:hAnsi="Arial Narrow"/>
          <w:b/>
          <w:lang w:val="en-IE"/>
        </w:rPr>
        <w:t>,</w:t>
      </w:r>
      <w:r w:rsidR="00523764" w:rsidRPr="00146C6B">
        <w:rPr>
          <w:rStyle w:val="spnmessagetext"/>
          <w:rFonts w:ascii="Arial Narrow" w:hAnsi="Arial Narrow"/>
          <w:b/>
          <w:lang w:val="en-IE"/>
        </w:rPr>
        <w:t>15</w:t>
      </w:r>
      <w:proofErr w:type="gramEnd"/>
      <w:r w:rsidR="00FA7038" w:rsidRPr="008921DA">
        <w:rPr>
          <w:rStyle w:val="spnmessagetext"/>
          <w:rFonts w:ascii="Arial Narrow" w:hAnsi="Arial Narrow"/>
          <w:lang w:val="en-IE"/>
        </w:rPr>
        <w:t xml:space="preserve"> </w:t>
      </w:r>
      <w:r w:rsidRPr="00832CE8">
        <w:rPr>
          <w:rStyle w:val="spnmessagetext"/>
          <w:rFonts w:ascii="Arial Narrow" w:hAnsi="Arial Narrow"/>
          <w:lang w:val="en-IE"/>
        </w:rPr>
        <w:t>[0,40 (</w:t>
      </w:r>
      <w:r w:rsidRPr="008921DA">
        <w:rPr>
          <w:rStyle w:val="spnmessagetext"/>
          <w:rFonts w:ascii="Arial Narrow" w:hAnsi="Arial Narrow"/>
          <w:lang w:val="en-IE"/>
        </w:rPr>
        <w:t>FSD1 / FSD1 o) + 0,60 (ICHT - IME / ICHT-</w:t>
      </w:r>
      <w:proofErr w:type="spellStart"/>
      <w:r w:rsidRPr="008921DA">
        <w:rPr>
          <w:rStyle w:val="spnmessagetext"/>
          <w:rFonts w:ascii="Arial Narrow" w:hAnsi="Arial Narrow"/>
          <w:lang w:val="en-IE"/>
        </w:rPr>
        <w:t>IMEo</w:t>
      </w:r>
      <w:proofErr w:type="spellEnd"/>
      <w:r w:rsidRPr="008921DA">
        <w:rPr>
          <w:rStyle w:val="spnmessagetext"/>
          <w:rFonts w:ascii="Arial Narrow" w:hAnsi="Arial Narrow"/>
          <w:lang w:val="en-IE"/>
        </w:rPr>
        <w:t>)]</w:t>
      </w:r>
    </w:p>
    <w:p w14:paraId="61552BD0" w14:textId="1C5BEBB6" w:rsidR="00D42020" w:rsidRPr="00A13DA7" w:rsidRDefault="00D42020" w:rsidP="00D42020">
      <w:pPr>
        <w:pStyle w:val="En-tte"/>
        <w:spacing w:after="120" w:line="360" w:lineRule="auto"/>
        <w:jc w:val="both"/>
        <w:rPr>
          <w:rFonts w:ascii="Arial Narrow" w:hAnsi="Arial Narrow"/>
        </w:rPr>
      </w:pPr>
      <w:r w:rsidRPr="00A13DA7">
        <w:rPr>
          <w:rFonts w:ascii="Arial Narrow" w:hAnsi="Arial Narrow"/>
        </w:rPr>
        <w:t xml:space="preserve">ICHT - IME : Indice mensuel du coût horaire du travail révisé - Salaires et charges - Tous salariés - Industries mécaniques et électriques (NAF </w:t>
      </w:r>
      <w:proofErr w:type="spellStart"/>
      <w:r w:rsidRPr="00A13DA7">
        <w:rPr>
          <w:rFonts w:ascii="Arial Narrow" w:hAnsi="Arial Narrow"/>
        </w:rPr>
        <w:t>rév</w:t>
      </w:r>
      <w:proofErr w:type="spellEnd"/>
      <w:r w:rsidRPr="00A13DA7">
        <w:rPr>
          <w:rFonts w:ascii="Arial Narrow" w:hAnsi="Arial Narrow"/>
        </w:rPr>
        <w:t>. 2 postes 25-30 32-33) - Base 100 en décembre 2008 publié au BMS</w:t>
      </w:r>
    </w:p>
    <w:p w14:paraId="40815C89" w14:textId="164D674E" w:rsidR="00D42020" w:rsidRPr="00A13DA7" w:rsidRDefault="00D42020" w:rsidP="00D42020">
      <w:pPr>
        <w:pStyle w:val="En-tte"/>
        <w:spacing w:after="120" w:line="360" w:lineRule="auto"/>
        <w:jc w:val="both"/>
        <w:rPr>
          <w:rFonts w:ascii="Arial Narrow" w:hAnsi="Arial Narrow"/>
        </w:rPr>
      </w:pPr>
      <w:r w:rsidRPr="00A13DA7">
        <w:rPr>
          <w:rFonts w:ascii="Arial Narrow" w:hAnsi="Arial Narrow"/>
        </w:rPr>
        <w:t>FSD1 : Index divers de la construction - FD - Poste Frais divers des index bâtiment et travaux publics - Base 2010</w:t>
      </w:r>
      <w:r w:rsidR="006F6B67">
        <w:rPr>
          <w:rFonts w:ascii="Arial Narrow" w:hAnsi="Arial Narrow"/>
        </w:rPr>
        <w:t xml:space="preserve"> </w:t>
      </w:r>
      <w:r w:rsidRPr="00A13DA7">
        <w:rPr>
          <w:rFonts w:ascii="Arial Narrow" w:hAnsi="Arial Narrow"/>
        </w:rPr>
        <w:t>Identifiant 001711011 Publié au BMS</w:t>
      </w:r>
    </w:p>
    <w:p w14:paraId="525BF1FC" w14:textId="241161C9" w:rsidR="00B42ED3" w:rsidRPr="00A13DA7" w:rsidRDefault="00B42ED3" w:rsidP="00B42ED3">
      <w:pPr>
        <w:pStyle w:val="En-tte"/>
        <w:spacing w:after="120" w:line="360" w:lineRule="auto"/>
        <w:rPr>
          <w:rFonts w:ascii="Arial Narrow" w:hAnsi="Arial Narrow"/>
        </w:rPr>
      </w:pPr>
      <w:r w:rsidRPr="00A13DA7">
        <w:rPr>
          <w:rFonts w:ascii="Arial Narrow" w:hAnsi="Arial Narrow"/>
        </w:rPr>
        <w:t>Dans laquelle :</w:t>
      </w:r>
    </w:p>
    <w:p w14:paraId="2C5F3973" w14:textId="77777777" w:rsidR="00B42ED3" w:rsidRPr="00546FE0" w:rsidRDefault="00B42ED3" w:rsidP="00B42ED3">
      <w:pPr>
        <w:pStyle w:val="En-tte"/>
        <w:spacing w:after="120" w:line="360" w:lineRule="auto"/>
        <w:ind w:left="1560"/>
        <w:rPr>
          <w:rFonts w:ascii="Arial Narrow" w:hAnsi="Arial Narrow"/>
        </w:rPr>
      </w:pPr>
      <w:r w:rsidRPr="00546FE0">
        <w:rPr>
          <w:rFonts w:ascii="Arial Narrow" w:hAnsi="Arial Narrow"/>
        </w:rPr>
        <w:t>P : prix révisé,</w:t>
      </w:r>
    </w:p>
    <w:p w14:paraId="5C2BC6A5" w14:textId="6A9BD582" w:rsidR="00B42ED3" w:rsidRDefault="00B42ED3" w:rsidP="00B42ED3">
      <w:pPr>
        <w:pStyle w:val="En-tte"/>
        <w:spacing w:after="120" w:line="360" w:lineRule="auto"/>
        <w:ind w:left="1560"/>
        <w:rPr>
          <w:rFonts w:ascii="Arial Narrow" w:hAnsi="Arial Narrow"/>
        </w:rPr>
      </w:pPr>
      <w:r w:rsidRPr="00546FE0">
        <w:rPr>
          <w:rFonts w:ascii="Arial Narrow" w:hAnsi="Arial Narrow"/>
        </w:rPr>
        <w:t>Po : prix au mois M0,</w:t>
      </w:r>
    </w:p>
    <w:p w14:paraId="775AC4F9" w14:textId="0F5B6BA6" w:rsidR="00D42020" w:rsidRDefault="00D42020" w:rsidP="00D42020">
      <w:pPr>
        <w:pStyle w:val="En-tte"/>
        <w:spacing w:after="120" w:line="360" w:lineRule="auto"/>
        <w:ind w:left="1560"/>
        <w:rPr>
          <w:rFonts w:ascii="Arial Narrow" w:hAnsi="Arial Narrow"/>
        </w:rPr>
      </w:pPr>
      <w:r>
        <w:rPr>
          <w:rFonts w:ascii="Arial Narrow" w:hAnsi="Arial Narrow"/>
        </w:rPr>
        <w:t xml:space="preserve">FSD1 : </w:t>
      </w:r>
      <w:r w:rsidRPr="00546FE0">
        <w:rPr>
          <w:rFonts w:ascii="Arial Narrow" w:hAnsi="Arial Narrow"/>
        </w:rPr>
        <w:t xml:space="preserve">dernier indice </w:t>
      </w:r>
      <w:r>
        <w:rPr>
          <w:rFonts w:ascii="Arial Narrow" w:hAnsi="Arial Narrow"/>
        </w:rPr>
        <w:t>FSD1</w:t>
      </w:r>
      <w:r w:rsidRPr="006F6B67">
        <w:rPr>
          <w:rFonts w:ascii="Arial Narrow" w:hAnsi="Arial Narrow"/>
          <w:b/>
        </w:rPr>
        <w:t xml:space="preserve"> connu </w:t>
      </w:r>
      <w:r>
        <w:rPr>
          <w:rFonts w:ascii="Arial Narrow" w:hAnsi="Arial Narrow"/>
        </w:rPr>
        <w:t>à la date de révision des prix</w:t>
      </w:r>
    </w:p>
    <w:p w14:paraId="2598FFA2" w14:textId="3EE2450C" w:rsidR="00D42020" w:rsidRPr="00546FE0" w:rsidRDefault="00D42020" w:rsidP="00B42ED3">
      <w:pPr>
        <w:pStyle w:val="En-tte"/>
        <w:spacing w:after="120" w:line="360" w:lineRule="auto"/>
        <w:ind w:left="1560"/>
        <w:rPr>
          <w:rFonts w:ascii="Arial Narrow" w:hAnsi="Arial Narrow"/>
        </w:rPr>
      </w:pPr>
      <w:r>
        <w:rPr>
          <w:rFonts w:ascii="Arial Narrow" w:hAnsi="Arial Narrow"/>
        </w:rPr>
        <w:t xml:space="preserve">FSD1 o : </w:t>
      </w:r>
      <w:r w:rsidRPr="00546FE0">
        <w:rPr>
          <w:rFonts w:ascii="Arial Narrow" w:hAnsi="Arial Narrow"/>
        </w:rPr>
        <w:t xml:space="preserve">Indice </w:t>
      </w:r>
      <w:r>
        <w:rPr>
          <w:rFonts w:ascii="Arial Narrow" w:hAnsi="Arial Narrow"/>
        </w:rPr>
        <w:t>FSD1</w:t>
      </w:r>
      <w:r w:rsidRPr="00546FE0">
        <w:rPr>
          <w:rFonts w:ascii="Arial Narrow" w:hAnsi="Arial Narrow"/>
        </w:rPr>
        <w:t xml:space="preserve"> au mois M0.</w:t>
      </w:r>
    </w:p>
    <w:p w14:paraId="167087ED" w14:textId="4B16FD67" w:rsidR="00B42ED3" w:rsidRPr="00546FE0" w:rsidRDefault="00B42ED3" w:rsidP="00B42ED3">
      <w:pPr>
        <w:pStyle w:val="En-tte"/>
        <w:spacing w:after="120" w:line="360" w:lineRule="auto"/>
        <w:ind w:left="1560"/>
        <w:rPr>
          <w:rFonts w:ascii="Arial Narrow" w:hAnsi="Arial Narrow"/>
        </w:rPr>
      </w:pPr>
      <w:r w:rsidRPr="00546FE0">
        <w:rPr>
          <w:rFonts w:ascii="Arial Narrow" w:hAnsi="Arial Narrow"/>
        </w:rPr>
        <w:t>ICHT-</w:t>
      </w:r>
      <w:r w:rsidR="00D42020">
        <w:rPr>
          <w:rFonts w:ascii="Arial Narrow" w:hAnsi="Arial Narrow"/>
        </w:rPr>
        <w:t>IME</w:t>
      </w:r>
      <w:r w:rsidRPr="00546FE0">
        <w:rPr>
          <w:rFonts w:ascii="Arial Narrow" w:hAnsi="Arial Narrow"/>
        </w:rPr>
        <w:t>: dernier indice ICHT-</w:t>
      </w:r>
      <w:r w:rsidR="00D42020">
        <w:rPr>
          <w:rFonts w:ascii="Arial Narrow" w:hAnsi="Arial Narrow"/>
        </w:rPr>
        <w:t>IME</w:t>
      </w:r>
      <w:r w:rsidRPr="006F6B67">
        <w:rPr>
          <w:rFonts w:ascii="Arial Narrow" w:hAnsi="Arial Narrow"/>
          <w:b/>
        </w:rPr>
        <w:t xml:space="preserve"> connu</w:t>
      </w:r>
      <w:r w:rsidRPr="00546FE0">
        <w:rPr>
          <w:rFonts w:ascii="Arial Narrow" w:hAnsi="Arial Narrow"/>
        </w:rPr>
        <w:t xml:space="preserve"> à la date de révision des prix,</w:t>
      </w:r>
    </w:p>
    <w:p w14:paraId="761B5CB8" w14:textId="4E163B57" w:rsidR="00B42ED3" w:rsidRPr="00546FE0" w:rsidRDefault="00B42ED3" w:rsidP="00B42ED3">
      <w:pPr>
        <w:pStyle w:val="En-tte"/>
        <w:spacing w:after="120" w:line="360" w:lineRule="auto"/>
        <w:ind w:left="1560"/>
        <w:rPr>
          <w:rFonts w:ascii="Arial Narrow" w:hAnsi="Arial Narrow"/>
        </w:rPr>
      </w:pPr>
      <w:r w:rsidRPr="00546FE0">
        <w:rPr>
          <w:rFonts w:ascii="Arial Narrow" w:hAnsi="Arial Narrow"/>
        </w:rPr>
        <w:t>ICHT-</w:t>
      </w:r>
      <w:proofErr w:type="spellStart"/>
      <w:r w:rsidR="00DA43EE">
        <w:rPr>
          <w:rFonts w:ascii="Arial Narrow" w:hAnsi="Arial Narrow"/>
        </w:rPr>
        <w:t>IM</w:t>
      </w:r>
      <w:r w:rsidR="00704A71">
        <w:rPr>
          <w:rFonts w:ascii="Arial Narrow" w:hAnsi="Arial Narrow"/>
        </w:rPr>
        <w:t>E</w:t>
      </w:r>
      <w:r w:rsidRPr="00546FE0">
        <w:rPr>
          <w:rFonts w:ascii="Arial Narrow" w:hAnsi="Arial Narrow"/>
        </w:rPr>
        <w:t>o</w:t>
      </w:r>
      <w:proofErr w:type="spellEnd"/>
      <w:r w:rsidRPr="00546FE0">
        <w:rPr>
          <w:rFonts w:ascii="Arial Narrow" w:hAnsi="Arial Narrow"/>
        </w:rPr>
        <w:t xml:space="preserve"> : Indice ICHT-</w:t>
      </w:r>
      <w:r w:rsidR="00D42020">
        <w:rPr>
          <w:rFonts w:ascii="Arial Narrow" w:hAnsi="Arial Narrow"/>
        </w:rPr>
        <w:t>IME</w:t>
      </w:r>
      <w:r w:rsidRPr="00546FE0">
        <w:rPr>
          <w:rFonts w:ascii="Arial Narrow" w:hAnsi="Arial Narrow"/>
        </w:rPr>
        <w:t xml:space="preserve"> au mois M0.</w:t>
      </w:r>
    </w:p>
    <w:p w14:paraId="12C105F1"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120DB536"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La révision des prix fera l’objet d’une vérification e</w:t>
      </w:r>
      <w:r w:rsidR="000C10A2" w:rsidRPr="00546FE0">
        <w:rPr>
          <w:rFonts w:ascii="Arial Narrow" w:hAnsi="Arial Narrow"/>
        </w:rPr>
        <w:t>t d’une validation par l’EPMO</w:t>
      </w:r>
      <w:r w:rsidRPr="00546FE0">
        <w:rPr>
          <w:rFonts w:ascii="Arial Narrow" w:hAnsi="Arial Narrow"/>
        </w:rPr>
        <w:t xml:space="preserve">. </w:t>
      </w:r>
    </w:p>
    <w:p w14:paraId="32ED971C" w14:textId="77777777" w:rsidR="00B42ED3" w:rsidRPr="00546FE0" w:rsidRDefault="00B42ED3" w:rsidP="00B42ED3">
      <w:pPr>
        <w:pStyle w:val="En-tte"/>
        <w:spacing w:after="120" w:line="360" w:lineRule="auto"/>
        <w:rPr>
          <w:rFonts w:ascii="Arial Narrow" w:hAnsi="Arial Narrow"/>
        </w:rPr>
      </w:pPr>
    </w:p>
    <w:p w14:paraId="5FCAD361" w14:textId="77777777" w:rsidR="0014540C" w:rsidRPr="00546FE0" w:rsidRDefault="00B42ED3" w:rsidP="00B42ED3">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51B48244" w14:textId="51B231BE" w:rsidR="001A0213" w:rsidRDefault="001A0213" w:rsidP="00781444">
      <w:pPr>
        <w:pStyle w:val="En-tte"/>
        <w:spacing w:after="120" w:line="360" w:lineRule="auto"/>
        <w:rPr>
          <w:rFonts w:ascii="Arial Narrow" w:hAnsi="Arial Narrow"/>
        </w:rPr>
      </w:pPr>
    </w:p>
    <w:p w14:paraId="2DA2F14D" w14:textId="77777777" w:rsidR="001A0213" w:rsidRPr="00C330F1" w:rsidRDefault="001A0213" w:rsidP="001A0213">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CLAUSE DE REEXAMEN</w:t>
      </w:r>
    </w:p>
    <w:p w14:paraId="5F0FF468" w14:textId="77777777" w:rsidR="001A0213" w:rsidRDefault="001A0213" w:rsidP="001A0213">
      <w:pPr>
        <w:pStyle w:val="En-tte"/>
        <w:spacing w:after="120" w:line="360" w:lineRule="auto"/>
        <w:jc w:val="both"/>
        <w:rPr>
          <w:rFonts w:ascii="Arial Narrow" w:hAnsi="Arial Narrow"/>
        </w:rPr>
      </w:pPr>
      <w:r>
        <w:rPr>
          <w:rFonts w:ascii="Arial Narrow" w:hAnsi="Arial Narrow"/>
        </w:rPr>
        <w:t>En application des dispositions de l’article R. 2194-1 du code de la commande publique, l</w:t>
      </w:r>
      <w:r w:rsidRPr="00F8555B">
        <w:rPr>
          <w:rFonts w:ascii="Arial Narrow" w:hAnsi="Arial Narrow"/>
        </w:rPr>
        <w:t xml:space="preserve">e </w:t>
      </w:r>
      <w:r>
        <w:rPr>
          <w:rFonts w:ascii="Arial Narrow" w:hAnsi="Arial Narrow"/>
        </w:rPr>
        <w:t xml:space="preserve">présent </w:t>
      </w:r>
      <w:r w:rsidRPr="00F8555B">
        <w:rPr>
          <w:rFonts w:ascii="Arial Narrow" w:hAnsi="Arial Narrow"/>
        </w:rPr>
        <w:t xml:space="preserve">marché </w:t>
      </w:r>
      <w:r>
        <w:rPr>
          <w:rFonts w:ascii="Arial Narrow" w:hAnsi="Arial Narrow"/>
        </w:rPr>
        <w:t>pourra</w:t>
      </w:r>
      <w:r w:rsidRPr="00F8555B">
        <w:rPr>
          <w:rFonts w:ascii="Arial Narrow" w:hAnsi="Arial Narrow"/>
        </w:rPr>
        <w:t xml:space="preserve"> être modifié </w:t>
      </w:r>
      <w:r>
        <w:rPr>
          <w:rFonts w:ascii="Arial Narrow" w:hAnsi="Arial Narrow"/>
        </w:rPr>
        <w:t xml:space="preserve">dans l’hypothèse suivante </w:t>
      </w:r>
      <w:r w:rsidRPr="00C330F1">
        <w:rPr>
          <w:rFonts w:ascii="Arial Narrow" w:hAnsi="Arial Narrow"/>
          <w:u w:val="single"/>
        </w:rPr>
        <w:t>sans qu’il soit nécessaire de recourir à un avenant signé des deux parties</w:t>
      </w:r>
      <w:r>
        <w:rPr>
          <w:rFonts w:ascii="Arial Narrow" w:hAnsi="Arial Narrow"/>
        </w:rPr>
        <w:t>.</w:t>
      </w:r>
    </w:p>
    <w:p w14:paraId="02202708" w14:textId="26928B23" w:rsidR="001A0213" w:rsidRDefault="001A0213" w:rsidP="001A0213">
      <w:pPr>
        <w:pStyle w:val="En-tte"/>
        <w:spacing w:after="120" w:line="360" w:lineRule="auto"/>
        <w:jc w:val="both"/>
        <w:rPr>
          <w:rFonts w:ascii="Arial Narrow" w:hAnsi="Arial Narrow"/>
        </w:rPr>
      </w:pPr>
      <w:r w:rsidRPr="00C330F1">
        <w:rPr>
          <w:rFonts w:ascii="Arial Narrow" w:hAnsi="Arial Narrow"/>
          <w:u w:val="single"/>
        </w:rPr>
        <w:t>Dans le cadre exclusif de la part à commandes</w:t>
      </w:r>
      <w:r>
        <w:rPr>
          <w:rFonts w:ascii="Arial Narrow" w:hAnsi="Arial Narrow"/>
        </w:rPr>
        <w:t>, si des prestations s’avéraient nécessaires et qu’elles n’avaient pas été prévues dans le bordereau des prix unitaires (BP</w:t>
      </w:r>
      <w:r w:rsidR="001F355A">
        <w:rPr>
          <w:rFonts w:ascii="Arial Narrow" w:hAnsi="Arial Narrow"/>
        </w:rPr>
        <w:t xml:space="preserve">U) annexé à l’acte d’engagement, </w:t>
      </w:r>
      <w:r>
        <w:rPr>
          <w:rFonts w:ascii="Arial Narrow" w:hAnsi="Arial Narrow"/>
        </w:rPr>
        <w:t xml:space="preserve">ces prestations ainsi que leurs prix unitaires pourront être intégrés au BPU dans les conditions suivantes : </w:t>
      </w:r>
    </w:p>
    <w:p w14:paraId="26860AF1" w14:textId="77777777" w:rsidR="001A0213" w:rsidRDefault="001A0213" w:rsidP="001A0213">
      <w:pPr>
        <w:pStyle w:val="En-tte"/>
        <w:numPr>
          <w:ilvl w:val="0"/>
          <w:numId w:val="27"/>
        </w:numPr>
        <w:spacing w:after="120" w:line="360" w:lineRule="auto"/>
        <w:jc w:val="both"/>
        <w:rPr>
          <w:rFonts w:ascii="Arial Narrow" w:hAnsi="Arial Narrow"/>
        </w:rPr>
      </w:pPr>
      <w:r>
        <w:rPr>
          <w:rFonts w:ascii="Arial Narrow" w:hAnsi="Arial Narrow"/>
        </w:rPr>
        <w:t xml:space="preserve">Le titulaire remettra au représentant de l’EPMO </w:t>
      </w:r>
      <w:r w:rsidRPr="00C330F1">
        <w:rPr>
          <w:rFonts w:ascii="Arial Narrow" w:hAnsi="Arial Narrow"/>
          <w:u w:val="single"/>
        </w:rPr>
        <w:t>un nouveau bordereau des prix unitaires</w:t>
      </w:r>
      <w:r>
        <w:rPr>
          <w:rFonts w:ascii="Arial Narrow" w:hAnsi="Arial Narrow"/>
        </w:rPr>
        <w:t xml:space="preserve"> faisant apparaitre de manière lisible (police de caractère d’une autre couleur) les nouveaux prix unitaires ainsi que le descriptif succinct des prestations associés (reprise du BPU initial avec les nouvelles lignes). Le représentant de l’EPMO pourra demander au titulaire que la description précise de ces prestations figure dans un document distinct du BPU intitulé « descriptif des prestations insérées dans le BPU »;</w:t>
      </w:r>
    </w:p>
    <w:p w14:paraId="7F5E7965" w14:textId="77777777" w:rsidR="001A0213" w:rsidRDefault="001A0213" w:rsidP="001A0213">
      <w:pPr>
        <w:pStyle w:val="En-tte"/>
        <w:numPr>
          <w:ilvl w:val="0"/>
          <w:numId w:val="27"/>
        </w:numPr>
        <w:spacing w:after="120" w:line="360" w:lineRule="auto"/>
        <w:jc w:val="both"/>
        <w:rPr>
          <w:rFonts w:ascii="Arial Narrow" w:hAnsi="Arial Narrow"/>
        </w:rPr>
      </w:pPr>
      <w:r>
        <w:rPr>
          <w:rFonts w:ascii="Arial Narrow" w:hAnsi="Arial Narrow"/>
        </w:rPr>
        <w:lastRenderedPageBreak/>
        <w:t>Le représentant de l’EPMO analysera les propositions de prix unitaires ainsi transmises. Il pourra demander au titulaire de revoir les prix proposés s’il considérait ces derniers comme étant surévalués. Le titulaire pourra ainsi être tenu de démontrer que les prix proposés n’excèdent pas les prix couramment constatés et pratiqués pour les prestations en cause ;</w:t>
      </w:r>
    </w:p>
    <w:p w14:paraId="66641139" w14:textId="77777777" w:rsidR="001A0213" w:rsidRDefault="001A0213" w:rsidP="001A0213">
      <w:pPr>
        <w:pStyle w:val="En-tte"/>
        <w:numPr>
          <w:ilvl w:val="0"/>
          <w:numId w:val="27"/>
        </w:numPr>
        <w:spacing w:after="120" w:line="360" w:lineRule="auto"/>
        <w:jc w:val="both"/>
        <w:rPr>
          <w:rFonts w:ascii="Arial Narrow" w:hAnsi="Arial Narrow"/>
        </w:rPr>
      </w:pPr>
      <w:r>
        <w:rPr>
          <w:rFonts w:ascii="Arial Narrow" w:hAnsi="Arial Narrow"/>
        </w:rPr>
        <w:t xml:space="preserve">Après accord sur les nouveaux prix unitaires, </w:t>
      </w:r>
      <w:r w:rsidRPr="00C330F1">
        <w:rPr>
          <w:rFonts w:ascii="Arial Narrow" w:hAnsi="Arial Narrow"/>
          <w:u w:val="single"/>
        </w:rPr>
        <w:t xml:space="preserve">le représentant de l’EPMO notifiera par ordre de service </w:t>
      </w:r>
      <w:r>
        <w:rPr>
          <w:rFonts w:ascii="Arial Narrow" w:hAnsi="Arial Narrow"/>
          <w:u w:val="single"/>
        </w:rPr>
        <w:t xml:space="preserve">(OS) </w:t>
      </w:r>
      <w:r w:rsidRPr="00C330F1">
        <w:rPr>
          <w:rFonts w:ascii="Arial Narrow" w:hAnsi="Arial Narrow"/>
          <w:u w:val="single"/>
        </w:rPr>
        <w:t xml:space="preserve">au titulaire le nouveau </w:t>
      </w:r>
      <w:r>
        <w:rPr>
          <w:rFonts w:ascii="Arial Narrow" w:hAnsi="Arial Narrow"/>
          <w:u w:val="single"/>
        </w:rPr>
        <w:t>BPU ainsi que, le cas échéant, le document intitulé « </w:t>
      </w:r>
      <w:r>
        <w:rPr>
          <w:rFonts w:ascii="Arial Narrow" w:hAnsi="Arial Narrow"/>
        </w:rPr>
        <w:t xml:space="preserve">descriptif des prestations insérées dans le BPU ». Ces documents seront rendus contractuels par la notification de l’OS : le nouveau BPU se </w:t>
      </w:r>
      <w:r w:rsidRPr="00B664B5">
        <w:rPr>
          <w:rFonts w:ascii="Arial Narrow" w:hAnsi="Arial Narrow"/>
        </w:rPr>
        <w:t>substituera au BPU initial et</w:t>
      </w:r>
      <w:r>
        <w:rPr>
          <w:rFonts w:ascii="Arial Narrow" w:hAnsi="Arial Narrow"/>
        </w:rPr>
        <w:t xml:space="preserve"> le « descriptif des prestations insérées dans le BPU » constituera une annexe au CCTP ;</w:t>
      </w:r>
    </w:p>
    <w:p w14:paraId="27F5A986" w14:textId="77777777" w:rsidR="001A0213" w:rsidRDefault="001A0213" w:rsidP="001A0213">
      <w:pPr>
        <w:pStyle w:val="En-tte"/>
        <w:numPr>
          <w:ilvl w:val="0"/>
          <w:numId w:val="27"/>
        </w:numPr>
        <w:spacing w:after="120" w:line="360" w:lineRule="auto"/>
        <w:rPr>
          <w:rFonts w:ascii="Arial Narrow" w:hAnsi="Arial Narrow"/>
        </w:rPr>
      </w:pPr>
      <w:r>
        <w:rPr>
          <w:rFonts w:ascii="Arial Narrow" w:hAnsi="Arial Narrow"/>
        </w:rPr>
        <w:t>A l’issue de cette notification, le représentant de l’EPMO pourra émettre des bons de commande sur la base de ces nouveaux prix.</w:t>
      </w:r>
    </w:p>
    <w:p w14:paraId="16755026" w14:textId="77777777" w:rsidR="001A0213" w:rsidRDefault="001A0213" w:rsidP="001A0213">
      <w:pPr>
        <w:pStyle w:val="En-tte"/>
        <w:spacing w:after="120" w:line="360" w:lineRule="auto"/>
        <w:rPr>
          <w:rFonts w:ascii="Arial Narrow" w:hAnsi="Arial Narrow"/>
        </w:rPr>
      </w:pPr>
      <w:r>
        <w:rPr>
          <w:rFonts w:ascii="Arial Narrow" w:hAnsi="Arial Narrow"/>
        </w:rPr>
        <w:t xml:space="preserve">Cette faculté est encadrée de la manière suivante : </w:t>
      </w:r>
    </w:p>
    <w:p w14:paraId="2D908CCF" w14:textId="08F7D4CE" w:rsidR="001A0213" w:rsidRPr="007023B6" w:rsidRDefault="001A0213" w:rsidP="001A0213">
      <w:pPr>
        <w:pStyle w:val="En-tte"/>
        <w:numPr>
          <w:ilvl w:val="0"/>
          <w:numId w:val="27"/>
        </w:numPr>
        <w:spacing w:after="120" w:line="360" w:lineRule="auto"/>
        <w:jc w:val="both"/>
        <w:rPr>
          <w:rFonts w:ascii="Arial Narrow" w:hAnsi="Arial Narrow"/>
        </w:rPr>
      </w:pPr>
      <w:proofErr w:type="gramStart"/>
      <w:r>
        <w:rPr>
          <w:rFonts w:ascii="Arial Narrow" w:hAnsi="Arial Narrow"/>
        </w:rPr>
        <w:t>la</w:t>
      </w:r>
      <w:proofErr w:type="gramEnd"/>
      <w:r>
        <w:rPr>
          <w:rFonts w:ascii="Arial Narrow" w:hAnsi="Arial Narrow"/>
        </w:rPr>
        <w:t xml:space="preserve"> liste des nouveaux prix ainsi insérés dans le </w:t>
      </w:r>
      <w:r w:rsidRPr="007023B6">
        <w:rPr>
          <w:rFonts w:ascii="Arial Narrow" w:hAnsi="Arial Narrow"/>
        </w:rPr>
        <w:t xml:space="preserve">BPU </w:t>
      </w:r>
      <w:r w:rsidR="005D0209" w:rsidRPr="007023B6">
        <w:rPr>
          <w:rFonts w:ascii="Arial Narrow" w:hAnsi="Arial Narrow"/>
          <w:u w:val="single"/>
        </w:rPr>
        <w:t xml:space="preserve">ne pourra </w:t>
      </w:r>
      <w:r w:rsidR="00A2497B" w:rsidRPr="007023B6">
        <w:rPr>
          <w:rFonts w:ascii="Arial Narrow" w:hAnsi="Arial Narrow"/>
          <w:u w:val="single"/>
        </w:rPr>
        <w:t>excéder 15</w:t>
      </w:r>
      <w:r w:rsidRPr="007023B6">
        <w:rPr>
          <w:rFonts w:ascii="Arial Narrow" w:hAnsi="Arial Narrow"/>
          <w:u w:val="single"/>
        </w:rPr>
        <w:t>% du nombre total de lignes</w:t>
      </w:r>
      <w:r w:rsidRPr="007023B6">
        <w:rPr>
          <w:rFonts w:ascii="Arial Narrow" w:hAnsi="Arial Narrow"/>
        </w:rPr>
        <w:t xml:space="preserve"> figurant dans le BPU qui avait été joint à l’acte d’engagement au moment de la notification du marché. Le respect de ce seuil permet ainsi de garantir le maintien de l’équilibre économique du marché résultant de la mise en concurrence ;</w:t>
      </w:r>
    </w:p>
    <w:p w14:paraId="1D76B439" w14:textId="77777777" w:rsidR="001A0213" w:rsidRPr="007023B6" w:rsidRDefault="001A0213" w:rsidP="001A0213">
      <w:pPr>
        <w:pStyle w:val="En-tte"/>
        <w:numPr>
          <w:ilvl w:val="0"/>
          <w:numId w:val="27"/>
        </w:numPr>
        <w:spacing w:after="120" w:line="360" w:lineRule="auto"/>
        <w:jc w:val="both"/>
        <w:rPr>
          <w:rFonts w:ascii="Arial Narrow" w:hAnsi="Arial Narrow"/>
        </w:rPr>
      </w:pPr>
      <w:proofErr w:type="gramStart"/>
      <w:r w:rsidRPr="007023B6">
        <w:rPr>
          <w:rFonts w:ascii="Arial Narrow" w:hAnsi="Arial Narrow"/>
        </w:rPr>
        <w:t>les</w:t>
      </w:r>
      <w:proofErr w:type="gramEnd"/>
      <w:r w:rsidRPr="007023B6">
        <w:rPr>
          <w:rFonts w:ascii="Arial Narrow" w:hAnsi="Arial Narrow"/>
        </w:rPr>
        <w:t xml:space="preserve"> nouveaux prix devront correspondre à des </w:t>
      </w:r>
      <w:r w:rsidRPr="007023B6">
        <w:rPr>
          <w:rFonts w:ascii="Arial Narrow" w:hAnsi="Arial Narrow"/>
          <w:u w:val="single"/>
        </w:rPr>
        <w:t>prestations relevant du périmètre du marché</w:t>
      </w:r>
      <w:r w:rsidRPr="007023B6">
        <w:rPr>
          <w:rFonts w:ascii="Arial Narrow" w:hAnsi="Arial Narrow"/>
        </w:rPr>
        <w:t> et ne pas conduire à une modification de l’objet du marché ;</w:t>
      </w:r>
    </w:p>
    <w:p w14:paraId="6DECAC12" w14:textId="14F481EA" w:rsidR="001A0213" w:rsidRPr="007023B6" w:rsidRDefault="001A0213" w:rsidP="001A0213">
      <w:pPr>
        <w:pStyle w:val="En-tte"/>
        <w:numPr>
          <w:ilvl w:val="0"/>
          <w:numId w:val="27"/>
        </w:numPr>
        <w:spacing w:after="120" w:line="360" w:lineRule="auto"/>
        <w:jc w:val="both"/>
        <w:rPr>
          <w:rFonts w:ascii="Arial Narrow" w:hAnsi="Arial Narrow"/>
        </w:rPr>
      </w:pPr>
      <w:proofErr w:type="gramStart"/>
      <w:r w:rsidRPr="007023B6">
        <w:rPr>
          <w:rFonts w:ascii="Arial Narrow" w:hAnsi="Arial Narrow"/>
        </w:rPr>
        <w:t>ces</w:t>
      </w:r>
      <w:proofErr w:type="gramEnd"/>
      <w:r w:rsidRPr="007023B6">
        <w:rPr>
          <w:rFonts w:ascii="Arial Narrow" w:hAnsi="Arial Narrow"/>
        </w:rPr>
        <w:t xml:space="preserve"> nouveaux prix pourront être intégrés soit en une seul fois (un seul ordre de s</w:t>
      </w:r>
      <w:r w:rsidR="005D0209" w:rsidRPr="007023B6">
        <w:rPr>
          <w:rFonts w:ascii="Arial Narrow" w:hAnsi="Arial Narrow"/>
        </w:rPr>
        <w:t>ervice atteignant le seuil de 1</w:t>
      </w:r>
      <w:r w:rsidR="00A2497B" w:rsidRPr="007023B6">
        <w:rPr>
          <w:rFonts w:ascii="Arial Narrow" w:hAnsi="Arial Narrow"/>
        </w:rPr>
        <w:t>5</w:t>
      </w:r>
      <w:r w:rsidRPr="007023B6">
        <w:rPr>
          <w:rFonts w:ascii="Arial Narrow" w:hAnsi="Arial Narrow"/>
        </w:rPr>
        <w:t xml:space="preserve">% précité) soit en plusieurs fois (plusieurs ordres de service </w:t>
      </w:r>
      <w:r w:rsidR="00194BD4">
        <w:rPr>
          <w:rFonts w:ascii="Arial Narrow" w:hAnsi="Arial Narrow"/>
        </w:rPr>
        <w:t>jusqu’à atteindre le seuil de 15</w:t>
      </w:r>
      <w:r w:rsidRPr="007023B6">
        <w:rPr>
          <w:rFonts w:ascii="Arial Narrow" w:hAnsi="Arial Narrow"/>
        </w:rPr>
        <w:t>% précité).</w:t>
      </w:r>
    </w:p>
    <w:p w14:paraId="2B9225AD" w14:textId="1467C9E6" w:rsidR="001A0213" w:rsidRPr="007023B6" w:rsidRDefault="001A0213" w:rsidP="001A0213">
      <w:pPr>
        <w:pStyle w:val="En-tte"/>
        <w:numPr>
          <w:ilvl w:val="0"/>
          <w:numId w:val="27"/>
        </w:numPr>
        <w:spacing w:after="120" w:line="360" w:lineRule="auto"/>
        <w:jc w:val="both"/>
        <w:rPr>
          <w:rFonts w:ascii="Arial Narrow" w:hAnsi="Arial Narrow"/>
        </w:rPr>
      </w:pPr>
      <w:r w:rsidRPr="007023B6">
        <w:rPr>
          <w:rFonts w:ascii="Arial Narrow" w:hAnsi="Arial Narrow"/>
        </w:rPr>
        <w:t>Si des modifications devaient i</w:t>
      </w:r>
      <w:r w:rsidR="005D0209" w:rsidRPr="007023B6">
        <w:rPr>
          <w:rFonts w:ascii="Arial Narrow" w:hAnsi="Arial Narrow"/>
        </w:rPr>
        <w:t>ntervenir au-delà du seuil de 1</w:t>
      </w:r>
      <w:r w:rsidR="00A2497B" w:rsidRPr="007023B6">
        <w:rPr>
          <w:rFonts w:ascii="Arial Narrow" w:hAnsi="Arial Narrow"/>
        </w:rPr>
        <w:t>5</w:t>
      </w:r>
      <w:r w:rsidRPr="007023B6">
        <w:rPr>
          <w:rFonts w:ascii="Arial Narrow" w:hAnsi="Arial Narrow"/>
        </w:rPr>
        <w:t>% précité, un avenant devra être conclu conformément aux dispositions du code de la commande publique ;</w:t>
      </w:r>
    </w:p>
    <w:p w14:paraId="20BC307F" w14:textId="77777777" w:rsidR="001A0213" w:rsidRDefault="001A0213" w:rsidP="001A0213">
      <w:pPr>
        <w:pStyle w:val="En-tte"/>
        <w:numPr>
          <w:ilvl w:val="0"/>
          <w:numId w:val="27"/>
        </w:numPr>
        <w:spacing w:after="120" w:line="360" w:lineRule="auto"/>
        <w:jc w:val="both"/>
        <w:rPr>
          <w:rFonts w:ascii="Arial Narrow" w:hAnsi="Arial Narrow"/>
        </w:rPr>
      </w:pPr>
      <w:r>
        <w:rPr>
          <w:rFonts w:ascii="Arial Narrow" w:hAnsi="Arial Narrow"/>
        </w:rPr>
        <w:t>Il est entendu que la mise en œuvre de cette clause de réexamen n’entraine pas la modification du montant maximum prévu pour le marché ou pour la part à commandes</w:t>
      </w:r>
    </w:p>
    <w:p w14:paraId="3DE21455" w14:textId="77777777" w:rsidR="001A0213" w:rsidRPr="00546FE0" w:rsidRDefault="001A0213"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77777777" w:rsidR="0014540C" w:rsidRPr="00546FE0" w:rsidRDefault="0014540C"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Avance</w:t>
      </w:r>
    </w:p>
    <w:p w14:paraId="6F8E609A" w14:textId="77777777" w:rsidR="00D212FA" w:rsidRPr="00D212FA" w:rsidRDefault="00D212FA" w:rsidP="00D212FA">
      <w:pPr>
        <w:pStyle w:val="En-tte"/>
        <w:spacing w:after="120" w:line="360" w:lineRule="auto"/>
        <w:jc w:val="both"/>
        <w:rPr>
          <w:rFonts w:ascii="Arial Narrow" w:hAnsi="Arial Narrow"/>
        </w:rPr>
      </w:pPr>
      <w:r w:rsidRPr="00D212FA">
        <w:rPr>
          <w:rFonts w:ascii="Arial Narrow" w:hAnsi="Arial Narrow"/>
        </w:rPr>
        <w:t xml:space="preserve">Une avance est versée au titulaire conformément aux articles R. 2191-16 à R. 2191-19 du Code de la commande publique, sauf si celui-ci y renonce dans l’acte d’engagement et selon les stipulations suivantes : </w:t>
      </w:r>
    </w:p>
    <w:p w14:paraId="441CF173" w14:textId="072E14B2" w:rsidR="00D212FA" w:rsidRPr="00D212FA" w:rsidRDefault="00D212FA" w:rsidP="00D212FA">
      <w:pPr>
        <w:pStyle w:val="En-tte"/>
        <w:spacing w:after="120" w:line="360" w:lineRule="auto"/>
        <w:jc w:val="both"/>
        <w:rPr>
          <w:rFonts w:ascii="Arial Narrow" w:hAnsi="Arial Narrow"/>
        </w:rPr>
      </w:pPr>
      <w:r w:rsidRPr="00D212FA">
        <w:rPr>
          <w:rFonts w:ascii="Arial Narrow" w:hAnsi="Arial Narrow"/>
        </w:rPr>
        <w:t>Une avance de 30% du montant forfaitaire du marché</w:t>
      </w:r>
      <w:r>
        <w:rPr>
          <w:rFonts w:ascii="Arial Narrow" w:hAnsi="Arial Narrow"/>
        </w:rPr>
        <w:t xml:space="preserve">, du bon de commande </w:t>
      </w:r>
      <w:r w:rsidRPr="00D212FA">
        <w:rPr>
          <w:rFonts w:ascii="Arial Narrow" w:hAnsi="Arial Narrow"/>
        </w:rPr>
        <w:t>sera versée au titulaire ;</w:t>
      </w:r>
    </w:p>
    <w:p w14:paraId="2567AC36" w14:textId="099C894F" w:rsidR="00D212FA" w:rsidRDefault="00D212FA" w:rsidP="00D212FA">
      <w:pPr>
        <w:pStyle w:val="En-tte"/>
        <w:spacing w:after="120" w:line="360" w:lineRule="auto"/>
        <w:jc w:val="both"/>
        <w:rPr>
          <w:rFonts w:ascii="Arial Narrow" w:hAnsi="Arial Narrow"/>
        </w:rPr>
      </w:pPr>
      <w:r>
        <w:rPr>
          <w:rFonts w:ascii="Arial Narrow" w:hAnsi="Arial Narrow"/>
        </w:rPr>
        <w:t xml:space="preserve">Dans le respect des dispositions de l’article R. 2191-11 et R. 2191-12 du Code de la commande publique, le remboursement de l’avance s’imputera sur les sommes dues au titulaire quand le montant des prestations </w:t>
      </w:r>
      <w:r>
        <w:rPr>
          <w:rFonts w:ascii="Arial Narrow" w:hAnsi="Arial Narrow"/>
        </w:rPr>
        <w:lastRenderedPageBreak/>
        <w:t>exécutées atteindra 50% du montant toutes taxes comprises du montant forfaitaire du marché ou du montant du bon de commande, Il devra être terminé lorsque le montant des prestations exécutées atteindra 80% du montant toutes taxes comprises du marché, du bon de commande</w:t>
      </w:r>
      <w:r w:rsidR="001F355A">
        <w:rPr>
          <w:rFonts w:ascii="Arial Narrow" w:hAnsi="Arial Narrow"/>
        </w:rPr>
        <w:t>.</w:t>
      </w:r>
    </w:p>
    <w:p w14:paraId="3B9E8331" w14:textId="77777777" w:rsidR="0014540C" w:rsidRPr="00546FE0" w:rsidRDefault="0014540C" w:rsidP="00F7691F">
      <w:pPr>
        <w:pStyle w:val="En-tte"/>
        <w:spacing w:after="120" w:line="360" w:lineRule="auto"/>
        <w:jc w:val="both"/>
        <w:rPr>
          <w:rFonts w:ascii="Arial Narrow" w:hAnsi="Arial Narrow"/>
          <w:b/>
          <w:bCs/>
          <w:i/>
          <w:iCs/>
        </w:rPr>
      </w:pPr>
    </w:p>
    <w:p w14:paraId="5D4AD7C8" w14:textId="0F6B730B" w:rsidR="004C5CF1" w:rsidRPr="00546FE0" w:rsidRDefault="0014540C"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 xml:space="preserve">Paiement de la part forfaitaire </w:t>
      </w:r>
    </w:p>
    <w:p w14:paraId="3066F47E" w14:textId="6FB4F471" w:rsidR="00023FFA" w:rsidRPr="00B31B38" w:rsidRDefault="00023FFA" w:rsidP="00023FFA">
      <w:pPr>
        <w:pStyle w:val="En-tte"/>
        <w:spacing w:after="120" w:line="360" w:lineRule="auto"/>
        <w:jc w:val="both"/>
        <w:rPr>
          <w:rFonts w:ascii="Arial Narrow" w:hAnsi="Arial Narrow"/>
        </w:rPr>
      </w:pPr>
      <w:r w:rsidRPr="00B31B38">
        <w:rPr>
          <w:rFonts w:ascii="Arial Narrow" w:hAnsi="Arial Narrow"/>
        </w:rPr>
        <w:t xml:space="preserve">Le paiement des prestations forfaitaires s’effectuera au service fait. </w:t>
      </w:r>
    </w:p>
    <w:p w14:paraId="0C127AFB" w14:textId="77777777" w:rsidR="00E56B0C" w:rsidRPr="00825EFE" w:rsidRDefault="00E56B0C" w:rsidP="00023FFA">
      <w:pPr>
        <w:pStyle w:val="En-tte"/>
        <w:spacing w:after="120" w:line="360" w:lineRule="auto"/>
        <w:jc w:val="both"/>
        <w:rPr>
          <w:rFonts w:ascii="Arial" w:hAnsi="Arial" w:cs="Arial"/>
          <w:sz w:val="20"/>
          <w:szCs w:val="20"/>
        </w:rPr>
      </w:pPr>
    </w:p>
    <w:p w14:paraId="25CFC6C5" w14:textId="77777777" w:rsidR="004C5CF1" w:rsidRPr="00E56B0C" w:rsidRDefault="004C5CF1"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Paiement de la part à commandes</w:t>
      </w:r>
    </w:p>
    <w:p w14:paraId="25D8325E" w14:textId="6C186DF5" w:rsidR="002168AA" w:rsidRDefault="002168AA" w:rsidP="002168AA">
      <w:pPr>
        <w:pStyle w:val="En-tte"/>
        <w:spacing w:after="120" w:line="360" w:lineRule="auto"/>
        <w:jc w:val="both"/>
        <w:rPr>
          <w:rFonts w:ascii="Arial Narrow" w:hAnsi="Arial Narrow"/>
        </w:rPr>
      </w:pPr>
      <w:r w:rsidRPr="00546FE0">
        <w:rPr>
          <w:rFonts w:ascii="Arial Narrow" w:hAnsi="Arial Narrow"/>
        </w:rPr>
        <w:t xml:space="preserve">Les prestations seront réglées sur présentation d’une facture </w:t>
      </w:r>
      <w:r>
        <w:rPr>
          <w:rFonts w:ascii="Arial Narrow" w:hAnsi="Arial Narrow"/>
        </w:rPr>
        <w:t xml:space="preserve">ou plusieurs factures </w:t>
      </w:r>
      <w:r w:rsidRPr="00546FE0">
        <w:rPr>
          <w:rFonts w:ascii="Arial Narrow" w:hAnsi="Arial Narrow"/>
        </w:rPr>
        <w:t>pour chaque bon de commande émis sur la base des prix unitaires fixés dans le BPU.</w:t>
      </w:r>
    </w:p>
    <w:p w14:paraId="7210FAD1" w14:textId="06A2721A" w:rsidR="002168AA" w:rsidRPr="00E56B0C" w:rsidRDefault="002168AA" w:rsidP="00E56B0C">
      <w:pPr>
        <w:pStyle w:val="Corpsdetexte"/>
        <w:spacing w:after="0" w:line="240" w:lineRule="auto"/>
        <w:rPr>
          <w:rFonts w:asciiTheme="minorHAnsi" w:hAnsiTheme="minorHAnsi"/>
        </w:rPr>
      </w:pPr>
      <w:r w:rsidRPr="00E56B0C">
        <w:rPr>
          <w:rFonts w:ascii="Arial Narrow" w:hAnsi="Arial Narrow"/>
        </w:rPr>
        <w:t xml:space="preserve">Le prix des fournitures </w:t>
      </w:r>
      <w:r w:rsidR="00E56B0C" w:rsidRPr="00E56B0C">
        <w:rPr>
          <w:rFonts w:ascii="Arial Narrow" w:hAnsi="Arial Narrow"/>
        </w:rPr>
        <w:t xml:space="preserve">sont </w:t>
      </w:r>
      <w:r w:rsidRPr="00E56B0C">
        <w:rPr>
          <w:rFonts w:ascii="Arial Narrow" w:hAnsi="Arial Narrow"/>
        </w:rPr>
        <w:t xml:space="preserve">facturées </w:t>
      </w:r>
      <w:r w:rsidR="00D52967">
        <w:rPr>
          <w:rFonts w:ascii="Arial Narrow" w:hAnsi="Arial Narrow"/>
        </w:rPr>
        <w:t>c</w:t>
      </w:r>
      <w:r w:rsidR="00E56B0C" w:rsidRPr="00E56B0C">
        <w:rPr>
          <w:rFonts w:ascii="Arial Narrow" w:hAnsi="Arial Narrow"/>
        </w:rPr>
        <w:t>onformément à l’article 5.2 du présent document.</w:t>
      </w:r>
    </w:p>
    <w:p w14:paraId="0FBCD2AC" w14:textId="77777777" w:rsidR="00AB6BBF" w:rsidRPr="00546FE0" w:rsidRDefault="00AB6BBF" w:rsidP="004C5CF1">
      <w:pPr>
        <w:pStyle w:val="En-tte"/>
        <w:spacing w:after="120" w:line="360" w:lineRule="auto"/>
        <w:rPr>
          <w:rFonts w:ascii="Arial Narrow" w:hAnsi="Arial Narrow"/>
        </w:rPr>
      </w:pPr>
    </w:p>
    <w:p w14:paraId="02C930A6" w14:textId="77777777" w:rsidR="005413BD" w:rsidRPr="00546FE0" w:rsidRDefault="005413BD"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Délai global de paiement</w:t>
      </w:r>
    </w:p>
    <w:p w14:paraId="7B5C0949" w14:textId="20FFFDAE"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D52967">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4A8B6C6E" w:rsidR="005413BD"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61CBA401" w14:textId="77777777" w:rsidR="00CF5977" w:rsidRDefault="00CF5977" w:rsidP="005413BD">
      <w:pPr>
        <w:pStyle w:val="En-tte"/>
        <w:spacing w:after="120" w:line="360" w:lineRule="auto"/>
        <w:jc w:val="both"/>
        <w:rPr>
          <w:rFonts w:ascii="Arial Narrow" w:hAnsi="Arial Narrow"/>
        </w:rPr>
      </w:pPr>
    </w:p>
    <w:p w14:paraId="034DAAFD" w14:textId="77777777" w:rsidR="00367714" w:rsidRPr="00546FE0" w:rsidRDefault="00367714"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5BB294F8"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63D21FD3"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D52967">
        <w:rPr>
          <w:rFonts w:ascii="Arial Narrow" w:hAnsi="Arial Narrow"/>
        </w:rPr>
        <w:t>EPMO-VGE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lastRenderedPageBreak/>
        <w:t>- la date d’émission de la facture ;</w:t>
      </w:r>
    </w:p>
    <w:p w14:paraId="12C3650F" w14:textId="70CBC960" w:rsidR="006A63E0" w:rsidRPr="00546FE0" w:rsidRDefault="00AB6BBF"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l’EPMO</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3B3947E7"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 du bon de commande;</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01B7C8E1" w14:textId="77777777" w:rsidR="006A63E0" w:rsidRPr="00546FE0" w:rsidRDefault="006A63E0" w:rsidP="004C5CF1">
      <w:pPr>
        <w:pStyle w:val="En-tte"/>
        <w:spacing w:after="120" w:line="360" w:lineRule="auto"/>
        <w:rPr>
          <w:rFonts w:ascii="Arial Narrow" w:hAnsi="Arial Narrow"/>
        </w:rPr>
      </w:pP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8"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5EA6D42F" w14:textId="77777777" w:rsidR="006A63E0" w:rsidRPr="00546FE0" w:rsidRDefault="006A63E0" w:rsidP="006A63E0">
      <w:pPr>
        <w:pStyle w:val="En-tte"/>
        <w:spacing w:after="120" w:line="360" w:lineRule="auto"/>
        <w:jc w:val="both"/>
        <w:rPr>
          <w:rFonts w:ascii="Arial Narrow" w:hAnsi="Arial Narrow"/>
        </w:rPr>
      </w:pP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0F1BBC05"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D52967">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2DC9A81E" w14:textId="57D46A5E" w:rsidR="004A2059" w:rsidRDefault="004A2059">
      <w:pPr>
        <w:rPr>
          <w:rFonts w:ascii="Arial Narrow" w:hAnsi="Arial Narrow"/>
        </w:rPr>
      </w:pPr>
      <w:r>
        <w:rPr>
          <w:rFonts w:ascii="Arial Narrow" w:hAnsi="Arial Narrow"/>
        </w:rPr>
        <w:br w:type="page"/>
      </w:r>
    </w:p>
    <w:p w14:paraId="0B0184B9" w14:textId="77777777" w:rsidR="004C5CF1" w:rsidRPr="00546FE0" w:rsidRDefault="004C5CF1" w:rsidP="004C5CF1">
      <w:pPr>
        <w:pStyle w:val="En-tte"/>
        <w:spacing w:after="120" w:line="360" w:lineRule="auto"/>
        <w:rPr>
          <w:rFonts w:ascii="Arial Narrow" w:hAnsi="Arial Narrow"/>
        </w:rPr>
      </w:pPr>
      <w:bookmarkStart w:id="4" w:name="_GoBack"/>
      <w:bookmarkEnd w:id="4"/>
    </w:p>
    <w:p w14:paraId="2C43622A" w14:textId="77777777" w:rsidR="007D159B" w:rsidRPr="00546FE0" w:rsidRDefault="007D15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Garanties</w:t>
      </w:r>
    </w:p>
    <w:p w14:paraId="40A3F625" w14:textId="36625CFD" w:rsidR="004A157C" w:rsidRPr="00A4479E" w:rsidRDefault="00D27E26" w:rsidP="006465DC">
      <w:pPr>
        <w:pStyle w:val="En-tte"/>
        <w:spacing w:after="120" w:line="360" w:lineRule="auto"/>
        <w:jc w:val="both"/>
        <w:rPr>
          <w:rFonts w:ascii="Arial Narrow" w:hAnsi="Arial Narrow"/>
        </w:rPr>
      </w:pPr>
      <w:r w:rsidRPr="00A4479E">
        <w:rPr>
          <w:rFonts w:ascii="Arial Narrow" w:hAnsi="Arial Narrow"/>
        </w:rPr>
        <w:t>L</w:t>
      </w:r>
      <w:r w:rsidR="00DB457F" w:rsidRPr="00A4479E">
        <w:rPr>
          <w:rFonts w:ascii="Arial Narrow" w:hAnsi="Arial Narrow"/>
        </w:rPr>
        <w:t>’admission des prestations entraine le transfert de propriété. L</w:t>
      </w:r>
      <w:r w:rsidRPr="00A4479E">
        <w:rPr>
          <w:rFonts w:ascii="Arial Narrow" w:hAnsi="Arial Narrow"/>
        </w:rPr>
        <w:t>e matériel fourni par le titulaire en cours de marché, est garanti pendant toute la durée légale soit un an, ou pendant la garantie contractuelle accordée par le fabricant si celle-ci est supérieure à la durée légale.</w:t>
      </w:r>
    </w:p>
    <w:p w14:paraId="23763E22" w14:textId="3858EC89" w:rsidR="00D27E26" w:rsidRPr="00A4479E" w:rsidRDefault="00D27E26" w:rsidP="006465DC">
      <w:pPr>
        <w:pStyle w:val="En-tte"/>
        <w:spacing w:after="120" w:line="360" w:lineRule="auto"/>
        <w:jc w:val="both"/>
        <w:rPr>
          <w:rFonts w:ascii="Arial Narrow" w:hAnsi="Arial Narrow"/>
        </w:rPr>
      </w:pPr>
      <w:r w:rsidRPr="00A4479E">
        <w:rPr>
          <w:rFonts w:ascii="Arial Narrow" w:hAnsi="Arial Narrow"/>
        </w:rPr>
        <w:t xml:space="preserve">Au </w:t>
      </w:r>
      <w:r w:rsidR="00733FD2" w:rsidRPr="00A4479E">
        <w:rPr>
          <w:rFonts w:ascii="Arial Narrow" w:hAnsi="Arial Narrow"/>
        </w:rPr>
        <w:t>titre</w:t>
      </w:r>
      <w:r w:rsidRPr="00A4479E">
        <w:rPr>
          <w:rFonts w:ascii="Arial Narrow" w:hAnsi="Arial Narrow"/>
        </w:rPr>
        <w:t xml:space="preserve"> de cette garantie, le titulaire s’oblige à remettre en état ou remplacer à ses frais la </w:t>
      </w:r>
      <w:r w:rsidR="00733FD2" w:rsidRPr="00A4479E">
        <w:rPr>
          <w:rFonts w:ascii="Arial Narrow" w:hAnsi="Arial Narrow"/>
        </w:rPr>
        <w:t>partie de la prestation qui serait reconnue défectueuse, exception faite ou la défectuosité serait imputable à l’</w:t>
      </w:r>
      <w:r w:rsidR="00BF28CF" w:rsidRPr="00A4479E">
        <w:rPr>
          <w:rFonts w:ascii="Arial Narrow" w:hAnsi="Arial Narrow"/>
        </w:rPr>
        <w:t>EPMO</w:t>
      </w:r>
      <w:r w:rsidR="00733FD2" w:rsidRPr="00A4479E">
        <w:rPr>
          <w:rFonts w:ascii="Arial Narrow" w:hAnsi="Arial Narrow"/>
        </w:rPr>
        <w:t>.</w:t>
      </w:r>
    </w:p>
    <w:p w14:paraId="146794B8" w14:textId="1EE503DE" w:rsidR="006619F0" w:rsidRPr="00A4479E" w:rsidRDefault="00733FD2" w:rsidP="006465DC">
      <w:pPr>
        <w:pStyle w:val="En-tte"/>
        <w:spacing w:after="120" w:line="360" w:lineRule="auto"/>
        <w:jc w:val="both"/>
        <w:rPr>
          <w:rFonts w:ascii="Arial Narrow" w:hAnsi="Arial Narrow"/>
        </w:rPr>
      </w:pPr>
      <w:r w:rsidRPr="00A4479E">
        <w:rPr>
          <w:rFonts w:ascii="Arial Narrow" w:hAnsi="Arial Narrow"/>
        </w:rPr>
        <w:t>Cette garantie couvre également les frais de déplacement du personnel, de condit</w:t>
      </w:r>
      <w:r w:rsidR="00BF28CF" w:rsidRPr="00A4479E">
        <w:rPr>
          <w:rFonts w:ascii="Arial Narrow" w:hAnsi="Arial Narrow"/>
        </w:rPr>
        <w:t>ionnement</w:t>
      </w:r>
      <w:r w:rsidRPr="00A4479E">
        <w:rPr>
          <w:rFonts w:ascii="Arial Narrow" w:hAnsi="Arial Narrow"/>
        </w:rPr>
        <w:t>, d’emballage et de transport de matériel nécessités</w:t>
      </w:r>
      <w:r w:rsidR="006619F0" w:rsidRPr="00A4479E">
        <w:rPr>
          <w:rFonts w:ascii="Arial Narrow" w:hAnsi="Arial Narrow"/>
        </w:rPr>
        <w:t xml:space="preserve"> par la </w:t>
      </w:r>
      <w:r w:rsidRPr="00A4479E">
        <w:rPr>
          <w:rFonts w:ascii="Arial Narrow" w:hAnsi="Arial Narrow"/>
        </w:rPr>
        <w:t xml:space="preserve">remise en état ou le </w:t>
      </w:r>
      <w:r w:rsidR="006619F0" w:rsidRPr="00A4479E">
        <w:rPr>
          <w:rFonts w:ascii="Arial Narrow" w:hAnsi="Arial Narrow"/>
        </w:rPr>
        <w:t>remplacement,</w:t>
      </w:r>
      <w:r w:rsidRPr="00A4479E">
        <w:rPr>
          <w:rFonts w:ascii="Arial Narrow" w:hAnsi="Arial Narrow"/>
        </w:rPr>
        <w:t xml:space="preserve"> qu’il soit procédé à ces </w:t>
      </w:r>
      <w:r w:rsidR="006619F0" w:rsidRPr="00A4479E">
        <w:rPr>
          <w:rFonts w:ascii="Arial Narrow" w:hAnsi="Arial Narrow"/>
        </w:rPr>
        <w:t>opérations</w:t>
      </w:r>
      <w:r w:rsidRPr="00A4479E">
        <w:rPr>
          <w:rFonts w:ascii="Arial Narrow" w:hAnsi="Arial Narrow"/>
        </w:rPr>
        <w:t xml:space="preserve"> au lieu d’</w:t>
      </w:r>
      <w:r w:rsidR="006619F0" w:rsidRPr="00A4479E">
        <w:rPr>
          <w:rFonts w:ascii="Arial Narrow" w:hAnsi="Arial Narrow"/>
        </w:rPr>
        <w:t xml:space="preserve">utilisation de la </w:t>
      </w:r>
      <w:r w:rsidRPr="00A4479E">
        <w:rPr>
          <w:rFonts w:ascii="Arial Narrow" w:hAnsi="Arial Narrow"/>
        </w:rPr>
        <w:t xml:space="preserve">prestation ou que le </w:t>
      </w:r>
      <w:r w:rsidR="006619F0" w:rsidRPr="00A4479E">
        <w:rPr>
          <w:rFonts w:ascii="Arial Narrow" w:hAnsi="Arial Narrow"/>
        </w:rPr>
        <w:t>titulaire</w:t>
      </w:r>
      <w:r w:rsidRPr="00A4479E">
        <w:rPr>
          <w:rFonts w:ascii="Arial Narrow" w:hAnsi="Arial Narrow"/>
        </w:rPr>
        <w:t xml:space="preserve"> ait </w:t>
      </w:r>
      <w:r w:rsidR="006619F0" w:rsidRPr="00A4479E">
        <w:rPr>
          <w:rFonts w:ascii="Arial Narrow" w:hAnsi="Arial Narrow"/>
        </w:rPr>
        <w:t>obtenu</w:t>
      </w:r>
      <w:r w:rsidRPr="00A4479E">
        <w:rPr>
          <w:rFonts w:ascii="Arial Narrow" w:hAnsi="Arial Narrow"/>
        </w:rPr>
        <w:t xml:space="preserve"> </w:t>
      </w:r>
      <w:r w:rsidR="006619F0" w:rsidRPr="00A4479E">
        <w:rPr>
          <w:rFonts w:ascii="Arial Narrow" w:hAnsi="Arial Narrow"/>
        </w:rPr>
        <w:t>que la fourniture</w:t>
      </w:r>
      <w:r w:rsidRPr="00A4479E">
        <w:rPr>
          <w:rFonts w:ascii="Arial Narrow" w:hAnsi="Arial Narrow"/>
        </w:rPr>
        <w:t xml:space="preserve"> soit renvoyée</w:t>
      </w:r>
      <w:r w:rsidR="006619F0" w:rsidRPr="00A4479E">
        <w:rPr>
          <w:rFonts w:ascii="Arial Narrow" w:hAnsi="Arial Narrow"/>
        </w:rPr>
        <w:t xml:space="preserve"> à cette fin dans ses locaux.</w:t>
      </w:r>
    </w:p>
    <w:p w14:paraId="2D75B628" w14:textId="04485734" w:rsidR="00733FD2" w:rsidRPr="00A4479E" w:rsidRDefault="003063A4" w:rsidP="006465DC">
      <w:pPr>
        <w:pStyle w:val="En-tte"/>
        <w:spacing w:after="120" w:line="360" w:lineRule="auto"/>
        <w:jc w:val="both"/>
        <w:rPr>
          <w:rFonts w:ascii="Arial Narrow" w:hAnsi="Arial Narrow"/>
        </w:rPr>
      </w:pPr>
      <w:r w:rsidRPr="00A4479E">
        <w:rPr>
          <w:rFonts w:ascii="Arial Narrow" w:hAnsi="Arial Narrow"/>
        </w:rPr>
        <w:t>Lorsque pendant la remise en état, la privation de jouissance entraine pour l’acheteur un préjudice, celui-ci peut exiger un matériel de remplacement équivalent.</w:t>
      </w:r>
    </w:p>
    <w:p w14:paraId="66462AD3" w14:textId="039D0325" w:rsidR="003063A4" w:rsidRPr="00A4479E" w:rsidRDefault="003063A4" w:rsidP="006465DC">
      <w:pPr>
        <w:pStyle w:val="En-tte"/>
        <w:spacing w:after="120" w:line="360" w:lineRule="auto"/>
        <w:jc w:val="both"/>
        <w:rPr>
          <w:rFonts w:ascii="Arial Narrow" w:hAnsi="Arial Narrow"/>
        </w:rPr>
      </w:pPr>
      <w:r w:rsidRPr="00A4479E">
        <w:rPr>
          <w:rFonts w:ascii="Arial Narrow" w:hAnsi="Arial Narrow"/>
        </w:rPr>
        <w:t xml:space="preserve">Le délai dont dispose le titulaire pour effectuer une mise au point ou une </w:t>
      </w:r>
      <w:r w:rsidR="00BF28CF" w:rsidRPr="00A4479E">
        <w:rPr>
          <w:rFonts w:ascii="Arial Narrow" w:hAnsi="Arial Narrow"/>
        </w:rPr>
        <w:t xml:space="preserve">réparation </w:t>
      </w:r>
      <w:r w:rsidRPr="00A4479E">
        <w:rPr>
          <w:rFonts w:ascii="Arial Narrow" w:hAnsi="Arial Narrow"/>
        </w:rPr>
        <w:t>qui lui est demandée est fixé dans le CCTP ou ses annexes, à défaut par décision de l’acheteur après consultation du titulaire.</w:t>
      </w:r>
    </w:p>
    <w:p w14:paraId="701771BB" w14:textId="4FAD73FE" w:rsidR="003063A4" w:rsidRPr="00A4479E" w:rsidRDefault="003063A4" w:rsidP="006465DC">
      <w:pPr>
        <w:pStyle w:val="En-tte"/>
        <w:spacing w:after="120" w:line="360" w:lineRule="auto"/>
        <w:jc w:val="both"/>
        <w:rPr>
          <w:rFonts w:ascii="Arial Narrow" w:hAnsi="Arial Narrow"/>
        </w:rPr>
      </w:pPr>
      <w:r w:rsidRPr="00A4479E">
        <w:rPr>
          <w:rFonts w:ascii="Arial Narrow" w:hAnsi="Arial Narrow"/>
        </w:rPr>
        <w:t>Les carnets de maintenance mentionnent la date de prise d’effet de la garantie. Si une nouvelle défaillance affectant le même organe se produit dans un délai inférieur au délai de garantie il n’y a pas de facturation pour la seconde réparation</w:t>
      </w:r>
    </w:p>
    <w:p w14:paraId="307D9698" w14:textId="77777777" w:rsidR="003063A4" w:rsidRPr="00546FE0" w:rsidRDefault="003063A4"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75A33554" w14:textId="3608C18A" w:rsidR="00D4779E" w:rsidRPr="00546FE0" w:rsidRDefault="00AB6BBF" w:rsidP="00D4779E">
      <w:pPr>
        <w:pStyle w:val="En-tte"/>
        <w:spacing w:after="120" w:line="360" w:lineRule="auto"/>
        <w:jc w:val="both"/>
        <w:rPr>
          <w:rFonts w:ascii="Arial Narrow" w:hAnsi="Arial Narrow"/>
        </w:rPr>
      </w:pPr>
      <w:r w:rsidRPr="00AB6BBF">
        <w:rPr>
          <w:rFonts w:ascii="Arial Narrow" w:hAnsi="Arial Narrow"/>
        </w:rPr>
        <w:t xml:space="preserve"> </w:t>
      </w:r>
      <w:r w:rsidR="00D4779E" w:rsidRPr="00546FE0">
        <w:rPr>
          <w:rFonts w:ascii="Arial Narrow" w:hAnsi="Arial Narrow"/>
        </w:rPr>
        <w:t>L’</w:t>
      </w:r>
      <w:r w:rsidR="00D52967">
        <w:rPr>
          <w:rFonts w:ascii="Arial Narrow" w:hAnsi="Arial Narrow"/>
        </w:rPr>
        <w:t>EPMO-VGE</w:t>
      </w:r>
      <w:r w:rsidR="00D4779E" w:rsidRPr="00546FE0">
        <w:rPr>
          <w:rFonts w:ascii="Arial Narrow" w:hAnsi="Arial Narrow"/>
        </w:rPr>
        <w:t xml:space="preserve"> se réserve la possibilité d’appliquer des pénalités au titulaire en cas de manquement dans l’exécution des prestations.</w:t>
      </w:r>
    </w:p>
    <w:p w14:paraId="1141BDB9" w14:textId="77777777" w:rsidR="00D4779E" w:rsidRPr="00546FE0" w:rsidRDefault="00D4779E" w:rsidP="00D4779E">
      <w:pPr>
        <w:pStyle w:val="En-tte"/>
        <w:spacing w:after="120" w:line="360" w:lineRule="auto"/>
        <w:jc w:val="both"/>
        <w:rPr>
          <w:rFonts w:ascii="Arial Narrow" w:hAnsi="Arial Narrow"/>
        </w:rPr>
      </w:pPr>
      <w:r w:rsidRPr="00546FE0">
        <w:rPr>
          <w:rFonts w:ascii="Arial Narrow" w:hAnsi="Arial Narrow"/>
        </w:rPr>
        <w:t>Par dérogation au 2</w:t>
      </w:r>
      <w:r w:rsidRPr="00546FE0">
        <w:rPr>
          <w:rFonts w:ascii="Arial Narrow" w:hAnsi="Arial Narrow"/>
          <w:vertAlign w:val="superscript"/>
        </w:rPr>
        <w:t>ème</w:t>
      </w:r>
      <w:r w:rsidRPr="00546FE0">
        <w:rPr>
          <w:rFonts w:ascii="Arial Narrow" w:hAnsi="Arial Narrow"/>
        </w:rPr>
        <w:t xml:space="preserve"> alinéa de l’article 14.1.1 du CCAG-FCS, l’EPMO n’invitera pas préalablement le titulaire à présenter ses observations.</w:t>
      </w:r>
    </w:p>
    <w:p w14:paraId="22180C65" w14:textId="77777777" w:rsidR="00D4779E" w:rsidRPr="00546FE0" w:rsidRDefault="00D4779E" w:rsidP="00D4779E">
      <w:pPr>
        <w:pStyle w:val="En-tte"/>
        <w:spacing w:after="120" w:line="360" w:lineRule="auto"/>
        <w:rPr>
          <w:rFonts w:ascii="Arial Narrow" w:hAnsi="Arial Narrow"/>
        </w:rPr>
      </w:pPr>
      <w:r w:rsidRPr="00546FE0">
        <w:rPr>
          <w:rFonts w:ascii="Arial Narrow" w:hAnsi="Arial Narrow"/>
        </w:rPr>
        <w:t>En outre, il n’est pas fait application de l’article 14.1.3 du CCAG-FCS.</w:t>
      </w:r>
    </w:p>
    <w:p w14:paraId="6BBCC252" w14:textId="4D6667EF" w:rsidR="00AB6BBF" w:rsidRDefault="00D4779E" w:rsidP="00B31B38">
      <w:pPr>
        <w:pStyle w:val="En-tte"/>
        <w:spacing w:after="120" w:line="360" w:lineRule="auto"/>
        <w:rPr>
          <w:rFonts w:ascii="Arial Narrow" w:hAnsi="Arial Narrow"/>
        </w:rPr>
      </w:pPr>
      <w:r w:rsidRPr="00546FE0">
        <w:rPr>
          <w:rFonts w:ascii="Arial Narrow" w:hAnsi="Arial Narrow"/>
        </w:rPr>
        <w:t>Les pénalités sont les suivantes :</w:t>
      </w:r>
    </w:p>
    <w:p w14:paraId="5A47A2D4" w14:textId="28A76CC1" w:rsidR="00487F42" w:rsidRDefault="00487F42" w:rsidP="00B31B38">
      <w:pPr>
        <w:pStyle w:val="En-tte"/>
        <w:spacing w:after="120" w:line="360" w:lineRule="auto"/>
        <w:rPr>
          <w:rFonts w:ascii="Arial Narrow" w:hAnsi="Arial Narr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3"/>
        <w:gridCol w:w="4449"/>
      </w:tblGrid>
      <w:tr w:rsidR="00487F42" w:rsidRPr="00AB6BBF" w14:paraId="382EF862" w14:textId="77777777" w:rsidTr="006430A5">
        <w:trPr>
          <w:trHeight w:val="589"/>
          <w:jc w:val="center"/>
        </w:trPr>
        <w:tc>
          <w:tcPr>
            <w:tcW w:w="4613" w:type="dxa"/>
            <w:vAlign w:val="center"/>
          </w:tcPr>
          <w:p w14:paraId="758DEF9A" w14:textId="77777777" w:rsidR="00487F42" w:rsidRPr="00CF5977" w:rsidRDefault="00487F42" w:rsidP="006430A5">
            <w:pPr>
              <w:pStyle w:val="Titre1"/>
              <w:jc w:val="center"/>
              <w:rPr>
                <w:rFonts w:ascii="Arial Narrow" w:hAnsi="Arial Narrow"/>
                <w:b/>
                <w:sz w:val="22"/>
                <w:szCs w:val="22"/>
              </w:rPr>
            </w:pPr>
            <w:r w:rsidRPr="00CF5977">
              <w:rPr>
                <w:rFonts w:ascii="Arial Narrow" w:hAnsi="Arial Narrow"/>
                <w:b/>
                <w:color w:val="auto"/>
                <w:sz w:val="22"/>
                <w:szCs w:val="22"/>
              </w:rPr>
              <w:t>Fait générateur</w:t>
            </w:r>
          </w:p>
        </w:tc>
        <w:tc>
          <w:tcPr>
            <w:tcW w:w="4449" w:type="dxa"/>
            <w:vAlign w:val="center"/>
          </w:tcPr>
          <w:p w14:paraId="612DE174" w14:textId="77777777" w:rsidR="00487F42" w:rsidRPr="00AB6BBF" w:rsidRDefault="00487F42" w:rsidP="006430A5">
            <w:pPr>
              <w:jc w:val="center"/>
              <w:rPr>
                <w:rFonts w:ascii="Arial Narrow" w:hAnsi="Arial Narrow" w:cs="Arial"/>
                <w:b/>
                <w:kern w:val="24"/>
              </w:rPr>
            </w:pPr>
            <w:r w:rsidRPr="00AB6BBF">
              <w:rPr>
                <w:rFonts w:ascii="Arial Narrow" w:hAnsi="Arial Narrow" w:cs="Arial"/>
                <w:b/>
                <w:kern w:val="24"/>
              </w:rPr>
              <w:t>Pénalité (en euros HT)</w:t>
            </w:r>
          </w:p>
        </w:tc>
      </w:tr>
      <w:tr w:rsidR="00487F42" w:rsidRPr="00AB6BBF" w14:paraId="021AAEF6" w14:textId="77777777" w:rsidTr="006430A5">
        <w:trPr>
          <w:trHeight w:val="624"/>
          <w:jc w:val="center"/>
        </w:trPr>
        <w:tc>
          <w:tcPr>
            <w:tcW w:w="4613" w:type="dxa"/>
            <w:vAlign w:val="center"/>
          </w:tcPr>
          <w:p w14:paraId="7CFB87E3" w14:textId="77777777" w:rsidR="00487F42" w:rsidRPr="00AB6BBF" w:rsidRDefault="00487F42" w:rsidP="006430A5">
            <w:pPr>
              <w:rPr>
                <w:rFonts w:ascii="Arial Narrow" w:hAnsi="Arial Narrow" w:cs="Arial"/>
                <w:kern w:val="24"/>
              </w:rPr>
            </w:pPr>
            <w:r>
              <w:rPr>
                <w:rFonts w:ascii="Arial Narrow" w:hAnsi="Arial Narrow" w:cs="Arial"/>
                <w:kern w:val="24"/>
              </w:rPr>
              <w:t>Retard pour les prestations sur bon de commande</w:t>
            </w:r>
          </w:p>
        </w:tc>
        <w:tc>
          <w:tcPr>
            <w:tcW w:w="4449" w:type="dxa"/>
            <w:vAlign w:val="center"/>
          </w:tcPr>
          <w:p w14:paraId="589909D2" w14:textId="4A6AF6C5" w:rsidR="00487F42" w:rsidRPr="00AB6BBF" w:rsidRDefault="00487F42" w:rsidP="006430A5">
            <w:pPr>
              <w:jc w:val="center"/>
              <w:rPr>
                <w:rFonts w:ascii="Arial Narrow" w:hAnsi="Arial Narrow" w:cs="Arial"/>
                <w:kern w:val="24"/>
              </w:rPr>
            </w:pPr>
            <w:r w:rsidRPr="00AB6BBF">
              <w:rPr>
                <w:rFonts w:ascii="Arial Narrow" w:hAnsi="Arial Narrow" w:cs="Arial"/>
                <w:kern w:val="24"/>
              </w:rPr>
              <w:t xml:space="preserve">50 € par </w:t>
            </w:r>
            <w:r>
              <w:rPr>
                <w:rFonts w:ascii="Arial Narrow" w:hAnsi="Arial Narrow" w:cs="Arial"/>
                <w:kern w:val="24"/>
              </w:rPr>
              <w:t>journée</w:t>
            </w:r>
            <w:r w:rsidRPr="00AB6BBF">
              <w:rPr>
                <w:rFonts w:ascii="Arial Narrow" w:hAnsi="Arial Narrow" w:cs="Arial"/>
                <w:kern w:val="24"/>
              </w:rPr>
              <w:t xml:space="preserve"> </w:t>
            </w:r>
            <w:r>
              <w:rPr>
                <w:rFonts w:ascii="Arial Narrow" w:hAnsi="Arial Narrow" w:cs="Arial"/>
                <w:kern w:val="24"/>
              </w:rPr>
              <w:t xml:space="preserve">calendaire </w:t>
            </w:r>
            <w:r w:rsidRPr="00AB6BBF">
              <w:rPr>
                <w:rFonts w:ascii="Arial Narrow" w:hAnsi="Arial Narrow" w:cs="Arial"/>
                <w:kern w:val="24"/>
              </w:rPr>
              <w:t>de retard</w:t>
            </w:r>
          </w:p>
        </w:tc>
      </w:tr>
      <w:tr w:rsidR="00487F42" w:rsidRPr="00AB6BBF" w14:paraId="5BC2AEBA" w14:textId="77777777" w:rsidTr="006430A5">
        <w:trPr>
          <w:trHeight w:val="624"/>
          <w:jc w:val="center"/>
        </w:trPr>
        <w:tc>
          <w:tcPr>
            <w:tcW w:w="4613" w:type="dxa"/>
            <w:vAlign w:val="center"/>
          </w:tcPr>
          <w:p w14:paraId="54B6B589" w14:textId="77777777" w:rsidR="00487F42" w:rsidRPr="00AB6BBF" w:rsidRDefault="00487F42" w:rsidP="006430A5">
            <w:pPr>
              <w:rPr>
                <w:rFonts w:ascii="Arial Narrow" w:hAnsi="Arial Narrow" w:cs="Arial"/>
                <w:kern w:val="24"/>
              </w:rPr>
            </w:pPr>
            <w:r>
              <w:rPr>
                <w:rFonts w:ascii="Arial Narrow" w:hAnsi="Arial Narrow" w:cs="Arial"/>
                <w:kern w:val="24"/>
              </w:rPr>
              <w:lastRenderedPageBreak/>
              <w:t>Retard dans la transmission du devis conforme</w:t>
            </w:r>
          </w:p>
        </w:tc>
        <w:tc>
          <w:tcPr>
            <w:tcW w:w="4449" w:type="dxa"/>
            <w:vAlign w:val="center"/>
          </w:tcPr>
          <w:p w14:paraId="005F1C05" w14:textId="0FFF99B3" w:rsidR="00487F42" w:rsidRPr="00AB6BBF" w:rsidRDefault="00487F42" w:rsidP="006430A5">
            <w:pPr>
              <w:jc w:val="center"/>
              <w:rPr>
                <w:rFonts w:ascii="Arial Narrow" w:hAnsi="Arial Narrow" w:cs="Arial"/>
                <w:kern w:val="24"/>
              </w:rPr>
            </w:pPr>
            <w:r w:rsidRPr="00AB6BBF">
              <w:rPr>
                <w:rFonts w:ascii="Arial Narrow" w:hAnsi="Arial Narrow" w:cs="Arial"/>
                <w:kern w:val="24"/>
              </w:rPr>
              <w:t>100 € par jour</w:t>
            </w:r>
            <w:r>
              <w:rPr>
                <w:rFonts w:ascii="Arial Narrow" w:hAnsi="Arial Narrow" w:cs="Arial"/>
                <w:kern w:val="24"/>
              </w:rPr>
              <w:t xml:space="preserve"> calendaire</w:t>
            </w:r>
          </w:p>
        </w:tc>
      </w:tr>
      <w:tr w:rsidR="00487F42" w:rsidRPr="00AB6BBF" w14:paraId="25CE6102" w14:textId="77777777" w:rsidTr="006430A5">
        <w:trPr>
          <w:trHeight w:val="624"/>
          <w:jc w:val="center"/>
        </w:trPr>
        <w:tc>
          <w:tcPr>
            <w:tcW w:w="4613" w:type="dxa"/>
            <w:vAlign w:val="center"/>
          </w:tcPr>
          <w:p w14:paraId="56B5F747" w14:textId="77777777" w:rsidR="00487F42" w:rsidRPr="00AB6BBF" w:rsidRDefault="00487F42" w:rsidP="006430A5">
            <w:pPr>
              <w:rPr>
                <w:rFonts w:ascii="Arial Narrow" w:hAnsi="Arial Narrow" w:cs="Arial"/>
                <w:kern w:val="24"/>
              </w:rPr>
            </w:pPr>
            <w:r w:rsidRPr="00AB6BBF">
              <w:rPr>
                <w:rFonts w:ascii="Arial Narrow" w:hAnsi="Arial Narrow" w:cs="Arial"/>
                <w:kern w:val="24"/>
              </w:rPr>
              <w:t>Absence d’information sur la mise à l’arrêt</w:t>
            </w:r>
          </w:p>
        </w:tc>
        <w:tc>
          <w:tcPr>
            <w:tcW w:w="4449" w:type="dxa"/>
            <w:vAlign w:val="center"/>
          </w:tcPr>
          <w:p w14:paraId="1DDC41A0" w14:textId="76861A60" w:rsidR="00487F42" w:rsidRPr="00AB6BBF" w:rsidRDefault="00487F42" w:rsidP="006430A5">
            <w:pPr>
              <w:jc w:val="center"/>
              <w:rPr>
                <w:rFonts w:ascii="Arial Narrow" w:hAnsi="Arial Narrow" w:cs="Arial"/>
                <w:kern w:val="24"/>
              </w:rPr>
            </w:pPr>
            <w:r w:rsidRPr="00AB6BBF">
              <w:rPr>
                <w:rFonts w:ascii="Arial Narrow" w:hAnsi="Arial Narrow" w:cs="Arial"/>
                <w:kern w:val="24"/>
              </w:rPr>
              <w:t>50 €  par</w:t>
            </w:r>
            <w:r>
              <w:rPr>
                <w:rFonts w:ascii="Arial Narrow" w:hAnsi="Arial Narrow" w:cs="Arial"/>
                <w:kern w:val="24"/>
              </w:rPr>
              <w:t xml:space="preserve"> constat</w:t>
            </w:r>
            <w:r w:rsidRPr="00AB6BBF">
              <w:rPr>
                <w:rFonts w:ascii="Arial Narrow" w:hAnsi="Arial Narrow" w:cs="Arial"/>
                <w:kern w:val="24"/>
              </w:rPr>
              <w:t xml:space="preserve"> </w:t>
            </w:r>
            <w:r w:rsidR="00B91061">
              <w:rPr>
                <w:rFonts w:ascii="Arial Narrow" w:hAnsi="Arial Narrow" w:cs="Arial"/>
                <w:kern w:val="24"/>
              </w:rPr>
              <w:t xml:space="preserve">par </w:t>
            </w:r>
            <w:r>
              <w:rPr>
                <w:rFonts w:ascii="Arial Narrow" w:hAnsi="Arial Narrow" w:cs="Arial"/>
                <w:kern w:val="24"/>
              </w:rPr>
              <w:t>équipement</w:t>
            </w:r>
          </w:p>
        </w:tc>
      </w:tr>
      <w:tr w:rsidR="00487F42" w:rsidRPr="00AB6BBF" w14:paraId="4C8CAD3C" w14:textId="77777777" w:rsidTr="006430A5">
        <w:trPr>
          <w:trHeight w:val="624"/>
          <w:jc w:val="center"/>
        </w:trPr>
        <w:tc>
          <w:tcPr>
            <w:tcW w:w="4613" w:type="dxa"/>
            <w:vAlign w:val="center"/>
          </w:tcPr>
          <w:p w14:paraId="796C40F2" w14:textId="77777777" w:rsidR="00487F42" w:rsidRPr="00D83500" w:rsidRDefault="00487F42" w:rsidP="006430A5">
            <w:pPr>
              <w:pStyle w:val="En-tte"/>
              <w:tabs>
                <w:tab w:val="clear" w:pos="4536"/>
                <w:tab w:val="clear" w:pos="9072"/>
              </w:tabs>
              <w:spacing w:after="160" w:line="259" w:lineRule="auto"/>
              <w:rPr>
                <w:rFonts w:ascii="Arial Narrow" w:hAnsi="Arial Narrow" w:cs="Arial"/>
                <w:kern w:val="24"/>
              </w:rPr>
            </w:pPr>
            <w:r w:rsidRPr="00D83500">
              <w:rPr>
                <w:rFonts w:ascii="Arial Narrow" w:hAnsi="Arial Narrow" w:cs="Arial"/>
                <w:kern w:val="24"/>
              </w:rPr>
              <w:t>Non-exécution des opéra</w:t>
            </w:r>
            <w:r>
              <w:rPr>
                <w:rFonts w:ascii="Arial Narrow" w:hAnsi="Arial Narrow" w:cs="Arial"/>
                <w:kern w:val="24"/>
              </w:rPr>
              <w:t>tions de maintenance préventive</w:t>
            </w:r>
          </w:p>
        </w:tc>
        <w:tc>
          <w:tcPr>
            <w:tcW w:w="4449" w:type="dxa"/>
            <w:vAlign w:val="center"/>
          </w:tcPr>
          <w:p w14:paraId="49047F19" w14:textId="54CE5F95" w:rsidR="00487F42" w:rsidRPr="00AB6BBF" w:rsidRDefault="00487F42" w:rsidP="00487F42">
            <w:pPr>
              <w:jc w:val="center"/>
              <w:rPr>
                <w:rFonts w:ascii="Arial Narrow" w:hAnsi="Arial Narrow" w:cs="Arial"/>
                <w:kern w:val="24"/>
              </w:rPr>
            </w:pPr>
            <w:r>
              <w:rPr>
                <w:rFonts w:ascii="Arial Narrow" w:hAnsi="Arial Narrow" w:cs="Arial"/>
                <w:kern w:val="24"/>
              </w:rPr>
              <w:t>5</w:t>
            </w:r>
            <w:r w:rsidRPr="00AB6BBF">
              <w:rPr>
                <w:rFonts w:ascii="Arial Narrow" w:hAnsi="Arial Narrow" w:cs="Arial"/>
                <w:kern w:val="24"/>
              </w:rPr>
              <w:t xml:space="preserve">0 € par </w:t>
            </w:r>
            <w:r>
              <w:rPr>
                <w:rFonts w:ascii="Arial Narrow" w:hAnsi="Arial Narrow" w:cs="Arial"/>
                <w:kern w:val="24"/>
              </w:rPr>
              <w:t>constat et par équipement</w:t>
            </w:r>
            <w:r w:rsidRPr="00AB6BBF">
              <w:rPr>
                <w:rFonts w:ascii="Arial Narrow" w:hAnsi="Arial Narrow" w:cs="Arial"/>
                <w:kern w:val="24"/>
              </w:rPr>
              <w:t xml:space="preserve"> </w:t>
            </w:r>
          </w:p>
        </w:tc>
      </w:tr>
      <w:tr w:rsidR="00487F42" w:rsidRPr="00AB6BBF" w14:paraId="34D3DF78" w14:textId="77777777" w:rsidTr="006430A5">
        <w:trPr>
          <w:trHeight w:val="584"/>
          <w:jc w:val="center"/>
        </w:trPr>
        <w:tc>
          <w:tcPr>
            <w:tcW w:w="4613" w:type="dxa"/>
            <w:vAlign w:val="center"/>
          </w:tcPr>
          <w:p w14:paraId="4BDEB7C1" w14:textId="77777777" w:rsidR="00487F42" w:rsidRPr="00AB6BBF" w:rsidRDefault="00487F42" w:rsidP="006430A5">
            <w:pPr>
              <w:rPr>
                <w:rFonts w:ascii="Arial Narrow" w:hAnsi="Arial Narrow" w:cs="Arial"/>
                <w:kern w:val="24"/>
              </w:rPr>
            </w:pPr>
            <w:r w:rsidRPr="00D83500">
              <w:rPr>
                <w:rFonts w:ascii="Arial Narrow" w:hAnsi="Arial Narrow" w:cs="Arial"/>
                <w:kern w:val="24"/>
              </w:rPr>
              <w:t>Non transmission de l’audit technique d’entrée</w:t>
            </w:r>
            <w:r>
              <w:rPr>
                <w:rFonts w:ascii="Arial Narrow" w:hAnsi="Arial Narrow" w:cs="Arial"/>
                <w:kern w:val="24"/>
              </w:rPr>
              <w:t xml:space="preserve"> ou</w:t>
            </w:r>
            <w:r w:rsidRPr="00D83500">
              <w:rPr>
                <w:rFonts w:ascii="Arial Narrow" w:hAnsi="Arial Narrow" w:cs="Arial"/>
                <w:kern w:val="24"/>
              </w:rPr>
              <w:t xml:space="preserve"> de sortie</w:t>
            </w:r>
          </w:p>
        </w:tc>
        <w:tc>
          <w:tcPr>
            <w:tcW w:w="4449" w:type="dxa"/>
            <w:vAlign w:val="center"/>
          </w:tcPr>
          <w:p w14:paraId="3A3C429A" w14:textId="20CA70D8" w:rsidR="00487F42" w:rsidRPr="00AB6BBF" w:rsidRDefault="00487F42" w:rsidP="00487F42">
            <w:pPr>
              <w:jc w:val="center"/>
              <w:rPr>
                <w:rFonts w:ascii="Arial Narrow" w:hAnsi="Arial Narrow" w:cs="Arial"/>
                <w:kern w:val="24"/>
              </w:rPr>
            </w:pPr>
            <w:r>
              <w:rPr>
                <w:rFonts w:ascii="Arial Narrow" w:hAnsi="Arial Narrow" w:cs="Arial"/>
                <w:kern w:val="24"/>
              </w:rPr>
              <w:t>5</w:t>
            </w:r>
            <w:r w:rsidRPr="00AB6BBF">
              <w:rPr>
                <w:rFonts w:ascii="Arial Narrow" w:hAnsi="Arial Narrow" w:cs="Arial"/>
                <w:kern w:val="24"/>
              </w:rPr>
              <w:t xml:space="preserve">0 € par </w:t>
            </w:r>
            <w:r>
              <w:rPr>
                <w:rFonts w:ascii="Arial Narrow" w:hAnsi="Arial Narrow" w:cs="Arial"/>
                <w:kern w:val="24"/>
              </w:rPr>
              <w:t>constat et par équipement</w:t>
            </w:r>
            <w:r w:rsidRPr="00AB6BBF">
              <w:rPr>
                <w:rFonts w:ascii="Arial Narrow" w:hAnsi="Arial Narrow" w:cs="Arial"/>
                <w:kern w:val="24"/>
              </w:rPr>
              <w:t xml:space="preserve"> </w:t>
            </w:r>
          </w:p>
        </w:tc>
      </w:tr>
      <w:tr w:rsidR="00487F42" w:rsidRPr="00AB6BBF" w14:paraId="73FA0404" w14:textId="77777777" w:rsidTr="006430A5">
        <w:trPr>
          <w:trHeight w:val="624"/>
          <w:jc w:val="center"/>
        </w:trPr>
        <w:tc>
          <w:tcPr>
            <w:tcW w:w="4613" w:type="dxa"/>
            <w:vAlign w:val="center"/>
          </w:tcPr>
          <w:p w14:paraId="3F30CA0C" w14:textId="77777777" w:rsidR="00487F42" w:rsidRPr="00AB6BBF" w:rsidRDefault="00487F42" w:rsidP="006430A5">
            <w:pPr>
              <w:rPr>
                <w:rFonts w:ascii="Arial Narrow" w:hAnsi="Arial Narrow" w:cs="Arial"/>
                <w:kern w:val="24"/>
              </w:rPr>
            </w:pPr>
            <w:r w:rsidRPr="00AB6BBF">
              <w:rPr>
                <w:rFonts w:ascii="Arial Narrow" w:hAnsi="Arial Narrow" w:cs="Arial"/>
                <w:kern w:val="24"/>
              </w:rPr>
              <w:t xml:space="preserve">Retard pour les opérations de maintenance corrective </w:t>
            </w:r>
          </w:p>
        </w:tc>
        <w:tc>
          <w:tcPr>
            <w:tcW w:w="4449" w:type="dxa"/>
            <w:vAlign w:val="center"/>
          </w:tcPr>
          <w:p w14:paraId="4DC404D3" w14:textId="77777777" w:rsidR="00487F42" w:rsidRPr="00AB6BBF" w:rsidRDefault="00487F42" w:rsidP="006430A5">
            <w:pPr>
              <w:jc w:val="center"/>
              <w:rPr>
                <w:rFonts w:ascii="Arial Narrow" w:hAnsi="Arial Narrow" w:cs="Arial"/>
                <w:kern w:val="24"/>
              </w:rPr>
            </w:pPr>
            <w:r w:rsidRPr="00AB56A4">
              <w:rPr>
                <w:rFonts w:ascii="Arial Narrow" w:hAnsi="Arial Narrow" w:cs="Arial"/>
                <w:kern w:val="24"/>
              </w:rPr>
              <w:t>50 euros par heure de retard</w:t>
            </w:r>
          </w:p>
        </w:tc>
      </w:tr>
      <w:tr w:rsidR="00487F42" w:rsidRPr="00AB6BBF" w14:paraId="3A45A9BB" w14:textId="77777777" w:rsidTr="006430A5">
        <w:trPr>
          <w:trHeight w:val="624"/>
          <w:jc w:val="center"/>
        </w:trPr>
        <w:tc>
          <w:tcPr>
            <w:tcW w:w="4613" w:type="dxa"/>
            <w:vAlign w:val="center"/>
          </w:tcPr>
          <w:p w14:paraId="597906D6" w14:textId="77777777" w:rsidR="00487F42" w:rsidRPr="00AB6BBF" w:rsidRDefault="00487F42" w:rsidP="006430A5">
            <w:pPr>
              <w:rPr>
                <w:rFonts w:ascii="Arial Narrow" w:hAnsi="Arial Narrow" w:cs="Arial"/>
                <w:kern w:val="24"/>
              </w:rPr>
            </w:pPr>
            <w:r w:rsidRPr="00AB6BBF">
              <w:rPr>
                <w:rFonts w:ascii="Arial Narrow" w:hAnsi="Arial Narrow" w:cs="Arial"/>
                <w:kern w:val="24"/>
              </w:rPr>
              <w:t>Indisponibilité</w:t>
            </w:r>
            <w:r w:rsidRPr="00AB6BBF">
              <w:rPr>
                <w:rFonts w:ascii="Arial Narrow" w:hAnsi="Arial Narrow" w:cs="Arial"/>
                <w:color w:val="C00000"/>
                <w:kern w:val="24"/>
              </w:rPr>
              <w:t>*</w:t>
            </w:r>
            <w:r>
              <w:rPr>
                <w:rFonts w:ascii="Arial Narrow" w:hAnsi="Arial Narrow" w:cs="Arial"/>
                <w:color w:val="C00000"/>
                <w:kern w:val="24"/>
              </w:rPr>
              <w:t xml:space="preserve"> </w:t>
            </w:r>
            <w:r w:rsidRPr="00D83500">
              <w:rPr>
                <w:rFonts w:ascii="Arial Narrow" w:hAnsi="Arial Narrow" w:cs="Arial"/>
                <w:color w:val="000000" w:themeColor="text1"/>
                <w:kern w:val="24"/>
              </w:rPr>
              <w:t>d’un équipement</w:t>
            </w:r>
          </w:p>
        </w:tc>
        <w:tc>
          <w:tcPr>
            <w:tcW w:w="4449" w:type="dxa"/>
            <w:vAlign w:val="center"/>
          </w:tcPr>
          <w:p w14:paraId="1308237A" w14:textId="65312763" w:rsidR="00487F42" w:rsidRPr="00AB6BBF" w:rsidRDefault="00487F42" w:rsidP="006430A5">
            <w:pPr>
              <w:jc w:val="center"/>
              <w:rPr>
                <w:rFonts w:ascii="Arial Narrow" w:hAnsi="Arial Narrow" w:cs="Arial"/>
                <w:kern w:val="24"/>
              </w:rPr>
            </w:pPr>
            <w:r>
              <w:rPr>
                <w:rFonts w:ascii="Arial Narrow" w:hAnsi="Arial Narrow" w:cs="Arial"/>
                <w:kern w:val="24"/>
              </w:rPr>
              <w:t>10</w:t>
            </w:r>
            <w:r w:rsidRPr="00AB6BBF">
              <w:rPr>
                <w:rFonts w:ascii="Arial Narrow" w:hAnsi="Arial Narrow" w:cs="Arial"/>
                <w:kern w:val="24"/>
              </w:rPr>
              <w:t>0 € par jour</w:t>
            </w:r>
            <w:r>
              <w:rPr>
                <w:rFonts w:ascii="Arial Narrow" w:hAnsi="Arial Narrow" w:cs="Arial"/>
                <w:kern w:val="24"/>
              </w:rPr>
              <w:t xml:space="preserve"> </w:t>
            </w:r>
          </w:p>
        </w:tc>
      </w:tr>
      <w:tr w:rsidR="00487F42" w:rsidRPr="00AB6BBF" w14:paraId="7BA58F98" w14:textId="77777777" w:rsidTr="006430A5">
        <w:trPr>
          <w:trHeight w:val="624"/>
          <w:jc w:val="center"/>
        </w:trPr>
        <w:tc>
          <w:tcPr>
            <w:tcW w:w="4613" w:type="dxa"/>
            <w:vAlign w:val="center"/>
          </w:tcPr>
          <w:p w14:paraId="1D8D3D6F" w14:textId="77777777" w:rsidR="00487F42" w:rsidRPr="00D83500" w:rsidRDefault="00487F42" w:rsidP="006430A5">
            <w:pPr>
              <w:pStyle w:val="En-tte"/>
              <w:tabs>
                <w:tab w:val="clear" w:pos="4536"/>
                <w:tab w:val="clear" w:pos="9072"/>
              </w:tabs>
              <w:spacing w:after="160" w:line="259" w:lineRule="auto"/>
              <w:rPr>
                <w:rFonts w:ascii="Arial Narrow" w:hAnsi="Arial Narrow" w:cs="Arial"/>
                <w:kern w:val="24"/>
              </w:rPr>
            </w:pPr>
            <w:r w:rsidRPr="00D83500">
              <w:rPr>
                <w:rFonts w:ascii="Arial Narrow" w:hAnsi="Arial Narrow" w:cs="Arial"/>
                <w:kern w:val="24"/>
              </w:rPr>
              <w:t>Retard dans la levée des réserves du bureau de contrôle</w:t>
            </w:r>
          </w:p>
        </w:tc>
        <w:tc>
          <w:tcPr>
            <w:tcW w:w="4449" w:type="dxa"/>
            <w:vAlign w:val="center"/>
          </w:tcPr>
          <w:p w14:paraId="4E7A7E46" w14:textId="77777777" w:rsidR="00487F42" w:rsidRPr="00AB6BBF" w:rsidRDefault="00487F42" w:rsidP="006430A5">
            <w:pPr>
              <w:jc w:val="center"/>
              <w:rPr>
                <w:rFonts w:ascii="Arial Narrow" w:hAnsi="Arial Narrow" w:cs="Arial"/>
                <w:kern w:val="24"/>
              </w:rPr>
            </w:pPr>
            <w:r w:rsidRPr="00AB6BBF">
              <w:rPr>
                <w:rFonts w:ascii="Arial Narrow" w:hAnsi="Arial Narrow" w:cs="Arial"/>
                <w:kern w:val="24"/>
              </w:rPr>
              <w:t>50 € par jour de retard</w:t>
            </w:r>
          </w:p>
          <w:p w14:paraId="4C4B310D" w14:textId="550DE1D5" w:rsidR="00487F42" w:rsidRPr="00AB6BBF" w:rsidRDefault="00487F42" w:rsidP="00487F42">
            <w:pPr>
              <w:jc w:val="center"/>
              <w:rPr>
                <w:rFonts w:ascii="Arial Narrow" w:hAnsi="Arial Narrow" w:cs="Arial"/>
                <w:kern w:val="24"/>
              </w:rPr>
            </w:pPr>
            <w:r w:rsidRPr="00AB6BBF">
              <w:rPr>
                <w:rFonts w:ascii="Arial Narrow" w:hAnsi="Arial Narrow" w:cs="Arial"/>
                <w:kern w:val="24"/>
              </w:rPr>
              <w:t xml:space="preserve">par réserve </w:t>
            </w:r>
            <w:r>
              <w:rPr>
                <w:rFonts w:ascii="Arial Narrow" w:hAnsi="Arial Narrow" w:cs="Arial"/>
                <w:kern w:val="24"/>
              </w:rPr>
              <w:t>et par équipement sur simple constat</w:t>
            </w:r>
          </w:p>
        </w:tc>
      </w:tr>
      <w:tr w:rsidR="00487F42" w:rsidRPr="00AB6BBF" w14:paraId="3B6EF051" w14:textId="77777777" w:rsidTr="006430A5">
        <w:trPr>
          <w:trHeight w:val="624"/>
          <w:jc w:val="center"/>
        </w:trPr>
        <w:tc>
          <w:tcPr>
            <w:tcW w:w="4613" w:type="dxa"/>
            <w:vAlign w:val="center"/>
          </w:tcPr>
          <w:p w14:paraId="1982AC30" w14:textId="77777777" w:rsidR="00487F42" w:rsidRPr="00AB6BBF" w:rsidRDefault="00487F42" w:rsidP="006430A5">
            <w:pPr>
              <w:rPr>
                <w:rFonts w:ascii="Arial Narrow" w:hAnsi="Arial Narrow" w:cs="Arial"/>
                <w:kern w:val="24"/>
              </w:rPr>
            </w:pPr>
            <w:r w:rsidRPr="00AB6BBF">
              <w:rPr>
                <w:rFonts w:ascii="Arial Narrow" w:hAnsi="Arial Narrow" w:cs="Arial"/>
                <w:kern w:val="24"/>
              </w:rPr>
              <w:t>Absence du titulaire lors du contrôle technique réglementaire</w:t>
            </w:r>
          </w:p>
        </w:tc>
        <w:tc>
          <w:tcPr>
            <w:tcW w:w="4449" w:type="dxa"/>
            <w:vAlign w:val="center"/>
          </w:tcPr>
          <w:p w14:paraId="45146B8E" w14:textId="77777777" w:rsidR="00487F42" w:rsidRPr="00AB6BBF" w:rsidRDefault="00487F42" w:rsidP="006430A5">
            <w:pPr>
              <w:jc w:val="center"/>
              <w:rPr>
                <w:rFonts w:ascii="Arial Narrow" w:hAnsi="Arial Narrow" w:cs="Arial"/>
                <w:kern w:val="24"/>
              </w:rPr>
            </w:pPr>
            <w:r>
              <w:rPr>
                <w:rFonts w:ascii="Arial Narrow" w:hAnsi="Arial Narrow" w:cs="Arial"/>
                <w:kern w:val="24"/>
              </w:rPr>
              <w:t>10</w:t>
            </w:r>
            <w:r w:rsidRPr="00AB6BBF">
              <w:rPr>
                <w:rFonts w:ascii="Arial Narrow" w:hAnsi="Arial Narrow" w:cs="Arial"/>
                <w:kern w:val="24"/>
              </w:rPr>
              <w:t>0 € par absence constatée</w:t>
            </w:r>
          </w:p>
        </w:tc>
      </w:tr>
      <w:tr w:rsidR="00487F42" w:rsidRPr="00AB6BBF" w14:paraId="686D0A22" w14:textId="77777777" w:rsidTr="006430A5">
        <w:trPr>
          <w:trHeight w:val="624"/>
          <w:jc w:val="center"/>
        </w:trPr>
        <w:tc>
          <w:tcPr>
            <w:tcW w:w="4613" w:type="dxa"/>
            <w:vAlign w:val="center"/>
          </w:tcPr>
          <w:p w14:paraId="2A062314" w14:textId="77777777" w:rsidR="00487F42" w:rsidRPr="00AB6BBF" w:rsidRDefault="00487F42" w:rsidP="006430A5">
            <w:pPr>
              <w:rPr>
                <w:rFonts w:ascii="Arial Narrow" w:hAnsi="Arial Narrow" w:cs="Arial"/>
                <w:kern w:val="24"/>
              </w:rPr>
            </w:pPr>
            <w:r w:rsidRPr="00AB56A4">
              <w:rPr>
                <w:rFonts w:ascii="Arial Narrow" w:hAnsi="Arial Narrow" w:cs="Arial"/>
                <w:kern w:val="24"/>
              </w:rPr>
              <w:t>Retard dans la mise à jour de la GMAO</w:t>
            </w:r>
          </w:p>
        </w:tc>
        <w:tc>
          <w:tcPr>
            <w:tcW w:w="4449" w:type="dxa"/>
            <w:vAlign w:val="center"/>
          </w:tcPr>
          <w:p w14:paraId="487C6CF7" w14:textId="6B13F301" w:rsidR="00487F42" w:rsidRPr="00AB6BBF" w:rsidRDefault="00487F42" w:rsidP="006430A5">
            <w:pPr>
              <w:jc w:val="center"/>
              <w:rPr>
                <w:rFonts w:ascii="Arial Narrow" w:hAnsi="Arial Narrow" w:cs="Arial"/>
                <w:kern w:val="24"/>
              </w:rPr>
            </w:pPr>
            <w:r>
              <w:rPr>
                <w:rFonts w:ascii="Arial Narrow" w:hAnsi="Arial Narrow" w:cs="Arial"/>
                <w:kern w:val="24"/>
              </w:rPr>
              <w:t>3</w:t>
            </w:r>
            <w:r w:rsidRPr="00AB6BBF">
              <w:rPr>
                <w:rFonts w:ascii="Arial Narrow" w:hAnsi="Arial Narrow" w:cs="Arial"/>
                <w:kern w:val="24"/>
              </w:rPr>
              <w:t xml:space="preserve">0 € par </w:t>
            </w:r>
            <w:r>
              <w:rPr>
                <w:rFonts w:ascii="Arial Narrow" w:hAnsi="Arial Narrow" w:cs="Arial"/>
                <w:kern w:val="24"/>
              </w:rPr>
              <w:t>jour</w:t>
            </w:r>
            <w:r w:rsidR="00662BE0">
              <w:rPr>
                <w:rFonts w:ascii="Arial Narrow" w:hAnsi="Arial Narrow" w:cs="Arial"/>
                <w:kern w:val="24"/>
              </w:rPr>
              <w:t xml:space="preserve"> calendaire</w:t>
            </w:r>
            <w:r>
              <w:rPr>
                <w:rFonts w:ascii="Arial Narrow" w:hAnsi="Arial Narrow" w:cs="Arial"/>
                <w:kern w:val="24"/>
              </w:rPr>
              <w:t xml:space="preserve"> de retard</w:t>
            </w:r>
          </w:p>
        </w:tc>
      </w:tr>
      <w:tr w:rsidR="00487F42" w:rsidRPr="00AB6BBF" w14:paraId="603641AE" w14:textId="77777777" w:rsidTr="006430A5">
        <w:trPr>
          <w:trHeight w:val="624"/>
          <w:jc w:val="center"/>
        </w:trPr>
        <w:tc>
          <w:tcPr>
            <w:tcW w:w="4613" w:type="dxa"/>
            <w:vAlign w:val="center"/>
          </w:tcPr>
          <w:p w14:paraId="3A2AA25A" w14:textId="77777777" w:rsidR="00487F42" w:rsidRPr="00AB6BBF" w:rsidRDefault="00487F42" w:rsidP="006430A5">
            <w:pPr>
              <w:rPr>
                <w:rFonts w:ascii="Arial Narrow" w:hAnsi="Arial Narrow" w:cs="Arial"/>
                <w:kern w:val="24"/>
              </w:rPr>
            </w:pPr>
            <w:r w:rsidRPr="00AB6BBF">
              <w:rPr>
                <w:rFonts w:ascii="Arial Narrow" w:hAnsi="Arial Narrow" w:cs="Arial"/>
                <w:kern w:val="24"/>
              </w:rPr>
              <w:t>Défaillance de la  tenue du carnet d’entretien</w:t>
            </w:r>
          </w:p>
        </w:tc>
        <w:tc>
          <w:tcPr>
            <w:tcW w:w="4449" w:type="dxa"/>
            <w:vAlign w:val="center"/>
          </w:tcPr>
          <w:p w14:paraId="10A33509" w14:textId="7ECEBFD6" w:rsidR="00487F42" w:rsidRPr="00AB6BBF" w:rsidRDefault="00487F42" w:rsidP="00662BE0">
            <w:pPr>
              <w:jc w:val="center"/>
              <w:rPr>
                <w:rFonts w:ascii="Arial Narrow" w:hAnsi="Arial Narrow" w:cs="Arial"/>
                <w:kern w:val="24"/>
              </w:rPr>
            </w:pPr>
            <w:r>
              <w:rPr>
                <w:rFonts w:ascii="Arial Narrow" w:hAnsi="Arial Narrow" w:cs="Arial"/>
                <w:kern w:val="24"/>
              </w:rPr>
              <w:t>5</w:t>
            </w:r>
            <w:r w:rsidRPr="00AB6BBF">
              <w:rPr>
                <w:rFonts w:ascii="Arial Narrow" w:hAnsi="Arial Narrow" w:cs="Arial"/>
                <w:kern w:val="24"/>
              </w:rPr>
              <w:t xml:space="preserve">0 € par </w:t>
            </w:r>
            <w:r w:rsidR="00662BE0">
              <w:rPr>
                <w:rFonts w:ascii="Arial Narrow" w:hAnsi="Arial Narrow" w:cs="Arial"/>
                <w:kern w:val="24"/>
              </w:rPr>
              <w:t>constat et</w:t>
            </w:r>
            <w:r>
              <w:rPr>
                <w:rFonts w:ascii="Arial Narrow" w:hAnsi="Arial Narrow" w:cs="Arial"/>
                <w:kern w:val="24"/>
              </w:rPr>
              <w:t xml:space="preserve"> par équipement</w:t>
            </w:r>
            <w:r w:rsidRPr="00AB6BBF">
              <w:rPr>
                <w:rFonts w:ascii="Arial Narrow" w:hAnsi="Arial Narrow" w:cs="Arial"/>
                <w:kern w:val="24"/>
              </w:rPr>
              <w:t xml:space="preserve"> </w:t>
            </w:r>
          </w:p>
        </w:tc>
      </w:tr>
      <w:tr w:rsidR="00487F42" w:rsidRPr="00AB6BBF" w14:paraId="196887B0" w14:textId="77777777" w:rsidTr="006430A5">
        <w:trPr>
          <w:trHeight w:val="624"/>
          <w:jc w:val="center"/>
        </w:trPr>
        <w:tc>
          <w:tcPr>
            <w:tcW w:w="4613" w:type="dxa"/>
            <w:vAlign w:val="center"/>
          </w:tcPr>
          <w:p w14:paraId="1C829EE2" w14:textId="77777777" w:rsidR="00487F42" w:rsidRPr="00AB6BBF" w:rsidRDefault="00487F42" w:rsidP="006430A5">
            <w:pPr>
              <w:rPr>
                <w:rFonts w:ascii="Arial Narrow" w:hAnsi="Arial Narrow" w:cs="Arial"/>
                <w:kern w:val="24"/>
              </w:rPr>
            </w:pPr>
            <w:r w:rsidRPr="00AB6BBF">
              <w:rPr>
                <w:rFonts w:ascii="Arial Narrow" w:hAnsi="Arial Narrow" w:cs="Arial"/>
                <w:kern w:val="24"/>
              </w:rPr>
              <w:t xml:space="preserve">Non transmission du rapport </w:t>
            </w:r>
            <w:r>
              <w:rPr>
                <w:rFonts w:ascii="Arial Narrow" w:hAnsi="Arial Narrow" w:cs="Arial"/>
                <w:kern w:val="24"/>
              </w:rPr>
              <w:t>se</w:t>
            </w:r>
            <w:r w:rsidRPr="00AB6BBF">
              <w:rPr>
                <w:rFonts w:ascii="Arial Narrow" w:hAnsi="Arial Narrow" w:cs="Arial"/>
                <w:kern w:val="24"/>
              </w:rPr>
              <w:t>me</w:t>
            </w:r>
            <w:r>
              <w:rPr>
                <w:rFonts w:ascii="Arial Narrow" w:hAnsi="Arial Narrow" w:cs="Arial"/>
                <w:kern w:val="24"/>
              </w:rPr>
              <w:t>striel</w:t>
            </w:r>
            <w:r w:rsidRPr="00AB6BBF">
              <w:rPr>
                <w:rFonts w:ascii="Arial Narrow" w:hAnsi="Arial Narrow" w:cs="Arial"/>
                <w:kern w:val="24"/>
              </w:rPr>
              <w:t xml:space="preserve"> et du rapport d’activité annuel</w:t>
            </w:r>
          </w:p>
        </w:tc>
        <w:tc>
          <w:tcPr>
            <w:tcW w:w="4449" w:type="dxa"/>
            <w:vAlign w:val="center"/>
          </w:tcPr>
          <w:p w14:paraId="5A160271" w14:textId="77777777" w:rsidR="00487F42" w:rsidRPr="00AB6BBF" w:rsidRDefault="00487F42" w:rsidP="006430A5">
            <w:pPr>
              <w:jc w:val="center"/>
              <w:rPr>
                <w:rFonts w:ascii="Arial Narrow" w:hAnsi="Arial Narrow" w:cs="Arial"/>
                <w:kern w:val="24"/>
              </w:rPr>
            </w:pPr>
            <w:r w:rsidRPr="00AB6BBF">
              <w:rPr>
                <w:rFonts w:ascii="Arial Narrow" w:hAnsi="Arial Narrow" w:cs="Arial"/>
                <w:kern w:val="24"/>
              </w:rPr>
              <w:t>50 € par semaine de retard</w:t>
            </w:r>
          </w:p>
        </w:tc>
      </w:tr>
      <w:tr w:rsidR="00B31B38" w:rsidRPr="00B31B38" w14:paraId="2D56C0B6" w14:textId="77777777" w:rsidTr="00A949FC">
        <w:trPr>
          <w:trHeight w:val="624"/>
          <w:jc w:val="center"/>
        </w:trPr>
        <w:tc>
          <w:tcPr>
            <w:tcW w:w="4613" w:type="dxa"/>
            <w:vAlign w:val="center"/>
          </w:tcPr>
          <w:p w14:paraId="50C8DD20" w14:textId="05BAE012" w:rsidR="00B31B38" w:rsidRPr="00146C6B" w:rsidRDefault="00B31B38" w:rsidP="00B31B38">
            <w:pPr>
              <w:rPr>
                <w:rFonts w:ascii="Arial Narrow" w:hAnsi="Arial Narrow" w:cs="Arial"/>
                <w:kern w:val="24"/>
              </w:rPr>
            </w:pPr>
            <w:r w:rsidRPr="00146C6B">
              <w:rPr>
                <w:rFonts w:ascii="Arial Narrow" w:hAnsi="Arial Narrow" w:cs="Arial"/>
                <w:kern w:val="24"/>
              </w:rPr>
              <w:t xml:space="preserve">Non transmission des documents attendus aux articles 11 et 12 du CCAP </w:t>
            </w:r>
          </w:p>
        </w:tc>
        <w:tc>
          <w:tcPr>
            <w:tcW w:w="4449" w:type="dxa"/>
            <w:vAlign w:val="center"/>
          </w:tcPr>
          <w:p w14:paraId="44D7FECC" w14:textId="1D675B1F" w:rsidR="00B31B38" w:rsidRPr="00146C6B" w:rsidRDefault="00B31B38" w:rsidP="00A949FC">
            <w:pPr>
              <w:jc w:val="center"/>
              <w:rPr>
                <w:rFonts w:ascii="Arial Narrow" w:hAnsi="Arial Narrow" w:cs="Arial"/>
                <w:kern w:val="24"/>
              </w:rPr>
            </w:pPr>
            <w:r w:rsidRPr="00146C6B">
              <w:rPr>
                <w:rFonts w:ascii="Arial Narrow" w:hAnsi="Arial Narrow" w:cs="Arial"/>
                <w:kern w:val="24"/>
              </w:rPr>
              <w:t>100 € par absence constatée</w:t>
            </w:r>
          </w:p>
        </w:tc>
      </w:tr>
    </w:tbl>
    <w:p w14:paraId="7D0CD987" w14:textId="070ED2C2" w:rsidR="00D4779E" w:rsidRPr="00B31B38" w:rsidRDefault="00D4779E" w:rsidP="00D4779E">
      <w:pPr>
        <w:pStyle w:val="En-tte"/>
        <w:spacing w:after="120" w:line="360" w:lineRule="auto"/>
        <w:jc w:val="both"/>
        <w:rPr>
          <w:rFonts w:ascii="Arial Narrow" w:hAnsi="Arial Narrow"/>
        </w:rPr>
      </w:pPr>
    </w:p>
    <w:p w14:paraId="3162A8ED" w14:textId="77777777" w:rsidR="00662BE0" w:rsidRPr="00E56B0C" w:rsidRDefault="00662BE0" w:rsidP="00662BE0">
      <w:pPr>
        <w:pStyle w:val="Paragraphedeliste"/>
        <w:ind w:left="0"/>
        <w:rPr>
          <w:rFonts w:ascii="Arial Narrow" w:hAnsi="Arial Narrow"/>
        </w:rPr>
      </w:pPr>
      <w:r w:rsidRPr="00BA586C">
        <w:rPr>
          <w:rFonts w:ascii="Arial Narrow" w:hAnsi="Arial Narrow"/>
          <w:color w:val="FF0000"/>
        </w:rPr>
        <w:t>*</w:t>
      </w:r>
      <w:r w:rsidRPr="00E56B0C">
        <w:rPr>
          <w:rFonts w:ascii="Arial Narrow" w:hAnsi="Arial Narrow"/>
        </w:rPr>
        <w:t xml:space="preserve">Une indisponibilité </w:t>
      </w:r>
      <w:r>
        <w:rPr>
          <w:rFonts w:ascii="Arial Narrow" w:hAnsi="Arial Narrow"/>
        </w:rPr>
        <w:t>7 jours calendaires maximum par mois et par appareil</w:t>
      </w:r>
      <w:r w:rsidRPr="00E56B0C">
        <w:rPr>
          <w:rFonts w:ascii="Arial Narrow" w:hAnsi="Arial Narrow"/>
        </w:rPr>
        <w:t xml:space="preserve"> est tolérée</w:t>
      </w:r>
      <w:r>
        <w:rPr>
          <w:rFonts w:ascii="Arial Narrow" w:hAnsi="Arial Narrow"/>
        </w:rPr>
        <w:t>.</w:t>
      </w:r>
    </w:p>
    <w:p w14:paraId="30F74BA3" w14:textId="77777777" w:rsidR="00662BE0" w:rsidRPr="00AB6BBF" w:rsidRDefault="00662BE0" w:rsidP="00662BE0">
      <w:pPr>
        <w:pStyle w:val="En-tte"/>
        <w:spacing w:after="120" w:line="360" w:lineRule="auto"/>
        <w:jc w:val="both"/>
        <w:rPr>
          <w:rFonts w:ascii="Arial Narrow" w:hAnsi="Arial Narrow"/>
        </w:rPr>
      </w:pPr>
      <w:r w:rsidRPr="00AB6BBF">
        <w:rPr>
          <w:rFonts w:ascii="Arial Narrow" w:hAnsi="Arial Narrow"/>
        </w:rPr>
        <w:t>En cas de conflit entre l’application de deux pénalités, la pénalité la plus élevée est retenue.</w:t>
      </w:r>
    </w:p>
    <w:p w14:paraId="7D435A5B" w14:textId="77777777" w:rsidR="00D97330" w:rsidRPr="00B31B38" w:rsidRDefault="00D97330" w:rsidP="00D97330">
      <w:pPr>
        <w:tabs>
          <w:tab w:val="center" w:pos="4536"/>
          <w:tab w:val="right" w:pos="9072"/>
        </w:tabs>
        <w:spacing w:after="120" w:line="360" w:lineRule="auto"/>
        <w:jc w:val="both"/>
        <w:rPr>
          <w:rFonts w:ascii="Arial Narrow" w:hAnsi="Arial Narrow"/>
        </w:rPr>
      </w:pPr>
    </w:p>
    <w:p w14:paraId="07CB1DAA" w14:textId="33D23EF8" w:rsidR="00B31B38" w:rsidRDefault="006334A7" w:rsidP="00B31B38">
      <w:pPr>
        <w:tabs>
          <w:tab w:val="center" w:pos="4536"/>
          <w:tab w:val="right" w:pos="9072"/>
        </w:tabs>
        <w:spacing w:after="120" w:line="360" w:lineRule="auto"/>
        <w:jc w:val="both"/>
        <w:rPr>
          <w:rFonts w:ascii="Arial Narrow" w:hAnsi="Arial Narrow"/>
        </w:rPr>
      </w:pPr>
      <w:r w:rsidRPr="00B31B38">
        <w:rPr>
          <w:rFonts w:ascii="Arial Narrow" w:hAnsi="Arial Narrow"/>
        </w:rPr>
        <w:t>Par dérogation</w:t>
      </w:r>
      <w:r w:rsidR="00B31B38" w:rsidRPr="00B31B38">
        <w:rPr>
          <w:rFonts w:ascii="Arial Narrow" w:hAnsi="Arial Narrow"/>
        </w:rPr>
        <w:t xml:space="preserve"> à l’article 14.1.2 du CCAG FCS</w:t>
      </w:r>
      <w:r w:rsidR="00D97330" w:rsidRPr="00B31B38">
        <w:rPr>
          <w:rFonts w:ascii="Arial Narrow" w:hAnsi="Arial Narrow"/>
        </w:rPr>
        <w:t xml:space="preserve">, </w:t>
      </w:r>
      <w:r w:rsidR="00B31B38">
        <w:rPr>
          <w:rFonts w:ascii="Arial Narrow" w:hAnsi="Arial Narrow"/>
        </w:rPr>
        <w:t xml:space="preserve">le </w:t>
      </w:r>
      <w:r w:rsidR="00B31B38" w:rsidRPr="00B31B38">
        <w:rPr>
          <w:rFonts w:ascii="Arial Narrow" w:hAnsi="Arial Narrow"/>
        </w:rPr>
        <w:t>montant total des pénalités de retard n</w:t>
      </w:r>
      <w:r w:rsidR="00306A9D">
        <w:rPr>
          <w:rFonts w:ascii="Arial Narrow" w:hAnsi="Arial Narrow"/>
        </w:rPr>
        <w:t xml:space="preserve">e peut excéder </w:t>
      </w:r>
      <w:r w:rsidR="00306A9D" w:rsidRPr="00306A9D">
        <w:rPr>
          <w:rFonts w:ascii="Arial Narrow" w:hAnsi="Arial Narrow"/>
          <w:b/>
        </w:rPr>
        <w:t>3</w:t>
      </w:r>
      <w:r w:rsidR="00B31B38" w:rsidRPr="00306A9D">
        <w:rPr>
          <w:rFonts w:ascii="Arial Narrow" w:hAnsi="Arial Narrow"/>
          <w:b/>
        </w:rPr>
        <w:t>0 %</w:t>
      </w:r>
      <w:r w:rsidR="00B31B38" w:rsidRPr="00B31B38">
        <w:rPr>
          <w:rFonts w:ascii="Arial Narrow" w:hAnsi="Arial Narrow"/>
        </w:rPr>
        <w:t xml:space="preserve"> du montant total hors taxes du marché</w:t>
      </w:r>
      <w:r w:rsidR="00B31B38">
        <w:rPr>
          <w:rFonts w:ascii="Arial Narrow" w:hAnsi="Arial Narrow"/>
        </w:rPr>
        <w:t>, du bon de commande</w:t>
      </w:r>
      <w:r w:rsidR="001F355A">
        <w:rPr>
          <w:rFonts w:ascii="Arial Narrow" w:hAnsi="Arial Narrow"/>
        </w:rPr>
        <w:t>.</w:t>
      </w:r>
      <w:r w:rsidR="00B31B38">
        <w:rPr>
          <w:rFonts w:ascii="Arial Narrow" w:hAnsi="Arial Narrow"/>
        </w:rPr>
        <w:t xml:space="preserve"> </w:t>
      </w:r>
    </w:p>
    <w:p w14:paraId="36BE5D3D" w14:textId="08F5AE0B" w:rsidR="00D97330" w:rsidRPr="00B31B38" w:rsidRDefault="00B31B38" w:rsidP="00B31B38">
      <w:pPr>
        <w:tabs>
          <w:tab w:val="center" w:pos="4536"/>
          <w:tab w:val="right" w:pos="9072"/>
        </w:tabs>
        <w:spacing w:after="120" w:line="360" w:lineRule="auto"/>
        <w:jc w:val="both"/>
        <w:rPr>
          <w:rFonts w:ascii="Arial Narrow" w:hAnsi="Arial Narrow"/>
        </w:rPr>
      </w:pPr>
      <w:r>
        <w:rPr>
          <w:rFonts w:ascii="Arial Narrow" w:hAnsi="Arial Narrow"/>
        </w:rPr>
        <w:t>Par dérogation à l’article 41 du CCAG – FCS, l</w:t>
      </w:r>
      <w:r w:rsidR="00D97330" w:rsidRPr="00B31B38">
        <w:rPr>
          <w:rFonts w:ascii="Arial Narrow" w:hAnsi="Arial Narrow"/>
        </w:rPr>
        <w:t>orsque le</w:t>
      </w:r>
      <w:r>
        <w:rPr>
          <w:rFonts w:ascii="Arial Narrow" w:hAnsi="Arial Narrow"/>
        </w:rPr>
        <w:t xml:space="preserve"> montant des pénalités atteint c</w:t>
      </w:r>
      <w:r w:rsidR="00D97330" w:rsidRPr="00B31B38">
        <w:rPr>
          <w:rFonts w:ascii="Arial Narrow" w:hAnsi="Arial Narrow"/>
        </w:rPr>
        <w:t xml:space="preserve">e seuil </w:t>
      </w:r>
      <w:r w:rsidR="00D97330" w:rsidRPr="0061199C">
        <w:rPr>
          <w:rFonts w:ascii="Arial Narrow" w:hAnsi="Arial Narrow"/>
          <w:b/>
        </w:rPr>
        <w:t xml:space="preserve">de </w:t>
      </w:r>
      <w:r w:rsidR="00306A9D" w:rsidRPr="0061199C">
        <w:rPr>
          <w:rFonts w:ascii="Arial Narrow" w:hAnsi="Arial Narrow"/>
          <w:b/>
        </w:rPr>
        <w:t>3</w:t>
      </w:r>
      <w:r w:rsidR="00D97330" w:rsidRPr="0061199C">
        <w:rPr>
          <w:rFonts w:ascii="Arial Narrow" w:hAnsi="Arial Narrow"/>
          <w:b/>
        </w:rPr>
        <w:t>0%</w:t>
      </w:r>
      <w:r w:rsidR="00D97330" w:rsidRPr="00B31B38">
        <w:rPr>
          <w:rFonts w:ascii="Arial Narrow" w:hAnsi="Arial Narrow"/>
        </w:rPr>
        <w:t xml:space="preserve"> </w:t>
      </w:r>
      <w:r w:rsidR="003D00F0" w:rsidRPr="00B31B38">
        <w:rPr>
          <w:rFonts w:ascii="Arial Narrow" w:hAnsi="Arial Narrow"/>
        </w:rPr>
        <w:t>du montant du marché</w:t>
      </w:r>
      <w:r w:rsidR="00D97330" w:rsidRPr="00B31B38">
        <w:rPr>
          <w:rFonts w:ascii="Arial Narrow" w:hAnsi="Arial Narrow"/>
        </w:rPr>
        <w:t xml:space="preserve">, </w:t>
      </w:r>
      <w:r>
        <w:rPr>
          <w:rFonts w:ascii="Arial Narrow" w:hAnsi="Arial Narrow"/>
        </w:rPr>
        <w:t>l’</w:t>
      </w:r>
      <w:r w:rsidR="00D52967">
        <w:rPr>
          <w:rFonts w:ascii="Arial Narrow" w:hAnsi="Arial Narrow"/>
        </w:rPr>
        <w:t>EPMO-VGE</w:t>
      </w:r>
      <w:r>
        <w:rPr>
          <w:rFonts w:ascii="Arial Narrow" w:hAnsi="Arial Narrow"/>
        </w:rPr>
        <w:t xml:space="preserve"> se réserve la possibilité de résilier le marché</w:t>
      </w:r>
      <w:r w:rsidR="00D97330" w:rsidRPr="00B31B38">
        <w:rPr>
          <w:rFonts w:ascii="Arial Narrow" w:hAnsi="Arial Narrow"/>
        </w:rPr>
        <w:t xml:space="preserve"> aux torts exclusifs du titulaire.</w:t>
      </w:r>
    </w:p>
    <w:p w14:paraId="400BC5E0" w14:textId="77777777" w:rsidR="00D97330" w:rsidRPr="00D97330" w:rsidRDefault="00D97330" w:rsidP="00D97330">
      <w:pPr>
        <w:tabs>
          <w:tab w:val="center" w:pos="4536"/>
          <w:tab w:val="right" w:pos="9072"/>
        </w:tabs>
        <w:spacing w:after="120" w:line="360" w:lineRule="auto"/>
        <w:jc w:val="both"/>
        <w:rPr>
          <w:rFonts w:ascii="Arial Narrow" w:hAnsi="Arial Narrow"/>
        </w:rPr>
      </w:pPr>
    </w:p>
    <w:p w14:paraId="1EB2FE9D" w14:textId="77777777" w:rsidR="00D97330" w:rsidRPr="00D97330" w:rsidRDefault="00D97330" w:rsidP="00D97330">
      <w:pPr>
        <w:tabs>
          <w:tab w:val="center" w:pos="4536"/>
          <w:tab w:val="right" w:pos="9072"/>
        </w:tabs>
        <w:spacing w:after="120" w:line="360" w:lineRule="auto"/>
        <w:jc w:val="both"/>
        <w:rPr>
          <w:rFonts w:ascii="Arial Narrow" w:hAnsi="Arial Narrow"/>
        </w:rPr>
      </w:pPr>
      <w:r w:rsidRPr="00D97330">
        <w:rPr>
          <w:rFonts w:ascii="Arial Narrow" w:hAnsi="Arial Narrow"/>
        </w:rPr>
        <w:t>En cas de défaillance du titulaire susceptible de porter atteinte à la sécurité des personnes ou des biens dont le titulaire a la charge de la maintenance, l’E.P.M.O. se réserve la possibilité de recourir au service d’une société tierce au présent marché.</w:t>
      </w:r>
    </w:p>
    <w:p w14:paraId="353F8A57" w14:textId="77777777" w:rsidR="00043D85" w:rsidRPr="00546FE0" w:rsidRDefault="00043D85" w:rsidP="00FC4A03">
      <w:pPr>
        <w:pStyle w:val="En-tte"/>
        <w:spacing w:after="120" w:line="360" w:lineRule="auto"/>
        <w:jc w:val="both"/>
        <w:rPr>
          <w:rFonts w:ascii="Arial Narrow" w:hAnsi="Arial Narrow"/>
        </w:rPr>
      </w:pPr>
    </w:p>
    <w:p w14:paraId="090BA9A0" w14:textId="6D985B03"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 xml:space="preserve">SOUS-TRAITANCE </w:t>
      </w:r>
    </w:p>
    <w:p w14:paraId="1F772496" w14:textId="77777777"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 xml:space="preserve">Le titulaire peut sous-traiter l’exécution de certaines parties des prestations à condition d’avoir obtenu de l’EPMO l’acceptation de chaque sous-traitant ainsi que l’agrément de ses conditions de paiement. </w:t>
      </w:r>
    </w:p>
    <w:p w14:paraId="37F71F8C" w14:textId="4B85A9A6" w:rsidR="003F5F33"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9"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4B8DF626" w:rsidR="00043D85" w:rsidRPr="00546FE0" w:rsidRDefault="00043D85" w:rsidP="00043D85">
      <w:pPr>
        <w:pStyle w:val="En-tte"/>
        <w:spacing w:after="120" w:line="360" w:lineRule="auto"/>
        <w:rPr>
          <w:rFonts w:ascii="Arial Narrow" w:hAnsi="Arial Narrow"/>
        </w:rPr>
      </w:pPr>
      <w:r w:rsidRPr="00546FE0">
        <w:rPr>
          <w:rFonts w:ascii="Arial Narrow" w:hAnsi="Arial Narrow"/>
        </w:rPr>
        <w:t>La déclaration de sous-traitance doit en tout état de cause être adressée à l’</w:t>
      </w:r>
      <w:r w:rsidR="00D52967">
        <w:rPr>
          <w:rFonts w:ascii="Arial Narrow" w:hAnsi="Arial Narrow"/>
        </w:rPr>
        <w:t>EPMO-VGE</w:t>
      </w:r>
      <w:r w:rsidR="003F5F33" w:rsidRPr="00546FE0">
        <w:rPr>
          <w:rFonts w:ascii="Arial Narrow" w:hAnsi="Arial Narrow"/>
        </w:rPr>
        <w:t xml:space="preserve"> </w:t>
      </w:r>
      <w:r w:rsidRPr="00546FE0">
        <w:rPr>
          <w:rFonts w:ascii="Arial Narrow" w:hAnsi="Arial Narrow"/>
        </w:rPr>
        <w:t>avant tout début d’intervention du sous-traitant.</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pose conformément au e) de l’article 41-1 du CCAG-FCS</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sous-traitées est supérieur à 600€ TTC, le sous-traitant est payé directement par l’EPMO. </w:t>
      </w:r>
    </w:p>
    <w:p w14:paraId="62B2D78D"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2028E500"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D52967">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5BE5F8A1"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lastRenderedPageBreak/>
        <w:t>Le titulaire fait en outre son affaire de la réparation des préjudices qu'il pourrait lui-même subir à l'occasion de l'exécution des prestations et renonce à tout recours contre l'</w:t>
      </w:r>
      <w:r w:rsidR="00D52967">
        <w:rPr>
          <w:rFonts w:ascii="Arial Narrow" w:hAnsi="Arial Narrow"/>
        </w:rPr>
        <w:t>EPMO-VGE</w:t>
      </w:r>
      <w:r w:rsidRPr="00546FE0">
        <w:rPr>
          <w:rFonts w:ascii="Arial Narrow" w:hAnsi="Arial Narrow"/>
        </w:rPr>
        <w:t>,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76DA36F6" w14:textId="77777777" w:rsidR="00106DDC" w:rsidRPr="00546FE0" w:rsidRDefault="00106DDC"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 titulaire devra fournir tous les six (6) mois jusqu’à la fin de l’exécution des prestations, les documents suivants :</w:t>
      </w:r>
    </w:p>
    <w:p w14:paraId="2C7B6B50" w14:textId="77777777" w:rsidR="00C92452" w:rsidRPr="00D42020" w:rsidRDefault="00C92452" w:rsidP="00245388">
      <w:pPr>
        <w:pStyle w:val="En-tte"/>
        <w:numPr>
          <w:ilvl w:val="0"/>
          <w:numId w:val="13"/>
        </w:numPr>
        <w:tabs>
          <w:tab w:val="clear" w:pos="4536"/>
          <w:tab w:val="clear" w:pos="9072"/>
        </w:tabs>
        <w:spacing w:after="120" w:line="360" w:lineRule="auto"/>
        <w:jc w:val="both"/>
        <w:rPr>
          <w:rFonts w:ascii="Arial Narrow" w:hAnsi="Arial Narrow"/>
        </w:rPr>
      </w:pPr>
      <w:r w:rsidRPr="00D42020">
        <w:rPr>
          <w:rFonts w:ascii="Arial Narrow" w:hAnsi="Arial Narrow"/>
        </w:rPr>
        <w:t>l'attestation mentionnée à l'</w:t>
      </w:r>
      <w:hyperlink r:id="rId10" w:history="1">
        <w:r w:rsidRPr="00D42020">
          <w:rPr>
            <w:rFonts w:ascii="Arial Narrow" w:hAnsi="Arial Narrow"/>
          </w:rPr>
          <w:t>article L. 243-15 du code de la sécurité sociale</w:t>
        </w:r>
      </w:hyperlink>
      <w:r w:rsidR="00DB7A14" w:rsidRPr="00D42020">
        <w:rPr>
          <w:rFonts w:ascii="Arial Narrow" w:hAnsi="Arial Narrow"/>
        </w:rPr>
        <w:t> ;</w:t>
      </w:r>
    </w:p>
    <w:p w14:paraId="15D09DED" w14:textId="77777777" w:rsidR="00DB7A14" w:rsidRPr="00D42020" w:rsidRDefault="00DB7A14" w:rsidP="00245388">
      <w:pPr>
        <w:pStyle w:val="En-tte"/>
        <w:numPr>
          <w:ilvl w:val="0"/>
          <w:numId w:val="13"/>
        </w:numPr>
        <w:tabs>
          <w:tab w:val="clear" w:pos="4536"/>
          <w:tab w:val="clear" w:pos="9072"/>
        </w:tabs>
        <w:spacing w:after="120" w:line="360" w:lineRule="auto"/>
        <w:jc w:val="both"/>
        <w:rPr>
          <w:rFonts w:ascii="Arial Narrow" w:hAnsi="Arial Narrow"/>
        </w:rPr>
      </w:pPr>
      <w:r w:rsidRPr="00D42020">
        <w:rPr>
          <w:rFonts w:ascii="Arial Narrow" w:hAnsi="Arial Narrow"/>
        </w:rPr>
        <w:t>Les pièces prévues aux articles R. 1263-12, D. 8222-5 ou D. 8222-7 ou D. 8254-2 à D. 8254-5 du code du travail ;</w:t>
      </w:r>
    </w:p>
    <w:p w14:paraId="7F4759F8" w14:textId="77777777" w:rsidR="00C92452" w:rsidRPr="00D42020" w:rsidRDefault="00C92452" w:rsidP="00245388">
      <w:pPr>
        <w:pStyle w:val="En-tte"/>
        <w:numPr>
          <w:ilvl w:val="0"/>
          <w:numId w:val="13"/>
        </w:numPr>
        <w:tabs>
          <w:tab w:val="clear" w:pos="4536"/>
          <w:tab w:val="clear" w:pos="9072"/>
        </w:tabs>
        <w:spacing w:after="120" w:line="360" w:lineRule="auto"/>
        <w:jc w:val="both"/>
        <w:rPr>
          <w:rFonts w:ascii="Arial Narrow" w:hAnsi="Arial Narrow"/>
        </w:rPr>
      </w:pPr>
      <w:r w:rsidRPr="00D42020">
        <w:rPr>
          <w:rFonts w:ascii="Arial Narrow" w:hAnsi="Arial Narrow"/>
        </w:rPr>
        <w:t>Le certificat attestant le versement régulier des cotisations légales aux caisses de congés payés et de chômage intempéries ;</w:t>
      </w:r>
    </w:p>
    <w:p w14:paraId="6F538D3B" w14:textId="77777777" w:rsidR="00C92452" w:rsidRPr="00D42020" w:rsidRDefault="00AD439B" w:rsidP="00245388">
      <w:pPr>
        <w:pStyle w:val="En-tte"/>
        <w:numPr>
          <w:ilvl w:val="0"/>
          <w:numId w:val="13"/>
        </w:numPr>
        <w:tabs>
          <w:tab w:val="clear" w:pos="4536"/>
          <w:tab w:val="clear" w:pos="9072"/>
        </w:tabs>
        <w:spacing w:after="120" w:line="360" w:lineRule="auto"/>
        <w:jc w:val="both"/>
        <w:rPr>
          <w:rFonts w:ascii="Arial Narrow" w:hAnsi="Arial Narrow"/>
        </w:rPr>
      </w:pPr>
      <w:r w:rsidRPr="00D42020">
        <w:rPr>
          <w:rFonts w:ascii="Arial Narrow" w:hAnsi="Arial Narrow"/>
        </w:rPr>
        <w:t>Les c</w:t>
      </w:r>
      <w:r w:rsidR="00DB7A14" w:rsidRPr="00D42020">
        <w:rPr>
          <w:rFonts w:ascii="Arial Narrow" w:hAnsi="Arial Narrow"/>
        </w:rPr>
        <w:t xml:space="preserve">ertificats fiscaux attestant de la régularité du titulaire au regard de ses obligations relatives à l’impôt sur le revenu, l’impôt sur les sociétés et la taxe sur la valeur ajoutée. </w:t>
      </w:r>
    </w:p>
    <w:p w14:paraId="735E004C"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234FAC4C" w14:textId="20802B35"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w:t>
      </w:r>
      <w:r w:rsidR="00D52967">
        <w:rPr>
          <w:rFonts w:ascii="Arial Narrow" w:hAnsi="Arial Narrow"/>
        </w:rPr>
        <w:t>EPMO-VGE</w:t>
      </w:r>
      <w:r w:rsidRPr="00546FE0">
        <w:rPr>
          <w:rFonts w:ascii="Arial Narrow" w:hAnsi="Arial Narrow"/>
        </w:rPr>
        <w:t>.</w:t>
      </w:r>
    </w:p>
    <w:p w14:paraId="4291A7C4"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570C4860" w14:textId="77777777" w:rsidR="006F6B67" w:rsidRPr="00F30726" w:rsidRDefault="006F6B67" w:rsidP="006F6B67">
      <w:pPr>
        <w:pStyle w:val="En-tte"/>
        <w:numPr>
          <w:ilvl w:val="0"/>
          <w:numId w:val="28"/>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0D4170A2"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228A9D97"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lastRenderedPageBreak/>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3ACC802C"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525DFB6A"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7A82ECC4"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0BC2248D"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w:t>
      </w:r>
      <w:r>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3200E6C0" w14:textId="77777777" w:rsidR="006F6B67" w:rsidRPr="00F30726" w:rsidRDefault="006F6B67" w:rsidP="006F6B67">
      <w:pPr>
        <w:pStyle w:val="En-tte"/>
        <w:numPr>
          <w:ilvl w:val="0"/>
          <w:numId w:val="28"/>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67A1300F"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2DBDA743" w14:textId="77777777" w:rsidR="006F6B67" w:rsidRPr="00F30726" w:rsidRDefault="006F6B67" w:rsidP="006F6B67">
      <w:pPr>
        <w:pStyle w:val="En-tte"/>
        <w:numPr>
          <w:ilvl w:val="0"/>
          <w:numId w:val="28"/>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5FC679D3"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L’</w:t>
      </w:r>
      <w:r>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Pr>
          <w:rFonts w:ascii="Arial Narrow" w:hAnsi="Arial Narrow"/>
        </w:rPr>
        <w:t>EPMO-VGE</w:t>
      </w:r>
      <w:r w:rsidRPr="00F30726">
        <w:rPr>
          <w:rFonts w:ascii="Arial Narrow" w:hAnsi="Arial Narrow"/>
        </w:rPr>
        <w:t xml:space="preserve"> des mesures prises pour y remédier. </w:t>
      </w:r>
    </w:p>
    <w:p w14:paraId="5C3C6E3D" w14:textId="77777777" w:rsidR="006F6B67" w:rsidRPr="00F30726" w:rsidRDefault="006F6B67" w:rsidP="006F6B67">
      <w:pPr>
        <w:pStyle w:val="En-tte"/>
        <w:numPr>
          <w:ilvl w:val="0"/>
          <w:numId w:val="28"/>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155E0B28" w14:textId="77777777" w:rsidR="006F6B67" w:rsidRPr="00F30726" w:rsidRDefault="006F6B67" w:rsidP="006F6B67">
      <w:pPr>
        <w:pStyle w:val="En-tte"/>
        <w:numPr>
          <w:ilvl w:val="0"/>
          <w:numId w:val="28"/>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Pr>
          <w:rFonts w:ascii="Arial Narrow" w:hAnsi="Arial Narrow"/>
        </w:rPr>
        <w:t>EPMO-VGE</w:t>
      </w:r>
      <w:r w:rsidRPr="00F30726">
        <w:rPr>
          <w:rFonts w:ascii="Arial Narrow" w:hAnsi="Arial Narrow"/>
        </w:rPr>
        <w:t xml:space="preserve"> prononce : </w:t>
      </w:r>
    </w:p>
    <w:p w14:paraId="53DEADB6" w14:textId="77777777" w:rsidR="006F6B67" w:rsidRPr="00F30726" w:rsidRDefault="006F6B67" w:rsidP="006F6B67">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20BAF117" w14:textId="77777777" w:rsidR="006F6B67" w:rsidRPr="00F30726" w:rsidRDefault="006F6B67" w:rsidP="006F6B67">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w:t>
      </w:r>
      <w:r w:rsidRPr="00F30726">
        <w:rPr>
          <w:rFonts w:ascii="Arial Narrow" w:hAnsi="Arial Narrow"/>
        </w:rPr>
        <w:lastRenderedPageBreak/>
        <w:t>Cette pénalité s’applique par jour à compter du constat de la carence du titulaire à mettre en œuvre les actions correctrices prévues au contrat ;</w:t>
      </w:r>
    </w:p>
    <w:p w14:paraId="3EBFCE41" w14:textId="77777777" w:rsidR="006F6B67" w:rsidRPr="00F30726" w:rsidRDefault="006F6B67" w:rsidP="006F6B67">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5F5877B7" w14:textId="77777777" w:rsidR="006F6B67" w:rsidRPr="00F30726" w:rsidRDefault="006F6B67" w:rsidP="006F6B67">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5FF59B18" w14:textId="661BDD90" w:rsidR="006F6B67" w:rsidRDefault="006F6B67" w:rsidP="006F6B67">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F30726">
        <w:rPr>
          <w:rFonts w:ascii="Arial Narrow" w:hAnsi="Arial Narrow"/>
        </w:rPr>
        <w:t>5</w:t>
      </w:r>
      <w:r>
        <w:rPr>
          <w:rFonts w:ascii="Arial Narrow" w:hAnsi="Arial Narrow"/>
        </w:rPr>
        <w:t>)</w:t>
      </w:r>
      <w:r w:rsidRPr="00F30726">
        <w:rPr>
          <w:rFonts w:ascii="Arial Narrow" w:hAnsi="Arial Narrow"/>
        </w:rPr>
        <w:t xml:space="preserve"> manquements ou d’un manquement d’une particulière gravité, l’acheteur prononce la résiliation du contrat pour faute du titulaire, selon les modalités définies à l’article </w:t>
      </w:r>
      <w:r w:rsidR="001D1F28">
        <w:rPr>
          <w:rFonts w:ascii="Arial Narrow" w:hAnsi="Arial Narrow"/>
        </w:rPr>
        <w:t>41</w:t>
      </w:r>
      <w:r w:rsidRPr="00F30726">
        <w:rPr>
          <w:rFonts w:ascii="Arial Narrow" w:hAnsi="Arial Narrow"/>
        </w:rPr>
        <w:t xml:space="preserve"> </w:t>
      </w:r>
      <w:r w:rsidRPr="00B31B38">
        <w:rPr>
          <w:rFonts w:ascii="Arial Narrow" w:hAnsi="Arial Narrow"/>
        </w:rPr>
        <w:t>du CCAG-</w:t>
      </w:r>
      <w:r w:rsidR="001D1F28" w:rsidRPr="00B31B38">
        <w:rPr>
          <w:rFonts w:ascii="Arial Narrow" w:hAnsi="Arial Narrow"/>
        </w:rPr>
        <w:t>FCS</w:t>
      </w:r>
      <w:r w:rsidRPr="00B31B38">
        <w:rPr>
          <w:rFonts w:ascii="Arial Narrow" w:hAnsi="Arial Narrow"/>
        </w:rPr>
        <w:t>.</w:t>
      </w:r>
      <w:r w:rsidRPr="00F30726">
        <w:rPr>
          <w:rFonts w:ascii="Arial Narrow" w:hAnsi="Arial Narrow"/>
        </w:rPr>
        <w:t xml:space="preserve"> L’acheteur notifie au préalable une mise en demeure au titulaire afin de l’informer de la sanction envisagée, et lui demande de présenter ses observations dans un délai qui ne saurait être inférieur à 15 jours calendaires à compter de la réception du courrier de mise en demeure. Si cette mise en demeure s’avère infructueuse, le pouvoir adjudicateur prononce la résiliation pour faute du contrat. La résiliation est prononcée aux frais et risques du titulaire conformément </w:t>
      </w:r>
      <w:r w:rsidR="00C51757">
        <w:rPr>
          <w:rFonts w:ascii="Arial Narrow" w:hAnsi="Arial Narrow"/>
        </w:rPr>
        <w:t>au</w:t>
      </w:r>
      <w:r w:rsidRPr="00F30726">
        <w:rPr>
          <w:rFonts w:ascii="Arial Narrow" w:hAnsi="Arial Narrow"/>
        </w:rPr>
        <w:t xml:space="preserve"> C</w:t>
      </w:r>
      <w:r w:rsidRPr="00C51757">
        <w:rPr>
          <w:rFonts w:ascii="Arial Narrow" w:hAnsi="Arial Narrow"/>
        </w:rPr>
        <w:t>CAG</w:t>
      </w:r>
      <w:r w:rsidR="001D1F28">
        <w:rPr>
          <w:rFonts w:ascii="Arial Narrow" w:hAnsi="Arial Narrow"/>
        </w:rPr>
        <w:t>-FCS</w:t>
      </w:r>
      <w:r w:rsidRPr="00F30726">
        <w:rPr>
          <w:rFonts w:ascii="Arial Narrow" w:hAnsi="Arial Narrow"/>
        </w:rPr>
        <w:t>.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w:t>
      </w:r>
    </w:p>
    <w:p w14:paraId="471EE6A1"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5" w:name="_Toc31197474"/>
      <w:r w:rsidRPr="00546FE0">
        <w:rPr>
          <w:rFonts w:ascii="Arial Narrow" w:hAnsi="Arial Narrow"/>
          <w:b/>
        </w:rPr>
        <w:t>LITIGE ET RESILIATION</w:t>
      </w:r>
      <w:bookmarkEnd w:id="5"/>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l’EPMO se réserve la faculté de régler à l’amiable tout différent éventuel relatif à l’interprétation des stipulations du marché ou à l’exécution des prestations. Dans ce cadre, il sera fait application de l’article 46 du CCAG-FCS.</w:t>
      </w:r>
    </w:p>
    <w:p w14:paraId="5362A3EF" w14:textId="0F8BF11F" w:rsidR="00AD439B"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18B9BA76" w14:textId="444DF740" w:rsidR="00CF5977" w:rsidRPr="00546FE0" w:rsidRDefault="00CF5977" w:rsidP="00AD439B">
      <w:pPr>
        <w:pStyle w:val="En-tte"/>
        <w:spacing w:after="120" w:line="360" w:lineRule="auto"/>
        <w:jc w:val="both"/>
        <w:rPr>
          <w:rFonts w:ascii="Arial Narrow" w:hAnsi="Arial Narrow"/>
        </w:rPr>
      </w:pP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77777777" w:rsidR="00AD439B" w:rsidRPr="00546FE0" w:rsidRDefault="00AD439B" w:rsidP="00AD439B">
      <w:pPr>
        <w:pStyle w:val="En-tte"/>
        <w:spacing w:after="120" w:line="360" w:lineRule="auto"/>
        <w:rPr>
          <w:rFonts w:ascii="Arial Narrow" w:hAnsi="Arial Narrow"/>
        </w:rPr>
      </w:pPr>
      <w:r w:rsidRPr="00546FE0">
        <w:rPr>
          <w:rFonts w:ascii="Arial Narrow" w:hAnsi="Arial Narrow"/>
        </w:rPr>
        <w:t>L'EPMO se réserve la faculté de résilier le présent marché dans les conditions prévues au chapitre 7 du CCAG-FCS.</w:t>
      </w:r>
    </w:p>
    <w:p w14:paraId="13BE3824"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6" w:name="_Toc31197476"/>
      <w:r w:rsidRPr="00546FE0">
        <w:rPr>
          <w:rFonts w:ascii="Arial Narrow" w:hAnsi="Arial Narrow"/>
          <w:b/>
        </w:rPr>
        <w:t>DEROGATIONS AUX DOCUMENTS GÉNÉRAUX</w:t>
      </w:r>
      <w:bookmarkEnd w:id="6"/>
      <w:r w:rsidRPr="00546FE0">
        <w:rPr>
          <w:rFonts w:ascii="Arial Narrow" w:hAnsi="Arial Narrow"/>
          <w:b/>
        </w:rPr>
        <w:t xml:space="preserve"> </w:t>
      </w:r>
    </w:p>
    <w:p w14:paraId="410828CF" w14:textId="64461F9A" w:rsidR="00655ED7" w:rsidRPr="00546FE0" w:rsidRDefault="00655ED7" w:rsidP="00655ED7">
      <w:pPr>
        <w:pStyle w:val="En-tte"/>
        <w:spacing w:after="120" w:line="360" w:lineRule="auto"/>
        <w:jc w:val="both"/>
        <w:rPr>
          <w:rFonts w:ascii="Arial Narrow" w:hAnsi="Arial Narrow"/>
        </w:rPr>
      </w:pPr>
      <w:r w:rsidRPr="00546FE0">
        <w:rPr>
          <w:rFonts w:ascii="Arial Narrow" w:hAnsi="Arial Narrow"/>
        </w:rPr>
        <w:t xml:space="preserve">L'article </w:t>
      </w:r>
      <w:r>
        <w:rPr>
          <w:rFonts w:ascii="Arial Narrow" w:hAnsi="Arial Narrow"/>
        </w:rPr>
        <w:t>6</w:t>
      </w:r>
      <w:r w:rsidRPr="00546FE0">
        <w:rPr>
          <w:rFonts w:ascii="Arial Narrow" w:hAnsi="Arial Narrow"/>
        </w:rPr>
        <w:t xml:space="preserve"> (</w:t>
      </w:r>
      <w:r w:rsidR="00492EA1">
        <w:rPr>
          <w:rFonts w:ascii="Arial Narrow" w:hAnsi="Arial Narrow"/>
        </w:rPr>
        <w:t>admission</w:t>
      </w:r>
      <w:r w:rsidRPr="00546FE0">
        <w:rPr>
          <w:rFonts w:ascii="Arial Narrow" w:hAnsi="Arial Narrow"/>
        </w:rPr>
        <w:t xml:space="preserve">) du présent document déroge </w:t>
      </w:r>
      <w:r>
        <w:rPr>
          <w:rFonts w:ascii="Arial Narrow" w:hAnsi="Arial Narrow"/>
        </w:rPr>
        <w:t>aux articles 27 à30</w:t>
      </w:r>
      <w:r w:rsidRPr="00546FE0">
        <w:rPr>
          <w:rFonts w:ascii="Arial Narrow" w:hAnsi="Arial Narrow"/>
        </w:rPr>
        <w:t xml:space="preserve"> du CCAG-FCS.</w:t>
      </w:r>
    </w:p>
    <w:p w14:paraId="5A2F156F" w14:textId="4F14EA47" w:rsidR="00655ED7" w:rsidRDefault="00655ED7" w:rsidP="00655ED7">
      <w:pPr>
        <w:pStyle w:val="En-tte"/>
        <w:spacing w:after="120" w:line="360" w:lineRule="auto"/>
        <w:jc w:val="both"/>
        <w:rPr>
          <w:rFonts w:ascii="Arial Narrow" w:hAnsi="Arial Narrow"/>
        </w:rPr>
      </w:pPr>
      <w:r w:rsidRPr="00546FE0">
        <w:rPr>
          <w:rFonts w:ascii="Arial Narrow" w:hAnsi="Arial Narrow"/>
        </w:rPr>
        <w:t xml:space="preserve">L'article </w:t>
      </w:r>
      <w:r>
        <w:rPr>
          <w:rFonts w:ascii="Arial Narrow" w:hAnsi="Arial Narrow"/>
        </w:rPr>
        <w:t>6.1</w:t>
      </w:r>
      <w:r w:rsidRPr="00546FE0">
        <w:rPr>
          <w:rFonts w:ascii="Arial Narrow" w:hAnsi="Arial Narrow"/>
        </w:rPr>
        <w:t xml:space="preserve"> (</w:t>
      </w:r>
      <w:r w:rsidR="009C0C82">
        <w:rPr>
          <w:rFonts w:ascii="Arial Narrow" w:hAnsi="Arial Narrow"/>
        </w:rPr>
        <w:t>admission</w:t>
      </w:r>
      <w:r w:rsidRPr="00546FE0">
        <w:rPr>
          <w:rFonts w:ascii="Arial Narrow" w:hAnsi="Arial Narrow"/>
        </w:rPr>
        <w:t xml:space="preserve">) du présent document déroge </w:t>
      </w:r>
      <w:r w:rsidR="00AE791E">
        <w:rPr>
          <w:rFonts w:ascii="Arial Narrow" w:hAnsi="Arial Narrow"/>
        </w:rPr>
        <w:t>à l’</w:t>
      </w:r>
      <w:r>
        <w:rPr>
          <w:rFonts w:ascii="Arial Narrow" w:hAnsi="Arial Narrow"/>
        </w:rPr>
        <w:t>article 30.1</w:t>
      </w:r>
      <w:r w:rsidRPr="00546FE0">
        <w:rPr>
          <w:rFonts w:ascii="Arial Narrow" w:hAnsi="Arial Narrow"/>
        </w:rPr>
        <w:t xml:space="preserve"> du CCAG-FCS.</w:t>
      </w:r>
    </w:p>
    <w:p w14:paraId="0EEB3BEF" w14:textId="4683B6A3" w:rsidR="00AE791E" w:rsidRPr="00546FE0" w:rsidRDefault="00AE791E" w:rsidP="00655ED7">
      <w:pPr>
        <w:pStyle w:val="En-tte"/>
        <w:spacing w:after="120" w:line="360" w:lineRule="auto"/>
        <w:jc w:val="both"/>
        <w:rPr>
          <w:rFonts w:ascii="Arial Narrow" w:hAnsi="Arial Narrow"/>
        </w:rPr>
      </w:pPr>
      <w:r w:rsidRPr="00546FE0">
        <w:rPr>
          <w:rFonts w:ascii="Arial Narrow" w:hAnsi="Arial Narrow"/>
        </w:rPr>
        <w:lastRenderedPageBreak/>
        <w:t xml:space="preserve">L'article </w:t>
      </w:r>
      <w:r>
        <w:rPr>
          <w:rFonts w:ascii="Arial Narrow" w:hAnsi="Arial Narrow"/>
        </w:rPr>
        <w:t>6.2</w:t>
      </w:r>
      <w:r w:rsidRPr="00546FE0">
        <w:rPr>
          <w:rFonts w:ascii="Arial Narrow" w:hAnsi="Arial Narrow"/>
        </w:rPr>
        <w:t xml:space="preserve"> (</w:t>
      </w:r>
      <w:r>
        <w:rPr>
          <w:rFonts w:ascii="Arial Narrow" w:hAnsi="Arial Narrow"/>
        </w:rPr>
        <w:t>admission</w:t>
      </w:r>
      <w:r w:rsidRPr="00546FE0">
        <w:rPr>
          <w:rFonts w:ascii="Arial Narrow" w:hAnsi="Arial Narrow"/>
        </w:rPr>
        <w:t xml:space="preserve">) du présent document déroge </w:t>
      </w:r>
      <w:r>
        <w:rPr>
          <w:rFonts w:ascii="Arial Narrow" w:hAnsi="Arial Narrow"/>
        </w:rPr>
        <w:t>aux articles 27 à 30</w:t>
      </w:r>
      <w:r w:rsidRPr="00546FE0">
        <w:rPr>
          <w:rFonts w:ascii="Arial Narrow" w:hAnsi="Arial Narrow"/>
        </w:rPr>
        <w:t xml:space="preserve"> du CCAG-FCS.</w:t>
      </w:r>
    </w:p>
    <w:p w14:paraId="4E0928D4" w14:textId="4D6D5692" w:rsidR="00165639" w:rsidRDefault="00165639" w:rsidP="00165639">
      <w:pPr>
        <w:pStyle w:val="En-tte"/>
        <w:spacing w:after="120" w:line="360" w:lineRule="auto"/>
        <w:jc w:val="both"/>
        <w:rPr>
          <w:rFonts w:ascii="Arial Narrow" w:hAnsi="Arial Narrow"/>
        </w:rPr>
      </w:pPr>
      <w:r w:rsidRPr="00546FE0">
        <w:rPr>
          <w:rFonts w:ascii="Arial Narrow" w:hAnsi="Arial Narrow"/>
        </w:rPr>
        <w:t xml:space="preserve">L'article </w:t>
      </w:r>
      <w:r w:rsidR="00AF4EE8">
        <w:rPr>
          <w:rFonts w:ascii="Arial Narrow" w:hAnsi="Arial Narrow"/>
        </w:rPr>
        <w:t>19</w:t>
      </w:r>
      <w:r w:rsidR="00AD439B" w:rsidRPr="00546FE0">
        <w:rPr>
          <w:rFonts w:ascii="Arial Narrow" w:hAnsi="Arial Narrow"/>
        </w:rPr>
        <w:t xml:space="preserve"> (pénalités) du présent document </w:t>
      </w:r>
      <w:r w:rsidR="00655ED7">
        <w:rPr>
          <w:rFonts w:ascii="Arial Narrow" w:hAnsi="Arial Narrow"/>
        </w:rPr>
        <w:t>à</w:t>
      </w:r>
      <w:r w:rsidR="00B31B38">
        <w:rPr>
          <w:rFonts w:ascii="Arial Narrow" w:hAnsi="Arial Narrow"/>
        </w:rPr>
        <w:t xml:space="preserve"> l’article 14.1.1– alinéa 2, 14.12 et 14.3 </w:t>
      </w:r>
      <w:r w:rsidRPr="00546FE0">
        <w:rPr>
          <w:rFonts w:ascii="Arial Narrow" w:hAnsi="Arial Narrow"/>
        </w:rPr>
        <w:t>du CCAG-FCS.</w:t>
      </w:r>
    </w:p>
    <w:p w14:paraId="769EEFE2" w14:textId="62E6E1A1" w:rsidR="00B31B38" w:rsidRPr="00546FE0" w:rsidRDefault="00B31B38" w:rsidP="00165639">
      <w:pPr>
        <w:pStyle w:val="En-tte"/>
        <w:spacing w:after="120" w:line="360" w:lineRule="auto"/>
        <w:jc w:val="both"/>
        <w:rPr>
          <w:rFonts w:ascii="Arial Narrow" w:hAnsi="Arial Narrow"/>
        </w:rPr>
      </w:pPr>
      <w:r>
        <w:rPr>
          <w:rFonts w:ascii="Arial Narrow" w:hAnsi="Arial Narrow"/>
        </w:rPr>
        <w:t>L’article 19 (pénalités) déroge à l’article 41 du CCAG-FCS.</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1"/>
      <w:headerReference w:type="first" r:id="rId12"/>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623593" w14:textId="77777777" w:rsidR="007430B8" w:rsidRDefault="007430B8" w:rsidP="00E42FF3">
      <w:pPr>
        <w:spacing w:after="0" w:line="240" w:lineRule="auto"/>
      </w:pPr>
      <w:r>
        <w:separator/>
      </w:r>
    </w:p>
  </w:endnote>
  <w:endnote w:type="continuationSeparator" w:id="0">
    <w:p w14:paraId="1B8D8DF0" w14:textId="77777777" w:rsidR="007430B8" w:rsidRDefault="007430B8"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lantin MT Light">
    <w:altName w:val="Gentium Basic"/>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2182780E" w:rsidR="004A157C" w:rsidRDefault="004A157C">
        <w:pPr>
          <w:pStyle w:val="Pieddepage"/>
          <w:jc w:val="right"/>
        </w:pPr>
        <w:r>
          <w:fldChar w:fldCharType="begin"/>
        </w:r>
        <w:r>
          <w:instrText>PAGE   \* MERGEFORMAT</w:instrText>
        </w:r>
        <w:r>
          <w:fldChar w:fldCharType="separate"/>
        </w:r>
        <w:r w:rsidR="004A2059">
          <w:rPr>
            <w:noProof/>
          </w:rPr>
          <w:t>20</w:t>
        </w:r>
        <w:r>
          <w:fldChar w:fldCharType="end"/>
        </w:r>
      </w:p>
    </w:sdtContent>
  </w:sdt>
  <w:p w14:paraId="1C416107" w14:textId="77777777" w:rsidR="004A157C" w:rsidRDefault="004A15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D978DE" w14:textId="77777777" w:rsidR="007430B8" w:rsidRDefault="007430B8" w:rsidP="00E42FF3">
      <w:pPr>
        <w:spacing w:after="0" w:line="240" w:lineRule="auto"/>
      </w:pPr>
      <w:r>
        <w:separator/>
      </w:r>
    </w:p>
  </w:footnote>
  <w:footnote w:type="continuationSeparator" w:id="0">
    <w:p w14:paraId="63533D21" w14:textId="77777777" w:rsidR="007430B8" w:rsidRDefault="007430B8"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84742F" w14:paraId="003D0DDF" w14:textId="77777777" w:rsidTr="004D7E1C">
      <w:tc>
        <w:tcPr>
          <w:tcW w:w="2725" w:type="dxa"/>
        </w:tcPr>
        <w:p w14:paraId="6D01B20F" w14:textId="77777777" w:rsidR="0084742F" w:rsidRDefault="0084742F" w:rsidP="0084742F">
          <w:pPr>
            <w:pStyle w:val="En-tte"/>
          </w:pPr>
          <w:r>
            <w:rPr>
              <w:noProof/>
              <w:lang w:eastAsia="fr-FR"/>
            </w:rPr>
            <w:drawing>
              <wp:inline distT="0" distB="0" distL="0" distR="0" wp14:anchorId="4149E3B3" wp14:editId="4AB1330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7518DD96" w14:textId="77777777" w:rsidR="0084742F" w:rsidRPr="008B551F" w:rsidRDefault="0084742F" w:rsidP="0084742F">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5F9B24F" w14:textId="77777777" w:rsidR="0084742F" w:rsidRPr="008B551F" w:rsidRDefault="0084742F" w:rsidP="0084742F">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673A736A" w14:textId="77777777" w:rsidR="0084742F" w:rsidRPr="008B551F" w:rsidRDefault="0084742F" w:rsidP="0084742F">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486A86DE" w14:textId="77777777" w:rsidR="0084742F" w:rsidRPr="008B551F" w:rsidRDefault="0084742F" w:rsidP="0084742F">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39C4D8ED" w14:textId="77777777" w:rsidR="0084742F" w:rsidRPr="008B551F" w:rsidRDefault="0084742F" w:rsidP="0084742F">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4FC2D39D" w14:textId="77777777" w:rsidR="0084742F" w:rsidRDefault="0084742F" w:rsidP="0084742F">
          <w:pPr>
            <w:pStyle w:val="En-tte"/>
            <w:tabs>
              <w:tab w:val="clear" w:pos="4536"/>
              <w:tab w:val="clear" w:pos="9072"/>
              <w:tab w:val="left" w:pos="4635"/>
            </w:tabs>
          </w:pPr>
        </w:p>
      </w:tc>
    </w:tr>
  </w:tbl>
  <w:p w14:paraId="79DED19F" w14:textId="77777777" w:rsidR="004A157C" w:rsidRPr="0084742F" w:rsidRDefault="004A157C" w:rsidP="008474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multilevel"/>
    <w:tmpl w:val="00000012"/>
    <w:name w:val="WW8Num24"/>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317DCE"/>
    <w:multiLevelType w:val="hybridMultilevel"/>
    <w:tmpl w:val="9B3A8E0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220F588C"/>
    <w:multiLevelType w:val="hybridMultilevel"/>
    <w:tmpl w:val="671028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C233C7"/>
    <w:multiLevelType w:val="hybridMultilevel"/>
    <w:tmpl w:val="046E5656"/>
    <w:lvl w:ilvl="0" w:tplc="A1C8EC9E">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0" w15:restartNumberingAfterBreak="0">
    <w:nsid w:val="2A7636AD"/>
    <w:multiLevelType w:val="hybridMultilevel"/>
    <w:tmpl w:val="841817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1C76E65"/>
    <w:multiLevelType w:val="hybridMultilevel"/>
    <w:tmpl w:val="B3A687CC"/>
    <w:lvl w:ilvl="0" w:tplc="7478BAC8">
      <w:numFmt w:val="bullet"/>
      <w:lvlText w:val="-"/>
      <w:lvlJc w:val="left"/>
      <w:pPr>
        <w:tabs>
          <w:tab w:val="num" w:pos="360"/>
        </w:tabs>
        <w:ind w:left="36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4824E8"/>
    <w:multiLevelType w:val="hybridMultilevel"/>
    <w:tmpl w:val="41C6D7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1F2337A"/>
    <w:multiLevelType w:val="multilevel"/>
    <w:tmpl w:val="E708D4A8"/>
    <w:lvl w:ilvl="0">
      <w:start w:val="1"/>
      <w:numFmt w:val="decimal"/>
      <w:lvlText w:val="1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3746AB1"/>
    <w:multiLevelType w:val="multilevel"/>
    <w:tmpl w:val="CBAC100E"/>
    <w:lvl w:ilvl="0">
      <w:start w:val="1"/>
      <w:numFmt w:val="decimal"/>
      <w:lvlText w:val="2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4552B90"/>
    <w:multiLevelType w:val="multilevel"/>
    <w:tmpl w:val="BD308EE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4EA009EA"/>
    <w:multiLevelType w:val="multilevel"/>
    <w:tmpl w:val="613CB92C"/>
    <w:lvl w:ilvl="0">
      <w:start w:val="1"/>
      <w:numFmt w:val="decimal"/>
      <w:lvlText w:val="17.%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A0C52F8"/>
    <w:multiLevelType w:val="hybridMultilevel"/>
    <w:tmpl w:val="FEE68084"/>
    <w:lvl w:ilvl="0" w:tplc="FCB0718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61567D50"/>
    <w:multiLevelType w:val="hybridMultilevel"/>
    <w:tmpl w:val="FE20A5B8"/>
    <w:lvl w:ilvl="0" w:tplc="300ED250">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DD22B47"/>
    <w:multiLevelType w:val="hybridMultilevel"/>
    <w:tmpl w:val="EDA450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3"/>
  </w:num>
  <w:num w:numId="3">
    <w:abstractNumId w:val="23"/>
  </w:num>
  <w:num w:numId="4">
    <w:abstractNumId w:val="4"/>
  </w:num>
  <w:num w:numId="5">
    <w:abstractNumId w:val="16"/>
  </w:num>
  <w:num w:numId="6">
    <w:abstractNumId w:val="1"/>
  </w:num>
  <w:num w:numId="7">
    <w:abstractNumId w:val="22"/>
  </w:num>
  <w:num w:numId="8">
    <w:abstractNumId w:val="17"/>
  </w:num>
  <w:num w:numId="9">
    <w:abstractNumId w:val="9"/>
  </w:num>
  <w:num w:numId="10">
    <w:abstractNumId w:val="19"/>
  </w:num>
  <w:num w:numId="11">
    <w:abstractNumId w:val="2"/>
  </w:num>
  <w:num w:numId="12">
    <w:abstractNumId w:val="21"/>
  </w:num>
  <w:num w:numId="13">
    <w:abstractNumId w:val="18"/>
  </w:num>
  <w:num w:numId="14">
    <w:abstractNumId w:val="13"/>
  </w:num>
  <w:num w:numId="15">
    <w:abstractNumId w:val="20"/>
  </w:num>
  <w:num w:numId="16">
    <w:abstractNumId w:val="28"/>
  </w:num>
  <w:num w:numId="17">
    <w:abstractNumId w:val="5"/>
  </w:num>
  <w:num w:numId="18">
    <w:abstractNumId w:val="26"/>
  </w:num>
  <w:num w:numId="19">
    <w:abstractNumId w:val="14"/>
  </w:num>
  <w:num w:numId="20">
    <w:abstractNumId w:val="8"/>
  </w:num>
  <w:num w:numId="21">
    <w:abstractNumId w:val="0"/>
  </w:num>
  <w:num w:numId="22">
    <w:abstractNumId w:val="15"/>
  </w:num>
  <w:num w:numId="23">
    <w:abstractNumId w:val="24"/>
  </w:num>
  <w:num w:numId="24">
    <w:abstractNumId w:val="12"/>
  </w:num>
  <w:num w:numId="25">
    <w:abstractNumId w:val="7"/>
  </w:num>
  <w:num w:numId="26">
    <w:abstractNumId w:val="29"/>
  </w:num>
  <w:num w:numId="27">
    <w:abstractNumId w:val="11"/>
  </w:num>
  <w:num w:numId="28">
    <w:abstractNumId w:val="6"/>
  </w:num>
  <w:num w:numId="29">
    <w:abstractNumId w:val="25"/>
  </w:num>
  <w:num w:numId="30">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1226A"/>
    <w:rsid w:val="00023FFA"/>
    <w:rsid w:val="00043D85"/>
    <w:rsid w:val="00054FBE"/>
    <w:rsid w:val="0006022E"/>
    <w:rsid w:val="00094CCC"/>
    <w:rsid w:val="000966D6"/>
    <w:rsid w:val="000A1402"/>
    <w:rsid w:val="000B34BB"/>
    <w:rsid w:val="000B3B70"/>
    <w:rsid w:val="000B3B75"/>
    <w:rsid w:val="000B52E8"/>
    <w:rsid w:val="000B7422"/>
    <w:rsid w:val="000C10A2"/>
    <w:rsid w:val="000C23E7"/>
    <w:rsid w:val="000C2C57"/>
    <w:rsid w:val="000D0217"/>
    <w:rsid w:val="000D317C"/>
    <w:rsid w:val="000E7740"/>
    <w:rsid w:val="00101B62"/>
    <w:rsid w:val="00106DDC"/>
    <w:rsid w:val="00110ACC"/>
    <w:rsid w:val="001258B9"/>
    <w:rsid w:val="00137D5F"/>
    <w:rsid w:val="0014540C"/>
    <w:rsid w:val="0014688E"/>
    <w:rsid w:val="00146C6B"/>
    <w:rsid w:val="0016493C"/>
    <w:rsid w:val="00165639"/>
    <w:rsid w:val="00180990"/>
    <w:rsid w:val="0018770A"/>
    <w:rsid w:val="00193BAA"/>
    <w:rsid w:val="001945A2"/>
    <w:rsid w:val="00194BD4"/>
    <w:rsid w:val="001A0213"/>
    <w:rsid w:val="001B011D"/>
    <w:rsid w:val="001B20ED"/>
    <w:rsid w:val="001B44CB"/>
    <w:rsid w:val="001D1F28"/>
    <w:rsid w:val="001F355A"/>
    <w:rsid w:val="001F6E69"/>
    <w:rsid w:val="002168AA"/>
    <w:rsid w:val="00221E42"/>
    <w:rsid w:val="0024029C"/>
    <w:rsid w:val="0024335F"/>
    <w:rsid w:val="00245388"/>
    <w:rsid w:val="002461A2"/>
    <w:rsid w:val="0025246C"/>
    <w:rsid w:val="00257918"/>
    <w:rsid w:val="00261EEE"/>
    <w:rsid w:val="00264E15"/>
    <w:rsid w:val="002703DD"/>
    <w:rsid w:val="00276F3B"/>
    <w:rsid w:val="002A6B61"/>
    <w:rsid w:val="002B10AD"/>
    <w:rsid w:val="002C5191"/>
    <w:rsid w:val="002D3377"/>
    <w:rsid w:val="002D6143"/>
    <w:rsid w:val="002F2DB2"/>
    <w:rsid w:val="002F4374"/>
    <w:rsid w:val="0030422B"/>
    <w:rsid w:val="003063A4"/>
    <w:rsid w:val="00306A9D"/>
    <w:rsid w:val="00314364"/>
    <w:rsid w:val="00332820"/>
    <w:rsid w:val="00347265"/>
    <w:rsid w:val="00350E5F"/>
    <w:rsid w:val="00360E50"/>
    <w:rsid w:val="00367714"/>
    <w:rsid w:val="003765CC"/>
    <w:rsid w:val="00376A8E"/>
    <w:rsid w:val="00377928"/>
    <w:rsid w:val="0039639A"/>
    <w:rsid w:val="003978C9"/>
    <w:rsid w:val="003A0E64"/>
    <w:rsid w:val="003A3C44"/>
    <w:rsid w:val="003C2DDE"/>
    <w:rsid w:val="003D00F0"/>
    <w:rsid w:val="003D7C03"/>
    <w:rsid w:val="003F2CCF"/>
    <w:rsid w:val="003F3420"/>
    <w:rsid w:val="003F5F33"/>
    <w:rsid w:val="00403F4D"/>
    <w:rsid w:val="00422159"/>
    <w:rsid w:val="00426B67"/>
    <w:rsid w:val="004302A7"/>
    <w:rsid w:val="00452245"/>
    <w:rsid w:val="00470284"/>
    <w:rsid w:val="00487F42"/>
    <w:rsid w:val="00492EA1"/>
    <w:rsid w:val="00496B48"/>
    <w:rsid w:val="004A157C"/>
    <w:rsid w:val="004A2059"/>
    <w:rsid w:val="004C5CF1"/>
    <w:rsid w:val="004C6C2C"/>
    <w:rsid w:val="004D0CF2"/>
    <w:rsid w:val="004D156F"/>
    <w:rsid w:val="004D7364"/>
    <w:rsid w:val="004E7A4C"/>
    <w:rsid w:val="004F429E"/>
    <w:rsid w:val="004F6852"/>
    <w:rsid w:val="004F69C5"/>
    <w:rsid w:val="004F747D"/>
    <w:rsid w:val="00523764"/>
    <w:rsid w:val="00527923"/>
    <w:rsid w:val="00527EF3"/>
    <w:rsid w:val="005413BD"/>
    <w:rsid w:val="00546FE0"/>
    <w:rsid w:val="00560A0F"/>
    <w:rsid w:val="00560BA6"/>
    <w:rsid w:val="00564E9A"/>
    <w:rsid w:val="005678FF"/>
    <w:rsid w:val="00567E17"/>
    <w:rsid w:val="005706E9"/>
    <w:rsid w:val="00586654"/>
    <w:rsid w:val="00593CA0"/>
    <w:rsid w:val="005B11C8"/>
    <w:rsid w:val="005C2024"/>
    <w:rsid w:val="005C2170"/>
    <w:rsid w:val="005D0209"/>
    <w:rsid w:val="005D1A2E"/>
    <w:rsid w:val="005D555E"/>
    <w:rsid w:val="005E63A7"/>
    <w:rsid w:val="005F1D51"/>
    <w:rsid w:val="0061199C"/>
    <w:rsid w:val="0061490F"/>
    <w:rsid w:val="006334A7"/>
    <w:rsid w:val="006340FD"/>
    <w:rsid w:val="0064097D"/>
    <w:rsid w:val="006465DC"/>
    <w:rsid w:val="00646D21"/>
    <w:rsid w:val="006528A6"/>
    <w:rsid w:val="00655ED7"/>
    <w:rsid w:val="006619F0"/>
    <w:rsid w:val="00662BE0"/>
    <w:rsid w:val="00666DD5"/>
    <w:rsid w:val="006A4B18"/>
    <w:rsid w:val="006A63E0"/>
    <w:rsid w:val="006A7291"/>
    <w:rsid w:val="006D726C"/>
    <w:rsid w:val="006E2A62"/>
    <w:rsid w:val="006F0B57"/>
    <w:rsid w:val="006F1D15"/>
    <w:rsid w:val="006F5F1B"/>
    <w:rsid w:val="006F6B34"/>
    <w:rsid w:val="006F6B67"/>
    <w:rsid w:val="007023B6"/>
    <w:rsid w:val="00704A71"/>
    <w:rsid w:val="007221BF"/>
    <w:rsid w:val="00723A04"/>
    <w:rsid w:val="007258AA"/>
    <w:rsid w:val="00733FD2"/>
    <w:rsid w:val="007430B8"/>
    <w:rsid w:val="007639B4"/>
    <w:rsid w:val="007663CD"/>
    <w:rsid w:val="00772E71"/>
    <w:rsid w:val="00773166"/>
    <w:rsid w:val="00775A85"/>
    <w:rsid w:val="00781444"/>
    <w:rsid w:val="007A45E0"/>
    <w:rsid w:val="007B2A28"/>
    <w:rsid w:val="007B4DDF"/>
    <w:rsid w:val="007D159B"/>
    <w:rsid w:val="007E5415"/>
    <w:rsid w:val="00805F7E"/>
    <w:rsid w:val="0081396B"/>
    <w:rsid w:val="00832CE8"/>
    <w:rsid w:val="00836C55"/>
    <w:rsid w:val="0084411C"/>
    <w:rsid w:val="00846D60"/>
    <w:rsid w:val="0084742F"/>
    <w:rsid w:val="0088306B"/>
    <w:rsid w:val="0088600A"/>
    <w:rsid w:val="00886A9B"/>
    <w:rsid w:val="00891B1A"/>
    <w:rsid w:val="008921DA"/>
    <w:rsid w:val="008B6960"/>
    <w:rsid w:val="008D2C23"/>
    <w:rsid w:val="008D3081"/>
    <w:rsid w:val="008D6001"/>
    <w:rsid w:val="00910D6B"/>
    <w:rsid w:val="009122D3"/>
    <w:rsid w:val="009146C4"/>
    <w:rsid w:val="00973FC0"/>
    <w:rsid w:val="00981835"/>
    <w:rsid w:val="00983998"/>
    <w:rsid w:val="00990731"/>
    <w:rsid w:val="009923B9"/>
    <w:rsid w:val="009C0C82"/>
    <w:rsid w:val="009D49A4"/>
    <w:rsid w:val="009D63CC"/>
    <w:rsid w:val="00A010AB"/>
    <w:rsid w:val="00A02B17"/>
    <w:rsid w:val="00A02FC1"/>
    <w:rsid w:val="00A10DFE"/>
    <w:rsid w:val="00A118F1"/>
    <w:rsid w:val="00A13DA7"/>
    <w:rsid w:val="00A15E81"/>
    <w:rsid w:val="00A209FD"/>
    <w:rsid w:val="00A21B58"/>
    <w:rsid w:val="00A2497B"/>
    <w:rsid w:val="00A31094"/>
    <w:rsid w:val="00A4479E"/>
    <w:rsid w:val="00A572A6"/>
    <w:rsid w:val="00A71968"/>
    <w:rsid w:val="00A7568E"/>
    <w:rsid w:val="00A94EDC"/>
    <w:rsid w:val="00AA3E07"/>
    <w:rsid w:val="00AB5DFE"/>
    <w:rsid w:val="00AB63B1"/>
    <w:rsid w:val="00AB6BBF"/>
    <w:rsid w:val="00AD439B"/>
    <w:rsid w:val="00AE53FF"/>
    <w:rsid w:val="00AE791E"/>
    <w:rsid w:val="00AF4EE8"/>
    <w:rsid w:val="00B13342"/>
    <w:rsid w:val="00B17100"/>
    <w:rsid w:val="00B31B38"/>
    <w:rsid w:val="00B40DE9"/>
    <w:rsid w:val="00B42ED3"/>
    <w:rsid w:val="00B52B09"/>
    <w:rsid w:val="00B664B5"/>
    <w:rsid w:val="00B72615"/>
    <w:rsid w:val="00B76727"/>
    <w:rsid w:val="00B76C4A"/>
    <w:rsid w:val="00B91061"/>
    <w:rsid w:val="00BB1F10"/>
    <w:rsid w:val="00BD4DB7"/>
    <w:rsid w:val="00BD51F8"/>
    <w:rsid w:val="00BD6430"/>
    <w:rsid w:val="00BE6EDB"/>
    <w:rsid w:val="00BF28CF"/>
    <w:rsid w:val="00C0489A"/>
    <w:rsid w:val="00C10FFE"/>
    <w:rsid w:val="00C23501"/>
    <w:rsid w:val="00C37C04"/>
    <w:rsid w:val="00C47AC9"/>
    <w:rsid w:val="00C51757"/>
    <w:rsid w:val="00C62337"/>
    <w:rsid w:val="00C86D8A"/>
    <w:rsid w:val="00C92452"/>
    <w:rsid w:val="00CB4C70"/>
    <w:rsid w:val="00CC605C"/>
    <w:rsid w:val="00CD5C98"/>
    <w:rsid w:val="00CE4A76"/>
    <w:rsid w:val="00CF5977"/>
    <w:rsid w:val="00D17E86"/>
    <w:rsid w:val="00D212FA"/>
    <w:rsid w:val="00D27E26"/>
    <w:rsid w:val="00D32F62"/>
    <w:rsid w:val="00D349F1"/>
    <w:rsid w:val="00D42020"/>
    <w:rsid w:val="00D4779E"/>
    <w:rsid w:val="00D50C57"/>
    <w:rsid w:val="00D524F5"/>
    <w:rsid w:val="00D52967"/>
    <w:rsid w:val="00D637C9"/>
    <w:rsid w:val="00D67F9B"/>
    <w:rsid w:val="00D72FEE"/>
    <w:rsid w:val="00D86150"/>
    <w:rsid w:val="00D9355E"/>
    <w:rsid w:val="00D97330"/>
    <w:rsid w:val="00DA43EE"/>
    <w:rsid w:val="00DB457F"/>
    <w:rsid w:val="00DB7A14"/>
    <w:rsid w:val="00DC2FA3"/>
    <w:rsid w:val="00DC313C"/>
    <w:rsid w:val="00DC78DF"/>
    <w:rsid w:val="00DF74E9"/>
    <w:rsid w:val="00E03761"/>
    <w:rsid w:val="00E04363"/>
    <w:rsid w:val="00E42FF3"/>
    <w:rsid w:val="00E56B0C"/>
    <w:rsid w:val="00E679A0"/>
    <w:rsid w:val="00E76580"/>
    <w:rsid w:val="00E8028F"/>
    <w:rsid w:val="00E838D9"/>
    <w:rsid w:val="00E8477E"/>
    <w:rsid w:val="00E85F33"/>
    <w:rsid w:val="00E86FA0"/>
    <w:rsid w:val="00EC2356"/>
    <w:rsid w:val="00EC2C85"/>
    <w:rsid w:val="00EC6141"/>
    <w:rsid w:val="00EE4C36"/>
    <w:rsid w:val="00EE65EC"/>
    <w:rsid w:val="00F00B40"/>
    <w:rsid w:val="00F03BF9"/>
    <w:rsid w:val="00F065F4"/>
    <w:rsid w:val="00F26936"/>
    <w:rsid w:val="00F579C7"/>
    <w:rsid w:val="00F6320E"/>
    <w:rsid w:val="00F73F01"/>
    <w:rsid w:val="00F74527"/>
    <w:rsid w:val="00F747D0"/>
    <w:rsid w:val="00F7691F"/>
    <w:rsid w:val="00F802CE"/>
    <w:rsid w:val="00FA6EF9"/>
    <w:rsid w:val="00FA7038"/>
    <w:rsid w:val="00FC4A03"/>
    <w:rsid w:val="00FD1EF1"/>
    <w:rsid w:val="00FD3BFA"/>
    <w:rsid w:val="00FE4B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iPriority w:val="9"/>
    <w:semiHidden/>
    <w:unhideWhenUsed/>
    <w:qFormat/>
    <w:rsid w:val="00AB6BBF"/>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Liste à puce - Normal,lp1,List Paragraph"/>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customStyle="1" w:styleId="Titre6Car">
    <w:name w:val="Titre 6 Car"/>
    <w:basedOn w:val="Policepardfaut"/>
    <w:link w:val="Titre6"/>
    <w:uiPriority w:val="9"/>
    <w:semiHidden/>
    <w:rsid w:val="00AB6BBF"/>
    <w:rPr>
      <w:rFonts w:asciiTheme="majorHAnsi" w:eastAsiaTheme="majorEastAsia" w:hAnsiTheme="majorHAnsi" w:cstheme="majorBidi"/>
      <w:color w:val="1F4D78" w:themeColor="accent1" w:themeShade="7F"/>
    </w:rPr>
  </w:style>
  <w:style w:type="paragraph" w:customStyle="1" w:styleId="4Ss-article">
    <w:name w:val="4. Ss-article"/>
    <w:basedOn w:val="Normal"/>
    <w:next w:val="5Normal"/>
    <w:link w:val="4Ss-articleCar"/>
    <w:autoRedefine/>
    <w:qFormat/>
    <w:rsid w:val="00AB6BBF"/>
    <w:pPr>
      <w:suppressAutoHyphens/>
      <w:spacing w:before="360" w:after="120" w:line="240" w:lineRule="auto"/>
    </w:pPr>
    <w:rPr>
      <w:rFonts w:ascii="Arial" w:eastAsia="Times New Roman" w:hAnsi="Arial" w:cs="Times New Roman"/>
      <w:sz w:val="20"/>
      <w:szCs w:val="18"/>
      <w:u w:val="single"/>
      <w:lang w:eastAsia="x-none"/>
    </w:rPr>
  </w:style>
  <w:style w:type="character" w:customStyle="1" w:styleId="4Ss-articleCar">
    <w:name w:val="4. Ss-article Car"/>
    <w:link w:val="4Ss-article"/>
    <w:rsid w:val="00AB6BBF"/>
    <w:rPr>
      <w:rFonts w:ascii="Arial" w:eastAsia="Times New Roman" w:hAnsi="Arial" w:cs="Times New Roman"/>
      <w:sz w:val="20"/>
      <w:szCs w:val="18"/>
      <w:u w:val="single"/>
      <w:lang w:eastAsia="x-none"/>
    </w:rPr>
  </w:style>
  <w:style w:type="paragraph" w:customStyle="1" w:styleId="7Normali">
    <w:name w:val="7. Normal (i)"/>
    <w:basedOn w:val="5Normal"/>
    <w:next w:val="Normal"/>
    <w:link w:val="7NormaliCar"/>
    <w:autoRedefine/>
    <w:qFormat/>
    <w:rsid w:val="00AB6BBF"/>
    <w:pPr>
      <w:suppressAutoHyphens/>
      <w:spacing w:before="240" w:line="240" w:lineRule="auto"/>
      <w:ind w:hanging="1"/>
    </w:pPr>
    <w:rPr>
      <w:rFonts w:eastAsia="Times New Roman" w:cs="Times New Roman"/>
      <w:sz w:val="20"/>
      <w:szCs w:val="20"/>
      <w:lang w:eastAsia="ar-SA"/>
    </w:rPr>
  </w:style>
  <w:style w:type="character" w:customStyle="1" w:styleId="7NormaliCar">
    <w:name w:val="7. Normal (i) Car"/>
    <w:link w:val="7Normali"/>
    <w:rsid w:val="00AB6BBF"/>
    <w:rPr>
      <w:rFonts w:ascii="Arial" w:eastAsia="Times New Roman" w:hAnsi="Arial" w:cs="Times New Roman"/>
      <w:sz w:val="20"/>
      <w:szCs w:val="20"/>
      <w:lang w:eastAsia="ar-SA"/>
    </w:rPr>
  </w:style>
  <w:style w:type="character" w:customStyle="1" w:styleId="spnmessagetext">
    <w:name w:val="spnmessagetext"/>
    <w:basedOn w:val="Policepardfaut"/>
    <w:rsid w:val="00D42020"/>
  </w:style>
  <w:style w:type="paragraph" w:styleId="Corpsdetexte3">
    <w:name w:val="Body Text 3"/>
    <w:basedOn w:val="Normal"/>
    <w:link w:val="Corpsdetexte3Car"/>
    <w:uiPriority w:val="99"/>
    <w:semiHidden/>
    <w:unhideWhenUsed/>
    <w:rsid w:val="00C10FFE"/>
    <w:pPr>
      <w:spacing w:after="120"/>
    </w:pPr>
    <w:rPr>
      <w:sz w:val="16"/>
      <w:szCs w:val="16"/>
    </w:rPr>
  </w:style>
  <w:style w:type="character" w:customStyle="1" w:styleId="Corpsdetexte3Car">
    <w:name w:val="Corps de texte 3 Car"/>
    <w:basedOn w:val="Policepardfaut"/>
    <w:link w:val="Corpsdetexte3"/>
    <w:uiPriority w:val="99"/>
    <w:semiHidden/>
    <w:rsid w:val="00C10FFE"/>
    <w:rPr>
      <w:sz w:val="16"/>
      <w:szCs w:val="16"/>
    </w:rPr>
  </w:style>
  <w:style w:type="paragraph" w:styleId="Normalcentr">
    <w:name w:val="Block Text"/>
    <w:basedOn w:val="Normal"/>
    <w:uiPriority w:val="99"/>
    <w:semiHidden/>
    <w:unhideWhenUsed/>
    <w:rsid w:val="0039639A"/>
    <w:pPr>
      <w:spacing w:after="0" w:line="240" w:lineRule="auto"/>
      <w:ind w:left="142" w:right="423"/>
    </w:pPr>
    <w:rPr>
      <w:rFonts w:ascii="Calibri Light" w:hAnsi="Calibri Light" w:cs="Calibri Light"/>
    </w:rPr>
  </w:style>
  <w:style w:type="character" w:customStyle="1" w:styleId="ParagraphedelisteCar">
    <w:name w:val="Paragraphe de liste Car"/>
    <w:aliases w:val="Liste à puce - Normal Car,lp1 Car,List Paragraph Car"/>
    <w:basedOn w:val="Policepardfaut"/>
    <w:link w:val="Paragraphedeliste"/>
    <w:uiPriority w:val="34"/>
    <w:rsid w:val="00AB5DFE"/>
  </w:style>
  <w:style w:type="paragraph" w:customStyle="1" w:styleId="texte1r">
    <w:name w:val="texte_1r"/>
    <w:basedOn w:val="Normal"/>
    <w:autoRedefine/>
    <w:rsid w:val="00D67F9B"/>
    <w:pPr>
      <w:tabs>
        <w:tab w:val="left" w:pos="5812"/>
      </w:tabs>
      <w:spacing w:after="120" w:line="240" w:lineRule="auto"/>
      <w:ind w:right="425"/>
      <w:jc w:val="both"/>
    </w:pPr>
    <w:rPr>
      <w:rFonts w:ascii="Plantin MT Light" w:eastAsia="Times New Roman" w:hAnsi="Plantin MT Light" w:cs="Times New Roman"/>
      <w:snapToGrid w:val="0"/>
      <w:color w:val="00000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66795">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746995429">
      <w:bodyDiv w:val="1"/>
      <w:marLeft w:val="0"/>
      <w:marRight w:val="0"/>
      <w:marTop w:val="0"/>
      <w:marBottom w:val="0"/>
      <w:divBdr>
        <w:top w:val="none" w:sz="0" w:space="0" w:color="auto"/>
        <w:left w:val="none" w:sz="0" w:space="0" w:color="auto"/>
        <w:bottom w:val="none" w:sz="0" w:space="0" w:color="auto"/>
        <w:right w:val="none" w:sz="0" w:space="0" w:color="auto"/>
      </w:divBdr>
    </w:div>
    <w:div w:id="951740329">
      <w:bodyDiv w:val="1"/>
      <w:marLeft w:val="0"/>
      <w:marRight w:val="0"/>
      <w:marTop w:val="0"/>
      <w:marBottom w:val="0"/>
      <w:divBdr>
        <w:top w:val="none" w:sz="0" w:space="0" w:color="auto"/>
        <w:left w:val="none" w:sz="0" w:space="0" w:color="auto"/>
        <w:bottom w:val="none" w:sz="0" w:space="0" w:color="auto"/>
        <w:right w:val="none" w:sz="0" w:space="0" w:color="auto"/>
      </w:divBdr>
    </w:div>
    <w:div w:id="1017735844">
      <w:bodyDiv w:val="1"/>
      <w:marLeft w:val="0"/>
      <w:marRight w:val="0"/>
      <w:marTop w:val="0"/>
      <w:marBottom w:val="0"/>
      <w:divBdr>
        <w:top w:val="none" w:sz="0" w:space="0" w:color="auto"/>
        <w:left w:val="none" w:sz="0" w:space="0" w:color="auto"/>
        <w:bottom w:val="none" w:sz="0" w:space="0" w:color="auto"/>
        <w:right w:val="none" w:sz="0" w:space="0" w:color="auto"/>
      </w:divBdr>
    </w:div>
    <w:div w:id="1786192617">
      <w:bodyDiv w:val="1"/>
      <w:marLeft w:val="0"/>
      <w:marRight w:val="0"/>
      <w:marTop w:val="0"/>
      <w:marBottom w:val="0"/>
      <w:divBdr>
        <w:top w:val="none" w:sz="0" w:space="0" w:color="auto"/>
        <w:left w:val="none" w:sz="0" w:space="0" w:color="auto"/>
        <w:bottom w:val="none" w:sz="0" w:space="0" w:color="auto"/>
        <w:right w:val="none" w:sz="0" w:space="0" w:color="auto"/>
      </w:divBdr>
    </w:div>
    <w:div w:id="181786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cidTexte=LEGITEXT000006073189&amp;idArticle=LEGIARTI000023263965&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affichCodeArticle.do?idArticle=LEGIARTI000018520576&amp;cidTexte=LEGITEXT000006072050"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lantin MT Light">
    <w:altName w:val="Gentium Basic"/>
    <w:charset w:val="00"/>
    <w:family w:val="roman"/>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3B08E4"/>
    <w:rsid w:val="005415CF"/>
    <w:rsid w:val="005A3E7F"/>
    <w:rsid w:val="00864732"/>
    <w:rsid w:val="008A0CF3"/>
    <w:rsid w:val="009E2391"/>
    <w:rsid w:val="00A86AFC"/>
    <w:rsid w:val="00AC31B5"/>
    <w:rsid w:val="00B14DD2"/>
    <w:rsid w:val="00B90D7C"/>
    <w:rsid w:val="00C60EC9"/>
    <w:rsid w:val="00CB08D0"/>
    <w:rsid w:val="00D961FA"/>
    <w:rsid w:val="00E372B1"/>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158F0-8F8E-4A05-AD4D-E6012E518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20</Pages>
  <Words>5854</Words>
  <Characters>32200</Characters>
  <Application>Microsoft Office Word</Application>
  <DocSecurity>0</DocSecurity>
  <Lines>268</Lines>
  <Paragraphs>75</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37979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22</cp:revision>
  <cp:lastPrinted>2023-01-10T16:14:00Z</cp:lastPrinted>
  <dcterms:created xsi:type="dcterms:W3CDTF">2025-01-14T13:43:00Z</dcterms:created>
  <dcterms:modified xsi:type="dcterms:W3CDTF">2025-02-04T14:10:00Z</dcterms:modified>
</cp:coreProperties>
</file>