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88B08" w14:textId="7FB747C6" w:rsidR="00D012BD" w:rsidRPr="00D012BD" w:rsidRDefault="007C5250" w:rsidP="00D012BD">
      <w:pPr>
        <w:ind w:right="98"/>
        <w:jc w:val="center"/>
        <w:rPr>
          <w:rFonts w:ascii="Calibri" w:hAnsi="Calibri" w:cs="Arial"/>
          <w:b/>
          <w:noProof/>
          <w:sz w:val="22"/>
          <w:szCs w:val="22"/>
        </w:rPr>
      </w:pPr>
      <w:r>
        <w:rPr>
          <w:rFonts w:ascii="Calibri" w:hAnsi="Calibri"/>
          <w:b/>
          <w:bCs/>
          <w:noProof/>
          <w:sz w:val="28"/>
          <w:szCs w:val="26"/>
          <w:lang w:val="fr-FR"/>
        </w:rPr>
        <w:drawing>
          <wp:inline distT="0" distB="0" distL="0" distR="0" wp14:anchorId="7DFA3734" wp14:editId="655E1239">
            <wp:extent cx="2407920" cy="581328"/>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6267" cy="585757"/>
                    </a:xfrm>
                    <a:prstGeom prst="rect">
                      <a:avLst/>
                    </a:prstGeom>
                    <a:noFill/>
                    <a:ln>
                      <a:noFill/>
                    </a:ln>
                  </pic:spPr>
                </pic:pic>
              </a:graphicData>
            </a:graphic>
          </wp:inline>
        </w:drawing>
      </w:r>
      <w:r w:rsidR="00516770" w:rsidRPr="00A143E8">
        <w:rPr>
          <w:rFonts w:ascii="Calibri" w:hAnsi="Calibri"/>
          <w:b/>
          <w:bCs/>
          <w:sz w:val="28"/>
          <w:szCs w:val="26"/>
          <w:lang w:val="fr-FR"/>
        </w:rPr>
        <w:br/>
      </w:r>
    </w:p>
    <w:p w14:paraId="3F044D76" w14:textId="77777777" w:rsidR="00D012BD" w:rsidRPr="00D012BD" w:rsidRDefault="00D012BD" w:rsidP="00D012BD">
      <w:pPr>
        <w:ind w:right="98"/>
        <w:jc w:val="center"/>
        <w:rPr>
          <w:rFonts w:ascii="Calibri" w:hAnsi="Calibri" w:cs="Arial"/>
          <w:b/>
          <w:noProof/>
          <w:sz w:val="22"/>
          <w:szCs w:val="22"/>
        </w:rPr>
      </w:pPr>
    </w:p>
    <w:p w14:paraId="760A7856" w14:textId="77777777" w:rsidR="00D012BD" w:rsidRPr="00D012BD" w:rsidRDefault="00D012BD" w:rsidP="00D012BD">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D012BD">
        <w:rPr>
          <w:rFonts w:ascii="Calibri" w:hAnsi="Calibri"/>
          <w:b/>
          <w:bCs/>
          <w:sz w:val="22"/>
          <w:szCs w:val="22"/>
          <w:lang w:val="fr-FR"/>
        </w:rPr>
        <w:br/>
      </w: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0AB7718F" w14:textId="77777777" w:rsidR="00D012BD" w:rsidRDefault="00D012BD" w:rsidP="00D012BD">
      <w:pPr>
        <w:rPr>
          <w:rFonts w:asciiTheme="minorHAnsi" w:hAnsiTheme="minorHAnsi"/>
          <w:noProof/>
          <w:sz w:val="22"/>
          <w:szCs w:val="22"/>
          <w:lang w:val="fr-FR"/>
        </w:rPr>
      </w:pPr>
    </w:p>
    <w:p w14:paraId="212052C1" w14:textId="77777777" w:rsidR="00D012BD" w:rsidRDefault="00D012BD" w:rsidP="00D012BD">
      <w:pPr>
        <w:rPr>
          <w:rFonts w:asciiTheme="minorHAnsi" w:hAnsiTheme="minorHAnsi"/>
          <w:noProof/>
          <w:sz w:val="22"/>
          <w:szCs w:val="22"/>
          <w:lang w:val="fr-FR"/>
        </w:rPr>
      </w:pPr>
    </w:p>
    <w:p w14:paraId="3A8C273C" w14:textId="77777777" w:rsidR="00D012BD" w:rsidRDefault="00D012BD" w:rsidP="00D012BD">
      <w:pPr>
        <w:rPr>
          <w:rFonts w:asciiTheme="minorHAnsi" w:hAnsiTheme="minorHAnsi"/>
          <w:noProof/>
          <w:sz w:val="22"/>
          <w:szCs w:val="22"/>
          <w:lang w:val="fr-FR"/>
        </w:rPr>
      </w:pPr>
      <w:r>
        <w:rPr>
          <w:rFonts w:asciiTheme="minorHAnsi" w:hAnsiTheme="minorHAnsi"/>
          <w:noProof/>
          <w:sz w:val="22"/>
          <w:szCs w:val="22"/>
          <w:lang w:val="fr-FR"/>
        </w:rPr>
        <w:t xml:space="preserve">  </w:t>
      </w:r>
      <w:r>
        <w:rPr>
          <w:rFonts w:asciiTheme="minorHAnsi" w:hAnsiTheme="minorHAnsi"/>
          <w:i/>
          <w:sz w:val="22"/>
          <w:szCs w:val="22"/>
          <w:highlight w:val="lightGray"/>
          <w:lang w:val="fr-FR"/>
        </w:rPr>
        <w:t>Objet et référence du Marché concerné</w:t>
      </w:r>
      <w:r>
        <w:rPr>
          <w:rFonts w:asciiTheme="minorHAnsi" w:hAnsiTheme="minorHAnsi"/>
          <w:i/>
          <w:sz w:val="22"/>
          <w:szCs w:val="22"/>
          <w:lang w:val="fr-FR"/>
        </w:rPr>
        <w:t>………………………………………</w:t>
      </w:r>
    </w:p>
    <w:p w14:paraId="2DC9E9B0" w14:textId="77777777" w:rsidR="00D012BD" w:rsidRDefault="00D012BD" w:rsidP="00D012BD">
      <w:pPr>
        <w:rPr>
          <w:rFonts w:asciiTheme="minorHAnsi" w:hAnsiTheme="minorHAnsi"/>
          <w:noProof/>
          <w:sz w:val="22"/>
          <w:szCs w:val="22"/>
          <w:lang w:val="fr-FR"/>
        </w:rPr>
      </w:pPr>
    </w:p>
    <w:p w14:paraId="19AF8D74" w14:textId="77777777" w:rsidR="00D012BD" w:rsidRPr="00497D0A" w:rsidRDefault="00D012BD" w:rsidP="00D012BD">
      <w:pPr>
        <w:rPr>
          <w:rFonts w:asciiTheme="minorHAnsi" w:hAnsiTheme="minorHAnsi"/>
          <w:noProof/>
          <w:sz w:val="22"/>
          <w:szCs w:val="22"/>
          <w:lang w:val="fr-FR"/>
        </w:rPr>
      </w:pPr>
    </w:p>
    <w:p w14:paraId="3616C3F4" w14:textId="77777777" w:rsidR="00D012BD" w:rsidRPr="00497D0A" w:rsidRDefault="00D012BD" w:rsidP="00D012BD">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22683844" w14:textId="4A72C9F5" w:rsidR="00D012BD" w:rsidRPr="00497D0A" w:rsidRDefault="00D012BD" w:rsidP="00D012BD">
      <w:pPr>
        <w:numPr>
          <w:ilvl w:val="0"/>
          <w:numId w:val="17"/>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Agissant</w:t>
      </w:r>
      <w:r w:rsidRPr="00497D0A">
        <w:rPr>
          <w:rFonts w:asciiTheme="minorHAnsi" w:hAnsiTheme="minorHAnsi"/>
          <w:sz w:val="22"/>
          <w:szCs w:val="22"/>
          <w:lang w:val="fr-FR"/>
        </w:rPr>
        <w:t xml:space="preserve">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13434D44" w14:textId="77777777" w:rsidR="00D012BD" w:rsidRPr="00497D0A" w:rsidRDefault="00D012BD" w:rsidP="00D012BD">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17F7E4E6" w14:textId="30BA9FF6" w:rsidR="00D012BD" w:rsidRPr="00497D0A" w:rsidRDefault="00D012BD" w:rsidP="00D012BD">
      <w:pPr>
        <w:numPr>
          <w:ilvl w:val="0"/>
          <w:numId w:val="17"/>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w:t>
      </w:r>
      <w:r w:rsidRPr="00497D0A">
        <w:rPr>
          <w:rFonts w:asciiTheme="minorHAnsi" w:hAnsiTheme="minorHAnsi"/>
          <w:sz w:val="22"/>
          <w:szCs w:val="22"/>
          <w:lang w:val="fr-FR"/>
        </w:rPr>
        <w:t xml:space="preserve">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1C151211" w14:textId="02975FB0"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6F62C6BA" w14:textId="043E82B6"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B6EC262" w14:textId="6D293431" w:rsidR="00D012BD" w:rsidRPr="00497D0A" w:rsidRDefault="00D012BD" w:rsidP="00D012BD">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3240A56" w14:textId="60C435D9" w:rsidR="00D012BD" w:rsidRDefault="00D012BD" w:rsidP="00D012BD">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38AD4BD3" w14:textId="77777777" w:rsidR="00D012BD" w:rsidRPr="00497D0A" w:rsidRDefault="00D012BD" w:rsidP="00D012BD">
      <w:pPr>
        <w:ind w:firstLine="720"/>
        <w:jc w:val="both"/>
        <w:rPr>
          <w:rFonts w:asciiTheme="minorHAnsi" w:hAnsiTheme="minorHAnsi"/>
          <w:noProof/>
          <w:sz w:val="22"/>
          <w:szCs w:val="22"/>
          <w:lang w:val="fr-FR"/>
        </w:rPr>
      </w:pPr>
    </w:p>
    <w:p w14:paraId="6B42BB89"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7A216775" w14:textId="77777777" w:rsidR="00D012BD" w:rsidRDefault="00D012BD" w:rsidP="00D012BD">
      <w:pPr>
        <w:ind w:left="284"/>
        <w:jc w:val="both"/>
        <w:rPr>
          <w:rFonts w:asciiTheme="minorHAnsi" w:hAnsiTheme="minorHAnsi"/>
          <w:noProof/>
          <w:sz w:val="22"/>
          <w:szCs w:val="22"/>
          <w:lang w:val="fr-FR"/>
        </w:rPr>
      </w:pPr>
    </w:p>
    <w:p w14:paraId="6E8AFAE6" w14:textId="77777777" w:rsidR="00D012BD" w:rsidRDefault="00D012BD" w:rsidP="00D012BD">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64C82C15" w14:textId="77777777" w:rsidR="00D012BD" w:rsidRPr="00BC6B7E" w:rsidRDefault="00D012BD" w:rsidP="00D012BD">
      <w:pPr>
        <w:ind w:left="284"/>
        <w:jc w:val="both"/>
        <w:rPr>
          <w:rFonts w:asciiTheme="minorHAnsi" w:hAnsiTheme="minorHAnsi"/>
          <w:noProof/>
          <w:sz w:val="22"/>
          <w:szCs w:val="22"/>
          <w:lang w:val="fr-FR"/>
        </w:rPr>
      </w:pPr>
    </w:p>
    <w:p w14:paraId="6E501C6F"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125FC35E" w14:textId="77777777" w:rsidR="00D012BD" w:rsidRPr="00497D0A" w:rsidRDefault="00D012BD" w:rsidP="00D012BD">
      <w:pPr>
        <w:ind w:left="284"/>
        <w:jc w:val="both"/>
        <w:rPr>
          <w:rFonts w:asciiTheme="minorHAnsi" w:hAnsiTheme="minorHAnsi"/>
          <w:noProof/>
          <w:sz w:val="22"/>
          <w:szCs w:val="22"/>
          <w:lang w:val="fr-FR"/>
        </w:rPr>
      </w:pPr>
    </w:p>
    <w:p w14:paraId="7ED69621" w14:textId="77777777" w:rsidR="00D012BD" w:rsidRDefault="00D012BD" w:rsidP="00D012BD">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094A7DE8" w14:textId="77777777" w:rsidR="00D012BD" w:rsidRPr="00497D0A" w:rsidRDefault="00D012BD" w:rsidP="00D012BD">
      <w:pPr>
        <w:ind w:left="284"/>
        <w:jc w:val="both"/>
        <w:rPr>
          <w:rFonts w:asciiTheme="minorHAnsi" w:hAnsiTheme="minorHAnsi"/>
          <w:noProof/>
          <w:sz w:val="22"/>
          <w:szCs w:val="22"/>
          <w:lang w:val="fr-FR"/>
        </w:rPr>
      </w:pPr>
    </w:p>
    <w:p w14:paraId="09CCE1F6" w14:textId="77777777" w:rsidR="00D012BD" w:rsidRPr="00BC6B7E" w:rsidRDefault="00D012BD" w:rsidP="00D012BD">
      <w:pPr>
        <w:pStyle w:val="Paragraphedeliste"/>
        <w:numPr>
          <w:ilvl w:val="0"/>
          <w:numId w:val="25"/>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14054215" w14:textId="77777777" w:rsidR="00D012BD" w:rsidRDefault="00D012BD" w:rsidP="00D012BD">
      <w:pPr>
        <w:jc w:val="both"/>
        <w:rPr>
          <w:rFonts w:asciiTheme="minorHAnsi" w:hAnsiTheme="minorHAnsi"/>
          <w:sz w:val="22"/>
          <w:szCs w:val="22"/>
          <w:lang w:val="fr-FR"/>
        </w:rPr>
      </w:pPr>
    </w:p>
    <w:p w14:paraId="28C4DD72" w14:textId="77777777" w:rsidR="00D012BD" w:rsidRDefault="00D012BD" w:rsidP="00D012BD">
      <w:pPr>
        <w:numPr>
          <w:ilvl w:val="0"/>
          <w:numId w:val="22"/>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237032A3" w14:textId="77777777" w:rsidR="00D012BD" w:rsidRDefault="00D012BD" w:rsidP="00D012BD">
      <w:pPr>
        <w:jc w:val="both"/>
        <w:rPr>
          <w:rFonts w:asciiTheme="minorHAnsi" w:hAnsiTheme="minorHAnsi"/>
          <w:sz w:val="22"/>
          <w:szCs w:val="22"/>
          <w:lang w:val="fr-FR"/>
        </w:rPr>
      </w:pPr>
    </w:p>
    <w:p w14:paraId="225350FD" w14:textId="77777777" w:rsidR="00D012BD" w:rsidRPr="00497D0A" w:rsidRDefault="00D012BD" w:rsidP="00D012BD">
      <w:pPr>
        <w:jc w:val="both"/>
        <w:rPr>
          <w:rFonts w:asciiTheme="minorHAnsi" w:hAnsiTheme="minorHAnsi"/>
          <w:noProof/>
          <w:sz w:val="22"/>
          <w:szCs w:val="22"/>
          <w:lang w:val="fr-FR"/>
        </w:rPr>
      </w:pPr>
    </w:p>
    <w:p w14:paraId="7156AF1B"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25889DAA" w14:textId="77777777" w:rsidR="00D012BD" w:rsidRDefault="00D012BD" w:rsidP="00D012BD">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05154A2B" w14:textId="77777777" w:rsidR="00D012BD" w:rsidRDefault="00D012BD" w:rsidP="00D012BD">
      <w:pPr>
        <w:tabs>
          <w:tab w:val="left" w:pos="4395"/>
          <w:tab w:val="left" w:pos="7797"/>
        </w:tabs>
        <w:jc w:val="both"/>
        <w:rPr>
          <w:rFonts w:asciiTheme="minorHAnsi" w:hAnsiTheme="minorHAnsi"/>
          <w:sz w:val="22"/>
          <w:szCs w:val="22"/>
          <w:lang w:val="fr-FR"/>
        </w:rPr>
      </w:pPr>
    </w:p>
    <w:p w14:paraId="1CCB0B12" w14:textId="77777777" w:rsidR="00D012BD" w:rsidRPr="00497D0A" w:rsidRDefault="00D012BD" w:rsidP="00D012BD">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347474E7" w14:textId="77777777" w:rsidR="00D012BD" w:rsidRDefault="00D012BD" w:rsidP="00D012BD"/>
    <w:p w14:paraId="43819D4A" w14:textId="77777777" w:rsidR="00D012BD" w:rsidRDefault="00D012BD" w:rsidP="00D012BD">
      <w:pPr>
        <w:ind w:right="98"/>
        <w:jc w:val="center"/>
        <w:rPr>
          <w:rFonts w:ascii="Calibri" w:hAnsi="Calibri"/>
          <w:b/>
          <w:lang w:val="fr-FR"/>
        </w:rPr>
      </w:pPr>
    </w:p>
    <w:p w14:paraId="54562952" w14:textId="77777777" w:rsidR="00D012BD" w:rsidRDefault="00D012BD" w:rsidP="00D012BD">
      <w:pPr>
        <w:ind w:right="98"/>
        <w:jc w:val="center"/>
        <w:rPr>
          <w:rFonts w:asciiTheme="minorHAnsi" w:hAnsiTheme="minorHAnsi"/>
          <w:sz w:val="22"/>
          <w:szCs w:val="22"/>
          <w:lang w:val="fr-FR"/>
        </w:rPr>
      </w:pPr>
    </w:p>
    <w:p w14:paraId="55308A5A" w14:textId="77777777" w:rsidR="00194AC7" w:rsidRDefault="00194AC7" w:rsidP="00D012BD">
      <w:pPr>
        <w:tabs>
          <w:tab w:val="left" w:pos="4395"/>
          <w:tab w:val="left" w:pos="7797"/>
        </w:tabs>
        <w:jc w:val="both"/>
        <w:rPr>
          <w:rFonts w:asciiTheme="minorHAnsi" w:hAnsiTheme="minorHAnsi"/>
          <w:sz w:val="22"/>
          <w:szCs w:val="22"/>
          <w:lang w:val="fr-FR"/>
        </w:rPr>
      </w:pPr>
    </w:p>
    <w:p w14:paraId="013D3C44" w14:textId="77777777" w:rsidR="00194AC7" w:rsidRDefault="00194AC7" w:rsidP="00D012BD">
      <w:pPr>
        <w:tabs>
          <w:tab w:val="left" w:pos="4395"/>
          <w:tab w:val="left" w:pos="7797"/>
        </w:tabs>
        <w:jc w:val="both"/>
        <w:rPr>
          <w:rFonts w:asciiTheme="minorHAnsi" w:hAnsiTheme="minorHAnsi"/>
          <w:sz w:val="22"/>
          <w:szCs w:val="22"/>
          <w:lang w:val="fr-FR"/>
        </w:rPr>
      </w:pPr>
    </w:p>
    <w:p w14:paraId="5A9E295D" w14:textId="292ED605" w:rsidR="00194AC7" w:rsidRPr="00194AC7" w:rsidRDefault="007C5250" w:rsidP="00D012BD">
      <w:pPr>
        <w:tabs>
          <w:tab w:val="left" w:pos="4395"/>
          <w:tab w:val="left" w:pos="7797"/>
        </w:tabs>
        <w:jc w:val="center"/>
        <w:rPr>
          <w:rFonts w:asciiTheme="minorHAnsi" w:hAnsiTheme="minorHAnsi" w:cstheme="minorHAnsi"/>
          <w:sz w:val="20"/>
          <w:szCs w:val="20"/>
          <w:lang w:val="fr-FR"/>
        </w:rPr>
      </w:pPr>
      <w:r>
        <w:rPr>
          <w:rFonts w:ascii="Calibri" w:hAnsi="Calibri"/>
          <w:b/>
          <w:bCs/>
          <w:noProof/>
          <w:sz w:val="28"/>
          <w:szCs w:val="26"/>
          <w:lang w:val="fr-FR"/>
        </w:rPr>
        <w:lastRenderedPageBreak/>
        <w:drawing>
          <wp:inline distT="0" distB="0" distL="0" distR="0" wp14:anchorId="04D553EA" wp14:editId="7ED25043">
            <wp:extent cx="2407920" cy="581328"/>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6267" cy="585757"/>
                    </a:xfrm>
                    <a:prstGeom prst="rect">
                      <a:avLst/>
                    </a:prstGeom>
                    <a:noFill/>
                    <a:ln>
                      <a:noFill/>
                    </a:ln>
                  </pic:spPr>
                </pic:pic>
              </a:graphicData>
            </a:graphic>
          </wp:inline>
        </w:drawing>
      </w:r>
    </w:p>
    <w:p w14:paraId="71176B8D" w14:textId="77777777" w:rsidR="00194AC7" w:rsidRDefault="00194AC7" w:rsidP="00D012BD">
      <w:pPr>
        <w:tabs>
          <w:tab w:val="left" w:pos="4395"/>
          <w:tab w:val="left" w:pos="7797"/>
        </w:tabs>
        <w:jc w:val="both"/>
        <w:rPr>
          <w:rFonts w:asciiTheme="minorHAnsi" w:hAnsiTheme="minorHAnsi" w:cstheme="minorHAnsi"/>
          <w:sz w:val="20"/>
          <w:szCs w:val="20"/>
          <w:lang w:val="fr-FR"/>
        </w:rPr>
      </w:pPr>
    </w:p>
    <w:p w14:paraId="59849086" w14:textId="77777777" w:rsidR="007C5250" w:rsidRDefault="007C5250" w:rsidP="00D012BD">
      <w:pPr>
        <w:tabs>
          <w:tab w:val="left" w:pos="4395"/>
          <w:tab w:val="left" w:pos="7797"/>
        </w:tabs>
        <w:jc w:val="both"/>
        <w:rPr>
          <w:rFonts w:asciiTheme="minorHAnsi" w:hAnsiTheme="minorHAnsi" w:cstheme="minorHAnsi"/>
          <w:sz w:val="20"/>
          <w:szCs w:val="20"/>
          <w:lang w:val="fr-FR"/>
        </w:rPr>
      </w:pPr>
    </w:p>
    <w:p w14:paraId="199E7A4F" w14:textId="77777777" w:rsidR="00D012BD" w:rsidRPr="00194AC7" w:rsidRDefault="00D012BD" w:rsidP="00D012BD">
      <w:pPr>
        <w:tabs>
          <w:tab w:val="left" w:pos="4395"/>
          <w:tab w:val="left" w:pos="7797"/>
        </w:tabs>
        <w:jc w:val="both"/>
        <w:rPr>
          <w:rFonts w:asciiTheme="minorHAnsi" w:hAnsiTheme="minorHAnsi" w:cstheme="minorHAnsi"/>
          <w:sz w:val="20"/>
          <w:szCs w:val="20"/>
          <w:lang w:val="fr-FR"/>
        </w:rPr>
      </w:pPr>
    </w:p>
    <w:p w14:paraId="477D2438" w14:textId="77777777" w:rsid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6AA87EBE" w14:textId="2129465D" w:rsidR="00194AC7" w:rsidRP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lang w:val="fr-FR"/>
        </w:rPr>
      </w:pPr>
      <w:r w:rsidRPr="00194AC7">
        <w:rPr>
          <w:rFonts w:asciiTheme="minorHAnsi" w:hAnsiTheme="minorHAnsi" w:cstheme="minorHAnsi"/>
          <w:b/>
          <w:bCs/>
          <w:lang w:val="fr-FR"/>
        </w:rPr>
        <w:t>Clause « anti-corruption »</w:t>
      </w:r>
    </w:p>
    <w:p w14:paraId="1C165E38" w14:textId="77777777" w:rsidR="00194AC7" w:rsidRPr="00194AC7" w:rsidRDefault="00194AC7" w:rsidP="00D012B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22"/>
          <w:szCs w:val="22"/>
          <w:lang w:val="fr-FR"/>
        </w:rPr>
      </w:pPr>
    </w:p>
    <w:p w14:paraId="761ACE33" w14:textId="77777777" w:rsidR="00194AC7" w:rsidRDefault="00194AC7" w:rsidP="00D012BD">
      <w:pPr>
        <w:jc w:val="center"/>
        <w:rPr>
          <w:rFonts w:asciiTheme="minorHAnsi" w:hAnsiTheme="minorHAnsi" w:cstheme="minorHAnsi"/>
          <w:b/>
          <w:bCs/>
          <w:sz w:val="22"/>
          <w:szCs w:val="22"/>
          <w:lang w:val="fr-FR"/>
        </w:rPr>
      </w:pPr>
    </w:p>
    <w:p w14:paraId="74961A88" w14:textId="77777777" w:rsidR="007C5250" w:rsidRPr="00194AC7" w:rsidRDefault="007C5250" w:rsidP="00D012BD">
      <w:pPr>
        <w:jc w:val="center"/>
        <w:rPr>
          <w:rFonts w:asciiTheme="minorHAnsi" w:hAnsiTheme="minorHAnsi" w:cstheme="minorHAnsi"/>
          <w:b/>
          <w:bCs/>
          <w:sz w:val="22"/>
          <w:szCs w:val="22"/>
          <w:lang w:val="fr-FR"/>
        </w:rPr>
      </w:pPr>
    </w:p>
    <w:p w14:paraId="37E317F6" w14:textId="77777777" w:rsidR="00194AC7" w:rsidRPr="00194AC7" w:rsidRDefault="00194AC7" w:rsidP="00D012BD">
      <w:pPr>
        <w:jc w:val="center"/>
        <w:rPr>
          <w:rFonts w:asciiTheme="minorHAnsi" w:hAnsiTheme="minorHAnsi" w:cstheme="minorHAnsi"/>
          <w:b/>
          <w:bCs/>
          <w:sz w:val="22"/>
          <w:szCs w:val="22"/>
          <w:lang w:val="fr-FR"/>
        </w:rPr>
      </w:pPr>
    </w:p>
    <w:p w14:paraId="5D13303D"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La CCI Bordeaux Gironde est engagée dans la lutte contre les atteintes à la probité et porte une attention particulière à ce que les prestataires avec lesquels elle contracte partagent les valeurs et principes d’intégrité de la CCI Bordeaux Gironde. Lesdits prestataires doivent également s’engager à lutter contre toute forme d’atteinte à la probité caractérisée par tout comportement susceptible d’être qualifié de corruption, trafic d’influence, prise illégale d’intérêt, concussion, favoritisme, détournement de fonds publics.</w:t>
      </w:r>
    </w:p>
    <w:p w14:paraId="77286A86" w14:textId="77777777" w:rsidR="00194AC7" w:rsidRPr="00194AC7" w:rsidRDefault="00194AC7" w:rsidP="00D012BD">
      <w:pPr>
        <w:jc w:val="both"/>
        <w:rPr>
          <w:rFonts w:asciiTheme="minorHAnsi" w:hAnsiTheme="minorHAnsi" w:cstheme="minorHAnsi"/>
          <w:sz w:val="22"/>
          <w:szCs w:val="22"/>
          <w:lang w:val="fr-FR"/>
        </w:rPr>
      </w:pPr>
    </w:p>
    <w:p w14:paraId="442E7F9B"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qualité de candidat au cours de la consultation, comme au cours de l’exécution du marché en qualité de titulaire, les agissements de l’opérateur économique ne doivent pas donner lieu à des comportements ou faits contraires à la règlementation en vigueur. Le titulaire, ses filiales, et, ses représentants, mandataires sociaux, dirigeants et salariés respectifs déclarent ne pas être visés dans une procédure pour l’un des faits précités.</w:t>
      </w:r>
    </w:p>
    <w:p w14:paraId="5AE5E550" w14:textId="77777777" w:rsidR="00194AC7" w:rsidRPr="00194AC7" w:rsidRDefault="00194AC7" w:rsidP="00D012BD">
      <w:pPr>
        <w:jc w:val="both"/>
        <w:rPr>
          <w:rFonts w:asciiTheme="minorHAnsi" w:hAnsiTheme="minorHAnsi" w:cstheme="minorHAnsi"/>
          <w:sz w:val="22"/>
          <w:szCs w:val="22"/>
          <w:lang w:val="fr-FR"/>
        </w:rPr>
      </w:pPr>
    </w:p>
    <w:p w14:paraId="46E24948"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A cet effet, le titulaire conduit ses activités conformément aux principes d’éthique et d’équité et s’engage à mettre en œuvre, au regard, de la taille et de la structure de son entreprise, l’ensemble des mesures nécessaires destinées à détecter et prévenir les risques de corruption, tant au sein de son organisation, qu’à l’égard de ses sous-traitants.</w:t>
      </w:r>
    </w:p>
    <w:p w14:paraId="1700D54A" w14:textId="77777777" w:rsidR="00194AC7" w:rsidRPr="00194AC7" w:rsidRDefault="00194AC7" w:rsidP="00D012BD">
      <w:pPr>
        <w:jc w:val="both"/>
        <w:rPr>
          <w:rFonts w:asciiTheme="minorHAnsi" w:hAnsiTheme="minorHAnsi" w:cstheme="minorHAnsi"/>
          <w:sz w:val="22"/>
          <w:szCs w:val="22"/>
          <w:lang w:val="fr-FR"/>
        </w:rPr>
      </w:pPr>
    </w:p>
    <w:p w14:paraId="72221F2D"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respecter la loi n°2016-1691 relative à la transparence, à la lutte contre la corruption et à la modernisation de la vie économique (dite loi Sapin II).</w:t>
      </w:r>
    </w:p>
    <w:p w14:paraId="15FEB36E" w14:textId="77777777" w:rsidR="00194AC7" w:rsidRPr="00194AC7" w:rsidRDefault="00194AC7" w:rsidP="00D012BD">
      <w:pPr>
        <w:jc w:val="both"/>
        <w:rPr>
          <w:rFonts w:asciiTheme="minorHAnsi" w:hAnsiTheme="minorHAnsi" w:cstheme="minorHAnsi"/>
          <w:sz w:val="22"/>
          <w:szCs w:val="22"/>
          <w:lang w:val="fr-FR"/>
        </w:rPr>
      </w:pPr>
    </w:p>
    <w:p w14:paraId="22130141"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déclare qu'il a pris toutes les mesures nécessaires (procédures, codes de conduite par exemple) afin de prévenir toute violation de ces lois et réglementations relatives à la lutte contre les atteintes à la probité.</w:t>
      </w:r>
    </w:p>
    <w:p w14:paraId="2512A107" w14:textId="77777777" w:rsidR="00194AC7" w:rsidRPr="00194AC7" w:rsidRDefault="00194AC7" w:rsidP="00D012BD">
      <w:pPr>
        <w:jc w:val="both"/>
        <w:rPr>
          <w:rFonts w:asciiTheme="minorHAnsi" w:hAnsiTheme="minorHAnsi" w:cstheme="minorHAnsi"/>
          <w:sz w:val="22"/>
          <w:szCs w:val="22"/>
          <w:lang w:val="fr-FR"/>
        </w:rPr>
      </w:pPr>
    </w:p>
    <w:p w14:paraId="4E23D07C"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En outre, le titulaire prend également toute mesure nécessaire pour prévenir et détecter toute situation susceptible de compromettre l’exécution impartiale et objective du présent marché.</w:t>
      </w:r>
    </w:p>
    <w:p w14:paraId="4F0215E3" w14:textId="77777777"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prend pour lui-même et vis-à-vis de ses personnels toute mesure utile pour éviter que des situations de conflit entre les missions confiées au titre du marché et d'autres intérêts influencent ou soient susceptibles d'influencer indûment la façon dont sont effectuées lesdites missions, ou ne soit consenti ou recherché un avantage illégal quelconque, financier ou en nature, né de l'attribution et/ou de l'exécution du présent marché.</w:t>
      </w:r>
    </w:p>
    <w:p w14:paraId="7F7F35B6" w14:textId="77777777" w:rsidR="00194AC7" w:rsidRPr="00194AC7" w:rsidRDefault="00194AC7" w:rsidP="00D012BD">
      <w:pPr>
        <w:jc w:val="both"/>
        <w:rPr>
          <w:rFonts w:asciiTheme="minorHAnsi" w:hAnsiTheme="minorHAnsi" w:cstheme="minorHAnsi"/>
          <w:sz w:val="22"/>
          <w:szCs w:val="22"/>
          <w:lang w:val="fr-FR"/>
        </w:rPr>
      </w:pPr>
    </w:p>
    <w:p w14:paraId="1E0E9470" w14:textId="10F74B0B" w:rsidR="00194AC7" w:rsidRPr="00194AC7" w:rsidRDefault="00194AC7" w:rsidP="00D012BD">
      <w:pPr>
        <w:jc w:val="both"/>
        <w:rPr>
          <w:rFonts w:asciiTheme="minorHAnsi" w:hAnsiTheme="minorHAnsi" w:cstheme="minorHAnsi"/>
          <w:sz w:val="22"/>
          <w:szCs w:val="22"/>
          <w:lang w:val="fr-FR"/>
        </w:rPr>
      </w:pPr>
      <w:r w:rsidRPr="00194AC7">
        <w:rPr>
          <w:rFonts w:asciiTheme="minorHAnsi" w:hAnsiTheme="minorHAnsi" w:cstheme="minorHAnsi"/>
          <w:sz w:val="22"/>
          <w:szCs w:val="22"/>
          <w:lang w:val="fr-FR"/>
        </w:rPr>
        <w:t>Le titulaire s'engage à informer immédiatement la CCI Bordeaux Gironde de toute mise en examen ou mesure équivalente, ainsi que de toute condamnation - en première et, le cas échéant, dernière instance -prononcée à son encontre ou à l'encontre d'une personne agissant pour leur compte sur la base d’un délit constituant une atteinte à la probité.</w:t>
      </w:r>
    </w:p>
    <w:p w14:paraId="6EFC9336" w14:textId="77777777" w:rsidR="00194AC7" w:rsidRPr="00194AC7" w:rsidRDefault="00194AC7" w:rsidP="00D012BD">
      <w:pPr>
        <w:tabs>
          <w:tab w:val="left" w:pos="4395"/>
          <w:tab w:val="left" w:pos="7797"/>
        </w:tabs>
        <w:jc w:val="both"/>
        <w:rPr>
          <w:rFonts w:asciiTheme="minorHAnsi" w:hAnsiTheme="minorHAnsi" w:cstheme="minorHAnsi"/>
          <w:sz w:val="20"/>
          <w:szCs w:val="20"/>
          <w:lang w:val="fr-FR"/>
        </w:rPr>
      </w:pPr>
    </w:p>
    <w:sectPr w:rsidR="00194AC7" w:rsidRPr="00194AC7" w:rsidSect="007C5250">
      <w:headerReference w:type="default" r:id="rId8"/>
      <w:headerReference w:type="first" r:id="rId9"/>
      <w:pgSz w:w="11906" w:h="16838" w:code="9"/>
      <w:pgMar w:top="709" w:right="748" w:bottom="720" w:left="1701" w:header="567" w:footer="2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3075" w14:textId="77777777" w:rsidR="00335DB7" w:rsidRDefault="00335DB7">
      <w:r>
        <w:separator/>
      </w:r>
    </w:p>
  </w:endnote>
  <w:endnote w:type="continuationSeparator" w:id="0">
    <w:p w14:paraId="4B3A4984" w14:textId="77777777" w:rsidR="00335DB7" w:rsidRDefault="00335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84BD5" w14:textId="77777777" w:rsidR="00335DB7" w:rsidRDefault="00335DB7">
      <w:r>
        <w:separator/>
      </w:r>
    </w:p>
  </w:footnote>
  <w:footnote w:type="continuationSeparator" w:id="0">
    <w:p w14:paraId="55FEAE53" w14:textId="77777777" w:rsidR="00335DB7" w:rsidRDefault="00335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1A4F" w14:textId="77777777"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DAF2A" w14:textId="35296A08" w:rsidR="00516770" w:rsidRPr="00C17FE5" w:rsidRDefault="00516770" w:rsidP="00516770">
    <w:pPr>
      <w:pStyle w:val="En-tte"/>
      <w:tabs>
        <w:tab w:val="clear" w:pos="4536"/>
        <w:tab w:val="clear" w:pos="9072"/>
        <w:tab w:val="right" w:pos="9356"/>
      </w:tabs>
      <w:jc w:val="both"/>
      <w:rPr>
        <w:rFonts w:ascii="Calibri" w:hAnsi="Calibri"/>
        <w:b/>
        <w:bCs/>
      </w:rPr>
    </w:pPr>
    <w:r w:rsidRPr="00C17FE5">
      <w:rPr>
        <w:rFonts w:ascii="Calibri" w:hAnsi="Calibri"/>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2"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4"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8"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9"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16cid:durableId="244806242">
    <w:abstractNumId w:val="0"/>
  </w:num>
  <w:num w:numId="2" w16cid:durableId="804664090">
    <w:abstractNumId w:val="19"/>
  </w:num>
  <w:num w:numId="3" w16cid:durableId="115494161">
    <w:abstractNumId w:val="0"/>
  </w:num>
  <w:num w:numId="4" w16cid:durableId="2136215114">
    <w:abstractNumId w:val="14"/>
  </w:num>
  <w:num w:numId="5" w16cid:durableId="1872500103">
    <w:abstractNumId w:val="4"/>
  </w:num>
  <w:num w:numId="6" w16cid:durableId="1268393756">
    <w:abstractNumId w:val="12"/>
  </w:num>
  <w:num w:numId="7" w16cid:durableId="126357714">
    <w:abstractNumId w:val="9"/>
  </w:num>
  <w:num w:numId="8" w16cid:durableId="811947068">
    <w:abstractNumId w:val="23"/>
  </w:num>
  <w:num w:numId="9" w16cid:durableId="1924607510">
    <w:abstractNumId w:val="13"/>
  </w:num>
  <w:num w:numId="10" w16cid:durableId="817264148">
    <w:abstractNumId w:val="7"/>
  </w:num>
  <w:num w:numId="11" w16cid:durableId="36130105">
    <w:abstractNumId w:val="5"/>
  </w:num>
  <w:num w:numId="12" w16cid:durableId="1094328132">
    <w:abstractNumId w:val="2"/>
  </w:num>
  <w:num w:numId="13" w16cid:durableId="1666324679">
    <w:abstractNumId w:val="18"/>
  </w:num>
  <w:num w:numId="14" w16cid:durableId="117261662">
    <w:abstractNumId w:val="22"/>
  </w:num>
  <w:num w:numId="15" w16cid:durableId="2082865580">
    <w:abstractNumId w:val="16"/>
  </w:num>
  <w:num w:numId="16" w16cid:durableId="312948987">
    <w:abstractNumId w:val="6"/>
  </w:num>
  <w:num w:numId="17" w16cid:durableId="313603550">
    <w:abstractNumId w:val="17"/>
  </w:num>
  <w:num w:numId="18" w16cid:durableId="1831630974">
    <w:abstractNumId w:val="8"/>
  </w:num>
  <w:num w:numId="19" w16cid:durableId="876700206">
    <w:abstractNumId w:val="1"/>
  </w:num>
  <w:num w:numId="20" w16cid:durableId="1708489597">
    <w:abstractNumId w:val="3"/>
  </w:num>
  <w:num w:numId="21" w16cid:durableId="2039313572">
    <w:abstractNumId w:val="15"/>
  </w:num>
  <w:num w:numId="22" w16cid:durableId="961427217">
    <w:abstractNumId w:val="21"/>
  </w:num>
  <w:num w:numId="23" w16cid:durableId="393936905">
    <w:abstractNumId w:val="11"/>
  </w:num>
  <w:num w:numId="24" w16cid:durableId="1731541025">
    <w:abstractNumId w:val="20"/>
  </w:num>
  <w:num w:numId="25" w16cid:durableId="138108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2A5688"/>
    <w:rsid w:val="00092CE8"/>
    <w:rsid w:val="00186E50"/>
    <w:rsid w:val="00194AC7"/>
    <w:rsid w:val="002A5688"/>
    <w:rsid w:val="00335DB7"/>
    <w:rsid w:val="003C17CA"/>
    <w:rsid w:val="003C74E3"/>
    <w:rsid w:val="003D55E1"/>
    <w:rsid w:val="004066B9"/>
    <w:rsid w:val="00497D0A"/>
    <w:rsid w:val="00516770"/>
    <w:rsid w:val="005E110F"/>
    <w:rsid w:val="007C5250"/>
    <w:rsid w:val="008D315F"/>
    <w:rsid w:val="008E516C"/>
    <w:rsid w:val="009D7478"/>
    <w:rsid w:val="00A143E8"/>
    <w:rsid w:val="00AC1BA5"/>
    <w:rsid w:val="00B75E82"/>
    <w:rsid w:val="00BC6B7E"/>
    <w:rsid w:val="00D012BD"/>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53718F57"/>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styleId="Paragraphedeliste">
    <w:name w:val="List Paragraph"/>
    <w:basedOn w:val="Normal"/>
    <w:uiPriority w:val="34"/>
    <w:qFormat/>
    <w:rsid w:val="00BC6B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669</Words>
  <Characters>3790</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Nicolas PELLETIER</cp:lastModifiedBy>
  <cp:revision>7</cp:revision>
  <cp:lastPrinted>2013-03-15T12:36:00Z</cp:lastPrinted>
  <dcterms:created xsi:type="dcterms:W3CDTF">2023-08-02T08:26:00Z</dcterms:created>
  <dcterms:modified xsi:type="dcterms:W3CDTF">2024-06-03T13:06:00Z</dcterms:modified>
</cp:coreProperties>
</file>