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14E5" w14:textId="1CAD3E27" w:rsidR="0070615B" w:rsidRDefault="00F717B8" w:rsidP="00596D7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D362068" wp14:editId="0D6B49D7">
            <wp:extent cx="1238250" cy="98107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7258D" w14:textId="77777777" w:rsidR="00596D74" w:rsidRPr="00596D74" w:rsidRDefault="00596D74" w:rsidP="00596D7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6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8962"/>
      </w:tblGrid>
      <w:tr w:rsidR="00596D74" w:rsidRPr="00E94596" w14:paraId="6F25F7C3" w14:textId="77777777" w:rsidTr="00F564B3">
        <w:trPr>
          <w:trHeight w:val="176"/>
        </w:trPr>
        <w:tc>
          <w:tcPr>
            <w:tcW w:w="8962" w:type="dxa"/>
          </w:tcPr>
          <w:p w14:paraId="2F586BD7" w14:textId="6F099F1F" w:rsidR="00596D74" w:rsidRPr="00E94596" w:rsidRDefault="004B6CEF" w:rsidP="00596D74">
            <w:pPr>
              <w:snapToGrid w:val="0"/>
              <w:jc w:val="center"/>
              <w:rPr>
                <w:rFonts w:ascii="Marianne" w:hAnsi="Marianne" w:cs="Arial"/>
                <w:sz w:val="32"/>
                <w:szCs w:val="32"/>
              </w:rPr>
            </w:pPr>
            <w:r w:rsidRPr="00E94596">
              <w:rPr>
                <w:rFonts w:ascii="Marianne" w:hAnsi="Marianne" w:cs="Arial"/>
                <w:sz w:val="32"/>
                <w:szCs w:val="32"/>
              </w:rPr>
              <w:t xml:space="preserve">CADRE </w:t>
            </w:r>
            <w:r w:rsidR="009B4238" w:rsidRPr="00E94596">
              <w:rPr>
                <w:rFonts w:ascii="Marianne" w:hAnsi="Marianne" w:cs="Arial"/>
                <w:sz w:val="32"/>
                <w:szCs w:val="32"/>
              </w:rPr>
              <w:t>MEMOIRE TECHNIQUE</w:t>
            </w:r>
          </w:p>
          <w:p w14:paraId="6E2DD3DF" w14:textId="2E5D912D" w:rsidR="00596D74" w:rsidRPr="00E94596" w:rsidRDefault="00596D74" w:rsidP="00ED7D99">
            <w:pPr>
              <w:snapToGrid w:val="0"/>
              <w:jc w:val="center"/>
              <w:rPr>
                <w:rFonts w:ascii="Marianne" w:hAnsi="Marianne" w:cs="Arial"/>
                <w:sz w:val="32"/>
                <w:szCs w:val="32"/>
              </w:rPr>
            </w:pPr>
          </w:p>
        </w:tc>
      </w:tr>
    </w:tbl>
    <w:p w14:paraId="4CC9D1CE" w14:textId="77777777" w:rsidR="00E740BE" w:rsidRPr="00C33C74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4"/>
          <w:szCs w:val="24"/>
        </w:rPr>
      </w:pPr>
      <w:r w:rsidRPr="00C33C74">
        <w:rPr>
          <w:rStyle w:val="Aucun"/>
          <w:rFonts w:ascii="Marianne" w:hAnsi="Marianne" w:cs="Times New Roman"/>
          <w:b/>
          <w:bCs/>
          <w:sz w:val="24"/>
          <w:szCs w:val="24"/>
        </w:rPr>
        <w:t xml:space="preserve">MARCHE DE PRESTATIONS DE SERVICES – </w:t>
      </w:r>
    </w:p>
    <w:p w14:paraId="7582B794" w14:textId="77777777" w:rsidR="00E740BE" w:rsidRPr="00C33C74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 w:rsidRPr="00C33C74">
        <w:rPr>
          <w:rFonts w:ascii="Marianne" w:eastAsia="Times New Roman" w:hAnsi="Marianne" w:cs="Times New Roman"/>
          <w:b/>
          <w:bCs/>
          <w:sz w:val="24"/>
          <w:szCs w:val="24"/>
        </w:rPr>
        <w:t>Marché à procédure adaptée (MAPA)</w:t>
      </w:r>
    </w:p>
    <w:p w14:paraId="32C9B09D" w14:textId="77777777" w:rsidR="00E740BE" w:rsidRPr="00C33C74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</w:p>
    <w:p w14:paraId="5248EC91" w14:textId="77777777" w:rsidR="00EA3BA1" w:rsidRDefault="00EA3BA1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>
        <w:rPr>
          <w:rFonts w:ascii="Marianne" w:eastAsia="Times New Roman" w:hAnsi="Marianne" w:cs="Times New Roman"/>
          <w:b/>
          <w:bCs/>
          <w:sz w:val="24"/>
          <w:szCs w:val="24"/>
        </w:rPr>
        <w:t>MISE A DISPOSITION D’UN OUTIL DE PROGRAMMATION, DE VEILLE, D’EDITION DE BILANS SUR LES ACTIONS MENEES SUR LES MEDIAS EN LIGNE ETSUR LES RESEAUX SOCIAUX POUR L’AEFE</w:t>
      </w:r>
    </w:p>
    <w:p w14:paraId="46B92569" w14:textId="47DD0F73" w:rsidR="00E740BE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</w:p>
    <w:p w14:paraId="06A6949C" w14:textId="3F9FD261" w:rsidR="00E740BE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</w:p>
    <w:p w14:paraId="7156A56F" w14:textId="3B41CD49" w:rsidR="00E740BE" w:rsidRPr="00C33C74" w:rsidRDefault="00E740BE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sz w:val="24"/>
          <w:szCs w:val="24"/>
        </w:rPr>
      </w:pPr>
      <w:r>
        <w:rPr>
          <w:rFonts w:ascii="Marianne" w:eastAsia="Times New Roman" w:hAnsi="Marianne" w:cs="Times New Roman"/>
          <w:b/>
          <w:bCs/>
          <w:sz w:val="24"/>
          <w:szCs w:val="24"/>
        </w:rPr>
        <w:t>MAPA2025.01</w:t>
      </w:r>
    </w:p>
    <w:p w14:paraId="5D839274" w14:textId="77777777" w:rsidR="0006427B" w:rsidRPr="00876EAD" w:rsidRDefault="0006427B" w:rsidP="00EA3BA1">
      <w:pPr>
        <w:pStyle w:val="CorpsA"/>
        <w:shd w:val="clear" w:color="auto" w:fill="DEEAF6" w:themeFill="accent1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rPr>
          <w:rStyle w:val="Aucun"/>
          <w:rFonts w:ascii="Marianne Light" w:hAnsi="Marianne Light" w:cs="Times New Roman"/>
          <w:b/>
          <w:bCs/>
        </w:rPr>
      </w:pPr>
    </w:p>
    <w:p w14:paraId="7F144F3F" w14:textId="77777777" w:rsidR="00E06531" w:rsidRPr="00C1450A" w:rsidRDefault="00E06531" w:rsidP="00E06531">
      <w:pPr>
        <w:spacing w:after="200" w:line="276" w:lineRule="auto"/>
        <w:jc w:val="center"/>
        <w:rPr>
          <w:rFonts w:ascii="Marianne" w:eastAsiaTheme="minorHAnsi" w:hAnsi="Marianne" w:cs="Arial"/>
          <w:bCs/>
          <w:sz w:val="20"/>
          <w:szCs w:val="20"/>
          <w:lang w:eastAsia="en-US"/>
        </w:rPr>
      </w:pPr>
    </w:p>
    <w:p w14:paraId="0F390BAA" w14:textId="77777777" w:rsidR="00277684" w:rsidRPr="00301954" w:rsidRDefault="00277684" w:rsidP="009B3103">
      <w:pPr>
        <w:jc w:val="center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922"/>
        <w:gridCol w:w="5803"/>
      </w:tblGrid>
      <w:tr w:rsidR="00640734" w:rsidRPr="00301954" w14:paraId="21E5C06E" w14:textId="77777777" w:rsidTr="005738A5">
        <w:trPr>
          <w:trHeight w:val="367"/>
          <w:jc w:val="center"/>
        </w:trPr>
        <w:tc>
          <w:tcPr>
            <w:tcW w:w="2922" w:type="dxa"/>
            <w:vAlign w:val="center"/>
          </w:tcPr>
          <w:p w14:paraId="4183E814" w14:textId="77777777" w:rsidR="00640734" w:rsidRDefault="00640734" w:rsidP="00640734">
            <w:pPr>
              <w:rPr>
                <w:rFonts w:ascii="Marianne" w:hAnsi="Marianne"/>
                <w:sz w:val="20"/>
                <w:szCs w:val="20"/>
              </w:rPr>
            </w:pPr>
            <w:r w:rsidRPr="00301954">
              <w:rPr>
                <w:rFonts w:ascii="Marianne" w:hAnsi="Marianne"/>
                <w:sz w:val="20"/>
                <w:szCs w:val="20"/>
              </w:rPr>
              <w:t>Nom de l’Entreprise</w:t>
            </w:r>
          </w:p>
          <w:p w14:paraId="0C06402D" w14:textId="568B8541" w:rsidR="00A21968" w:rsidRPr="00301954" w:rsidRDefault="00A21968" w:rsidP="0064073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803" w:type="dxa"/>
            <w:vAlign w:val="center"/>
          </w:tcPr>
          <w:p w14:paraId="66D8B006" w14:textId="77777777" w:rsidR="00640734" w:rsidRPr="00301954" w:rsidRDefault="00640734" w:rsidP="00BC790C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D634397" w14:textId="77777777" w:rsidR="009B3103" w:rsidRPr="00301954" w:rsidRDefault="009B3103" w:rsidP="009B3103">
      <w:pPr>
        <w:jc w:val="center"/>
        <w:rPr>
          <w:rFonts w:ascii="Marianne" w:hAnsi="Marianne"/>
          <w:sz w:val="20"/>
          <w:szCs w:val="20"/>
        </w:rPr>
      </w:pPr>
    </w:p>
    <w:p w14:paraId="68D2603B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</w:p>
    <w:p w14:paraId="6B095C8B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  <w:r w:rsidRPr="00301954">
        <w:rPr>
          <w:rFonts w:ascii="Marianne" w:hAnsi="Marianne"/>
          <w:sz w:val="20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mallCaps/>
          <w:sz w:val="20"/>
          <w:szCs w:val="20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1C7E09E0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b/>
          <w:color w:val="FF0000"/>
          <w:sz w:val="20"/>
          <w:szCs w:val="20"/>
        </w:rPr>
      </w:pPr>
      <w:r w:rsidRPr="00301954">
        <w:rPr>
          <w:rFonts w:ascii="Marianne" w:hAnsi="Marianne"/>
          <w:b/>
          <w:smallCaps/>
          <w:sz w:val="20"/>
          <w:szCs w:val="20"/>
        </w:rPr>
        <w:t>le présent mémoire technique doit obligatoirement être complété par le candidat</w:t>
      </w:r>
      <w:r w:rsidRPr="00301954">
        <w:rPr>
          <w:rFonts w:ascii="Marianne" w:hAnsi="Marianne"/>
          <w:b/>
          <w:smallCaps/>
          <w:color w:val="FF0000"/>
          <w:sz w:val="20"/>
          <w:szCs w:val="20"/>
        </w:rPr>
        <w:t xml:space="preserve"> sous peine d’irrégularité de l’offre.</w:t>
      </w:r>
    </w:p>
    <w:p w14:paraId="2A4D8E0C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7C4F3A9F" w14:textId="5AAB0E76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Les différents éléments demandés sont à renseigner sur le présent document en le </w:t>
      </w:r>
      <w:r w:rsidR="00ED7D99" w:rsidRPr="00301954">
        <w:rPr>
          <w:rFonts w:ascii="Marianne" w:hAnsi="Marianne"/>
          <w:sz w:val="20"/>
          <w:szCs w:val="20"/>
        </w:rPr>
        <w:t>complétant par</w:t>
      </w:r>
      <w:r w:rsidRPr="00301954">
        <w:rPr>
          <w:rFonts w:ascii="Marianne" w:hAnsi="Marianne"/>
          <w:sz w:val="20"/>
          <w:szCs w:val="20"/>
        </w:rPr>
        <w:t xml:space="preserve"> des documents annexes quand ils sont exigés. </w:t>
      </w:r>
    </w:p>
    <w:p w14:paraId="0688E4EB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CC2C84A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Si le candidat le souhaite, des documents complémentaires peuvent être joints (en rapport direct avec l’objet du marché).</w:t>
      </w:r>
    </w:p>
    <w:p w14:paraId="678A8C35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931B87A" w14:textId="1FC97E2F" w:rsidR="009B3103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ED7D99" w:rsidRPr="00301954">
        <w:rPr>
          <w:rFonts w:ascii="Marianne" w:hAnsi="Marianne"/>
          <w:sz w:val="20"/>
          <w:szCs w:val="20"/>
        </w:rPr>
        <w:t>engagent contractuellement</w:t>
      </w:r>
      <w:r w:rsidRPr="00301954">
        <w:rPr>
          <w:rFonts w:ascii="Marianne" w:hAnsi="Marianne"/>
          <w:sz w:val="20"/>
          <w:szCs w:val="20"/>
        </w:rPr>
        <w:t xml:space="preserve"> le titulaire quant au respect des moyens mis en œuvre pour l’exécution de ses prestations.</w:t>
      </w:r>
    </w:p>
    <w:p w14:paraId="0FFAA153" w14:textId="1D0BB53C" w:rsidR="009E1803" w:rsidRPr="00591DEF" w:rsidRDefault="009E1803" w:rsidP="009B3103">
      <w:pPr>
        <w:pStyle w:val="Standard"/>
        <w:spacing w:after="0" w:line="240" w:lineRule="auto"/>
        <w:jc w:val="both"/>
        <w:rPr>
          <w:rFonts w:ascii="Marianne" w:hAnsi="Marianne"/>
          <w:b/>
          <w:bCs/>
          <w:sz w:val="20"/>
          <w:szCs w:val="20"/>
        </w:rPr>
      </w:pPr>
    </w:p>
    <w:p w14:paraId="2C4F4838" w14:textId="64488D9A" w:rsidR="009E1803" w:rsidRPr="00591DEF" w:rsidRDefault="009E1803" w:rsidP="001A4807">
      <w:pPr>
        <w:pStyle w:val="Paragraphedeliste"/>
        <w:spacing w:line="240" w:lineRule="atLeast"/>
        <w:ind w:left="0"/>
        <w:jc w:val="both"/>
        <w:rPr>
          <w:rFonts w:ascii="Marianne" w:hAnsi="Marianne" w:cstheme="minorHAnsi"/>
          <w:sz w:val="20"/>
          <w:szCs w:val="20"/>
        </w:rPr>
      </w:pPr>
      <w:r w:rsidRPr="00591DEF">
        <w:rPr>
          <w:rFonts w:ascii="Marianne" w:hAnsi="Marianne" w:cstheme="minorHAnsi"/>
          <w:b/>
          <w:bCs/>
          <w:sz w:val="20"/>
          <w:szCs w:val="20"/>
          <w:highlight w:val="cyan"/>
          <w:u w:val="single"/>
        </w:rPr>
        <w:t>NB :</w:t>
      </w:r>
      <w:r w:rsidRPr="00591DEF">
        <w:rPr>
          <w:rFonts w:ascii="Marianne" w:hAnsi="Marianne" w:cstheme="minorHAnsi"/>
          <w:sz w:val="20"/>
          <w:szCs w:val="20"/>
        </w:rPr>
        <w:t xml:space="preserve"> Les candidats sont tenus de respecter le cadre mémoire technique transmis dans le présent DCE. </w:t>
      </w:r>
      <w:r w:rsidRPr="00591DEF">
        <w:rPr>
          <w:rFonts w:ascii="Marianne" w:hAnsi="Marianne" w:cstheme="minorHAnsi"/>
          <w:sz w:val="20"/>
          <w:szCs w:val="20"/>
          <w:highlight w:val="yellow"/>
        </w:rPr>
        <w:t xml:space="preserve">Le document ne doit pas dépasser </w:t>
      </w:r>
      <w:r w:rsidR="00591DEF" w:rsidRPr="00591DEF">
        <w:rPr>
          <w:rFonts w:ascii="Marianne" w:hAnsi="Marianne" w:cstheme="minorHAnsi"/>
          <w:sz w:val="20"/>
          <w:szCs w:val="20"/>
          <w:highlight w:val="yellow"/>
        </w:rPr>
        <w:t>9</w:t>
      </w:r>
      <w:r w:rsidR="00554377" w:rsidRPr="00591DEF">
        <w:rPr>
          <w:rFonts w:ascii="Marianne" w:hAnsi="Marianne" w:cstheme="minorHAnsi"/>
          <w:sz w:val="20"/>
          <w:szCs w:val="20"/>
          <w:highlight w:val="yellow"/>
        </w:rPr>
        <w:t>0</w:t>
      </w:r>
      <w:r w:rsidRPr="00591DEF">
        <w:rPr>
          <w:rFonts w:ascii="Marianne" w:hAnsi="Marianne" w:cstheme="minorHAnsi"/>
          <w:sz w:val="20"/>
          <w:szCs w:val="20"/>
          <w:highlight w:val="yellow"/>
        </w:rPr>
        <w:t xml:space="preserve"> pages.</w:t>
      </w:r>
    </w:p>
    <w:p w14:paraId="1FDA939E" w14:textId="77777777" w:rsidR="009E1803" w:rsidRPr="00591DEF" w:rsidRDefault="009E1803" w:rsidP="001A4807">
      <w:pPr>
        <w:pStyle w:val="Paragraphedeliste"/>
        <w:spacing w:line="240" w:lineRule="atLeast"/>
        <w:ind w:left="0"/>
        <w:jc w:val="both"/>
        <w:rPr>
          <w:rFonts w:ascii="Marianne" w:hAnsi="Marianne" w:cstheme="minorHAnsi"/>
          <w:sz w:val="20"/>
          <w:szCs w:val="20"/>
        </w:rPr>
      </w:pPr>
      <w:r w:rsidRPr="00591DEF">
        <w:rPr>
          <w:rFonts w:ascii="Marianne" w:hAnsi="Marianne" w:cstheme="minorHAnsi"/>
          <w:sz w:val="20"/>
          <w:szCs w:val="20"/>
        </w:rPr>
        <w:lastRenderedPageBreak/>
        <w:t>Dans le cas où l’offre technique contiendrait d’éventuelles annexes (qui doivent être succinctes), le CMT doit indiquer la page et le paragraphe concernés par l’information.</w:t>
      </w:r>
    </w:p>
    <w:p w14:paraId="65348E98" w14:textId="77777777" w:rsidR="009E1803" w:rsidRPr="00301954" w:rsidRDefault="009E18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180D22D6" w14:textId="77777777" w:rsidR="00F22483" w:rsidRPr="00301954" w:rsidRDefault="00F2248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257042B1" w14:textId="52B3A2FC" w:rsidR="00F22483" w:rsidRDefault="000F7CF3" w:rsidP="00F22483">
      <w:pPr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</w:pPr>
      <w:r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I/ </w:t>
      </w:r>
      <w:r w:rsidR="00DD5DF4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Notation des </w:t>
      </w:r>
      <w:r w:rsidR="00F22483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critère</w:t>
      </w:r>
      <w:r w:rsidR="00DD5DF4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s</w:t>
      </w:r>
      <w:r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pour l’attribution </w:t>
      </w:r>
      <w:r w:rsidR="00BE5035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du marché</w:t>
      </w:r>
      <w:r w:rsidR="00BE5035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:</w:t>
      </w:r>
      <w:r w:rsidR="00F22483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</w:t>
      </w:r>
    </w:p>
    <w:p w14:paraId="02BFE4BB" w14:textId="77777777" w:rsidR="000F7CF3" w:rsidRPr="000F7CF3" w:rsidRDefault="000F7CF3" w:rsidP="00F22483">
      <w:pPr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</w:pPr>
    </w:p>
    <w:p w14:paraId="52B4DD50" w14:textId="3E87A7B8" w:rsidR="00F22483" w:rsidRDefault="00556BAE" w:rsidP="00556BAE">
      <w:pPr>
        <w:pStyle w:val="Default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t xml:space="preserve">Ce critère sera noté sur </w:t>
      </w:r>
      <w:r w:rsidR="0075171A">
        <w:rPr>
          <w:rFonts w:ascii="Marianne" w:hAnsi="Marianne" w:cs="Calibri"/>
          <w:sz w:val="20"/>
          <w:szCs w:val="20"/>
        </w:rPr>
        <w:t>6</w:t>
      </w:r>
      <w:r w:rsidR="008C4324">
        <w:rPr>
          <w:rFonts w:ascii="Marianne" w:hAnsi="Marianne" w:cs="Calibri"/>
          <w:sz w:val="20"/>
          <w:szCs w:val="20"/>
        </w:rPr>
        <w:t>0</w:t>
      </w:r>
      <w:r w:rsidRPr="00301954">
        <w:rPr>
          <w:rFonts w:ascii="Marianne" w:hAnsi="Marianne" w:cs="Calibri"/>
          <w:sz w:val="20"/>
          <w:szCs w:val="20"/>
        </w:rPr>
        <w:t xml:space="preserve"> points et représentera </w:t>
      </w:r>
      <w:r w:rsidR="0075171A">
        <w:rPr>
          <w:rFonts w:ascii="Marianne" w:hAnsi="Marianne" w:cs="Calibri"/>
          <w:sz w:val="20"/>
          <w:szCs w:val="20"/>
        </w:rPr>
        <w:t>6</w:t>
      </w:r>
      <w:r w:rsidR="008C4324">
        <w:rPr>
          <w:rFonts w:ascii="Marianne" w:hAnsi="Marianne" w:cs="Calibri"/>
          <w:sz w:val="20"/>
          <w:szCs w:val="20"/>
        </w:rPr>
        <w:t>0</w:t>
      </w:r>
      <w:r w:rsidRPr="00301954">
        <w:rPr>
          <w:rFonts w:ascii="Marianne" w:hAnsi="Marianne" w:cs="Calibri"/>
          <w:sz w:val="20"/>
          <w:szCs w:val="20"/>
        </w:rPr>
        <w:t xml:space="preserve">% de la note globale. </w:t>
      </w:r>
      <w:r w:rsidR="00F22483" w:rsidRPr="00301954">
        <w:rPr>
          <w:rFonts w:ascii="Marianne" w:hAnsi="Marianne"/>
          <w:sz w:val="20"/>
          <w:szCs w:val="20"/>
        </w:rPr>
        <w:t>Le total des points obtenus donne la notation de la valeur technique</w:t>
      </w:r>
      <w:r w:rsidR="0023050F">
        <w:rPr>
          <w:rFonts w:ascii="Marianne" w:hAnsi="Marianne"/>
          <w:sz w:val="20"/>
          <w:szCs w:val="20"/>
        </w:rPr>
        <w:t xml:space="preserve"> </w:t>
      </w:r>
      <w:r w:rsidR="0023050F" w:rsidRPr="0023050F">
        <w:rPr>
          <w:rFonts w:ascii="Marianne" w:hAnsi="Marianne" w:cs="Calibri"/>
          <w:sz w:val="20"/>
          <w:szCs w:val="20"/>
        </w:rPr>
        <w:t>et environnementale</w:t>
      </w:r>
      <w:r w:rsidR="00F22483" w:rsidRPr="0023050F">
        <w:rPr>
          <w:rFonts w:ascii="Marianne" w:hAnsi="Marianne" w:cs="Calibri"/>
          <w:sz w:val="20"/>
          <w:szCs w:val="20"/>
        </w:rPr>
        <w:t>.</w:t>
      </w:r>
    </w:p>
    <w:p w14:paraId="5B5F8AA9" w14:textId="77777777" w:rsid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6C4F6B63" w14:textId="77777777" w:rsidR="00556BAE" w:rsidRPr="00C1450A" w:rsidRDefault="00556BAE" w:rsidP="00556BAE">
      <w:pPr>
        <w:pStyle w:val="Default"/>
        <w:jc w:val="both"/>
        <w:rPr>
          <w:rFonts w:ascii="Marianne" w:hAnsi="Marianne"/>
          <w:sz w:val="18"/>
          <w:szCs w:val="18"/>
        </w:rPr>
      </w:pPr>
    </w:p>
    <w:tbl>
      <w:tblPr>
        <w:tblStyle w:val="Grilledutableau"/>
        <w:tblW w:w="0" w:type="auto"/>
        <w:tblInd w:w="521" w:type="dxa"/>
        <w:tblLook w:val="04A0" w:firstRow="1" w:lastRow="0" w:firstColumn="1" w:lastColumn="0" w:noHBand="0" w:noVBand="1"/>
      </w:tblPr>
      <w:tblGrid>
        <w:gridCol w:w="5257"/>
        <w:gridCol w:w="2763"/>
      </w:tblGrid>
      <w:tr w:rsidR="00F22483" w:rsidRPr="00467D85" w14:paraId="71279E7E" w14:textId="77777777" w:rsidTr="00E14EE1">
        <w:trPr>
          <w:trHeight w:val="249"/>
        </w:trPr>
        <w:tc>
          <w:tcPr>
            <w:tcW w:w="5257" w:type="dxa"/>
            <w:vAlign w:val="center"/>
          </w:tcPr>
          <w:p w14:paraId="7F9B2285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>Points attribués</w:t>
            </w:r>
          </w:p>
        </w:tc>
        <w:tc>
          <w:tcPr>
            <w:tcW w:w="2763" w:type="dxa"/>
            <w:vAlign w:val="center"/>
          </w:tcPr>
          <w:p w14:paraId="7D884E0F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 xml:space="preserve">Evaluation </w:t>
            </w:r>
          </w:p>
        </w:tc>
      </w:tr>
      <w:tr w:rsidR="00F22483" w:rsidRPr="00467D85" w14:paraId="18F8E18D" w14:textId="77777777" w:rsidTr="00E14EE1">
        <w:trPr>
          <w:trHeight w:val="249"/>
        </w:trPr>
        <w:tc>
          <w:tcPr>
            <w:tcW w:w="5257" w:type="dxa"/>
          </w:tcPr>
          <w:p w14:paraId="17F82A28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ne répond pas de façon satisfaisante</w:t>
            </w:r>
          </w:p>
        </w:tc>
        <w:tc>
          <w:tcPr>
            <w:tcW w:w="2763" w:type="dxa"/>
          </w:tcPr>
          <w:p w14:paraId="2676070A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0 % de la note maximum</w:t>
            </w:r>
          </w:p>
        </w:tc>
      </w:tr>
      <w:tr w:rsidR="00F22483" w:rsidRPr="00467D85" w14:paraId="40A3020E" w14:textId="77777777" w:rsidTr="00E14EE1">
        <w:trPr>
          <w:trHeight w:val="261"/>
        </w:trPr>
        <w:tc>
          <w:tcPr>
            <w:tcW w:w="5257" w:type="dxa"/>
          </w:tcPr>
          <w:p w14:paraId="1EF1ACAD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peu satisfaisante</w:t>
            </w:r>
          </w:p>
        </w:tc>
        <w:tc>
          <w:tcPr>
            <w:tcW w:w="2763" w:type="dxa"/>
          </w:tcPr>
          <w:p w14:paraId="387A2325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25 % de la note maximum</w:t>
            </w:r>
          </w:p>
        </w:tc>
      </w:tr>
      <w:tr w:rsidR="00F22483" w:rsidRPr="00467D85" w14:paraId="3477620A" w14:textId="77777777" w:rsidTr="00E14EE1">
        <w:trPr>
          <w:trHeight w:val="249"/>
        </w:trPr>
        <w:tc>
          <w:tcPr>
            <w:tcW w:w="5257" w:type="dxa"/>
          </w:tcPr>
          <w:p w14:paraId="4892B518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moyenne</w:t>
            </w:r>
          </w:p>
        </w:tc>
        <w:tc>
          <w:tcPr>
            <w:tcW w:w="2763" w:type="dxa"/>
          </w:tcPr>
          <w:p w14:paraId="3F3A23AC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50 % de la note maximum</w:t>
            </w:r>
          </w:p>
        </w:tc>
      </w:tr>
      <w:tr w:rsidR="00F22483" w:rsidRPr="00467D85" w14:paraId="4DC49537" w14:textId="77777777" w:rsidTr="00E14EE1">
        <w:trPr>
          <w:trHeight w:val="249"/>
        </w:trPr>
        <w:tc>
          <w:tcPr>
            <w:tcW w:w="5257" w:type="dxa"/>
          </w:tcPr>
          <w:p w14:paraId="62F8EA54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satisfaisante</w:t>
            </w:r>
          </w:p>
        </w:tc>
        <w:tc>
          <w:tcPr>
            <w:tcW w:w="2763" w:type="dxa"/>
          </w:tcPr>
          <w:p w14:paraId="02428A69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75 % de la note maximum</w:t>
            </w:r>
          </w:p>
        </w:tc>
      </w:tr>
      <w:tr w:rsidR="00F22483" w:rsidRPr="00467D85" w14:paraId="0896CDBD" w14:textId="77777777" w:rsidTr="00E14EE1">
        <w:trPr>
          <w:trHeight w:val="261"/>
        </w:trPr>
        <w:tc>
          <w:tcPr>
            <w:tcW w:w="5257" w:type="dxa"/>
          </w:tcPr>
          <w:p w14:paraId="099D4C3B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excellente</w:t>
            </w:r>
          </w:p>
        </w:tc>
        <w:tc>
          <w:tcPr>
            <w:tcW w:w="2763" w:type="dxa"/>
          </w:tcPr>
          <w:p w14:paraId="72823777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100 % de la note maximum</w:t>
            </w:r>
          </w:p>
        </w:tc>
      </w:tr>
    </w:tbl>
    <w:p w14:paraId="1C5F88BB" w14:textId="4E7C4E20" w:rsidR="00F22483" w:rsidRDefault="00F22483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11CE019C" w14:textId="77777777" w:rsidR="00530B99" w:rsidRPr="00C1450A" w:rsidRDefault="00530B99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12DE9761" w14:textId="7B8217C4" w:rsidR="00556BAE" w:rsidRPr="003420AF" w:rsidRDefault="00556BAE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  <w:r w:rsidRPr="003420AF">
        <w:rPr>
          <w:rFonts w:ascii="Marianne" w:hAnsi="Marianne" w:cs="Calibri"/>
          <w:sz w:val="20"/>
          <w:szCs w:val="20"/>
        </w:rPr>
        <w:t xml:space="preserve">L’offre du candidat sera évaluée sur la base du </w:t>
      </w:r>
      <w:r w:rsidRPr="003420AF">
        <w:rPr>
          <w:rFonts w:ascii="Marianne" w:hAnsi="Marianne" w:cs="CIDFont+F3"/>
          <w:sz w:val="20"/>
          <w:szCs w:val="20"/>
        </w:rPr>
        <w:t xml:space="preserve">cadre mémoire technique, selon des sous-critères suivants à renseigner </w:t>
      </w:r>
      <w:r w:rsidRPr="003420AF">
        <w:rPr>
          <w:rFonts w:ascii="Marianne" w:hAnsi="Marianne"/>
          <w:sz w:val="20"/>
          <w:szCs w:val="20"/>
        </w:rPr>
        <w:t>impérativement par le candidat</w:t>
      </w:r>
      <w:r w:rsidRPr="003420AF">
        <w:rPr>
          <w:rFonts w:ascii="Marianne" w:hAnsi="Marianne" w:cs="CIDFont+F3"/>
          <w:sz w:val="20"/>
          <w:szCs w:val="20"/>
        </w:rPr>
        <w:t> :</w:t>
      </w:r>
    </w:p>
    <w:p w14:paraId="268CC358" w14:textId="77777777" w:rsidR="00530B99" w:rsidRPr="003420AF" w:rsidRDefault="00530B99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</w:p>
    <w:p w14:paraId="242D383A" w14:textId="4D67A290" w:rsidR="00FE4C22" w:rsidRPr="003420AF" w:rsidRDefault="00FE4C22" w:rsidP="000F7CF3">
      <w:pPr>
        <w:pStyle w:val="Default"/>
        <w:jc w:val="both"/>
        <w:rPr>
          <w:rFonts w:ascii="Marianne" w:hAnsi="Marianne" w:cs="Calibri"/>
          <w:b/>
          <w:color w:val="auto"/>
          <w:sz w:val="20"/>
          <w:szCs w:val="20"/>
        </w:rPr>
      </w:pPr>
      <w:r w:rsidRPr="003420AF">
        <w:rPr>
          <w:rFonts w:ascii="Marianne" w:hAnsi="Marianne" w:cs="Calibri"/>
          <w:b/>
          <w:color w:val="auto"/>
          <w:sz w:val="20"/>
          <w:szCs w:val="20"/>
        </w:rPr>
        <w:t>Critère 2 - Valeur technique</w:t>
      </w:r>
      <w:r w:rsidR="00084BBC">
        <w:rPr>
          <w:rFonts w:ascii="Marianne" w:hAnsi="Marianne" w:cs="Calibri"/>
          <w:b/>
          <w:color w:val="auto"/>
          <w:sz w:val="20"/>
          <w:szCs w:val="20"/>
        </w:rPr>
        <w:t xml:space="preserve"> et environnementale</w:t>
      </w:r>
      <w:r w:rsidRPr="003420AF">
        <w:rPr>
          <w:rFonts w:ascii="Marianne" w:hAnsi="Marianne" w:cs="Calibri"/>
          <w:b/>
          <w:color w:val="auto"/>
          <w:sz w:val="20"/>
          <w:szCs w:val="20"/>
        </w:rPr>
        <w:t xml:space="preserve"> :</w:t>
      </w:r>
      <w:r w:rsidR="00E448BF">
        <w:rPr>
          <w:rFonts w:ascii="Marianne" w:hAnsi="Marianne" w:cs="Calibri"/>
          <w:b/>
          <w:color w:val="auto"/>
          <w:sz w:val="20"/>
          <w:szCs w:val="20"/>
        </w:rPr>
        <w:t xml:space="preserve"> 6</w:t>
      </w:r>
      <w:r w:rsidR="008C4324">
        <w:rPr>
          <w:rFonts w:ascii="Marianne" w:hAnsi="Marianne" w:cs="Calibri"/>
          <w:b/>
          <w:color w:val="auto"/>
          <w:sz w:val="20"/>
          <w:szCs w:val="20"/>
        </w:rPr>
        <w:t>0</w:t>
      </w:r>
      <w:r w:rsidRPr="003420AF">
        <w:rPr>
          <w:rFonts w:ascii="Marianne" w:hAnsi="Marianne" w:cs="Calibri"/>
          <w:b/>
          <w:color w:val="auto"/>
          <w:sz w:val="20"/>
          <w:szCs w:val="20"/>
        </w:rPr>
        <w:t xml:space="preserve"> points</w:t>
      </w:r>
    </w:p>
    <w:p w14:paraId="48BF3A98" w14:textId="41713F75" w:rsidR="00A25FBC" w:rsidRDefault="00A25FBC" w:rsidP="000F7CF3">
      <w:pPr>
        <w:pStyle w:val="Default"/>
        <w:jc w:val="both"/>
        <w:rPr>
          <w:rFonts w:ascii="Marianne" w:hAnsi="Marianne" w:cs="Calibri"/>
          <w:b/>
          <w:color w:val="FF0000"/>
          <w:sz w:val="20"/>
          <w:szCs w:val="20"/>
        </w:rPr>
      </w:pPr>
    </w:p>
    <w:p w14:paraId="309C4E8F" w14:textId="777EA2BB" w:rsidR="00554377" w:rsidRDefault="00554377" w:rsidP="000F7CF3">
      <w:pPr>
        <w:pStyle w:val="Default"/>
        <w:jc w:val="both"/>
        <w:rPr>
          <w:rFonts w:ascii="Marianne" w:hAnsi="Marianne" w:cs="Calibri"/>
          <w:b/>
          <w:color w:val="FF0000"/>
          <w:sz w:val="20"/>
          <w:szCs w:val="20"/>
        </w:rPr>
      </w:pPr>
    </w:p>
    <w:p w14:paraId="1ECB2238" w14:textId="7EE39A3E" w:rsidR="00554377" w:rsidRPr="00987085" w:rsidRDefault="00554377" w:rsidP="00554377">
      <w:pPr>
        <w:pStyle w:val="Paragraphedeliste"/>
        <w:numPr>
          <w:ilvl w:val="0"/>
          <w:numId w:val="20"/>
        </w:numPr>
        <w:ind w:left="0" w:firstLine="567"/>
        <w:contextualSpacing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 w:rsidRPr="00987085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Compréhension des problématiques et des enjeux de l’AEFE en matière de communication sur les réseaux sociaux – 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6</w:t>
      </w:r>
      <w:r w:rsidRPr="00987085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p w14:paraId="1C987EA3" w14:textId="77777777" w:rsidR="00554377" w:rsidRPr="00554377" w:rsidRDefault="00554377" w:rsidP="0055437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554377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3EF993" w14:textId="328178AC" w:rsidR="00554377" w:rsidRDefault="00554377" w:rsidP="0055437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554377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768E5770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FF272B" w14:textId="77777777" w:rsidR="001A4807" w:rsidRPr="00554377" w:rsidRDefault="001A4807" w:rsidP="0055437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</w:p>
    <w:p w14:paraId="5AD4D465" w14:textId="77777777" w:rsidR="00554377" w:rsidRDefault="00554377" w:rsidP="00554377">
      <w:pPr>
        <w:pStyle w:val="Paragraphedeliste"/>
        <w:ind w:left="567"/>
        <w:contextualSpacing/>
        <w:jc w:val="both"/>
        <w:rPr>
          <w:rFonts w:ascii="Marianne" w:hAnsi="Marianne" w:cs="Calibri"/>
          <w:color w:val="000000"/>
          <w:sz w:val="20"/>
          <w:szCs w:val="20"/>
        </w:rPr>
      </w:pPr>
    </w:p>
    <w:p w14:paraId="71EC8BE4" w14:textId="77777777" w:rsidR="00554377" w:rsidRPr="00987085" w:rsidRDefault="00554377" w:rsidP="00554377">
      <w:pPr>
        <w:pStyle w:val="Default"/>
        <w:ind w:firstLine="567"/>
        <w:jc w:val="both"/>
        <w:rPr>
          <w:rFonts w:ascii="Marianne" w:hAnsi="Marianne" w:cs="CIDFont+F3"/>
          <w:b/>
          <w:bCs/>
          <w:color w:val="2F5496" w:themeColor="accent5" w:themeShade="BF"/>
          <w:sz w:val="20"/>
          <w:szCs w:val="20"/>
        </w:rPr>
      </w:pPr>
    </w:p>
    <w:p w14:paraId="1DB05274" w14:textId="295C6999" w:rsidR="00E14D93" w:rsidRPr="001A4807" w:rsidRDefault="001A4807" w:rsidP="00104100">
      <w:pPr>
        <w:pStyle w:val="Default"/>
        <w:widowControl/>
        <w:numPr>
          <w:ilvl w:val="0"/>
          <w:numId w:val="20"/>
        </w:numPr>
        <w:suppressAutoHyphens w:val="0"/>
        <w:autoSpaceDE/>
        <w:ind w:left="0" w:firstLine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 w:rsidRPr="001A4807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 xml:space="preserve">Présentation de la </w:t>
      </w:r>
      <w:proofErr w:type="gramStart"/>
      <w:r w:rsidRPr="001A4807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 xml:space="preserve">plateforme </w:t>
      </w:r>
      <w:r w:rsidR="00DD0033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>,</w:t>
      </w:r>
      <w:proofErr w:type="gramEnd"/>
      <w:r w:rsidR="00DD0033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 xml:space="preserve"> ergonomie, </w:t>
      </w:r>
      <w:r w:rsidR="00714CB0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>ses fonctionnalités</w:t>
      </w:r>
      <w:r w:rsidRPr="001A4807">
        <w:rPr>
          <w:rFonts w:ascii="Marianne" w:hAnsi="Marianne" w:cs="Arial"/>
          <w:b/>
          <w:bCs/>
          <w:color w:val="2F5496" w:themeColor="accent5" w:themeShade="BF"/>
          <w:sz w:val="20"/>
          <w:szCs w:val="20"/>
        </w:rPr>
        <w:t xml:space="preserve">. </w:t>
      </w:r>
      <w:r w:rsidR="00554377" w:rsidRPr="001A4807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Accessibilité de la solution </w:t>
      </w:r>
      <w:proofErr w:type="gramStart"/>
      <w:r w:rsidR="00554377" w:rsidRPr="001A4807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technique</w:t>
      </w:r>
      <w:proofErr w:type="gramEnd"/>
      <w:r w:rsidR="00554377" w:rsidRPr="001A4807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et compatibilité avec les contraintes de l’AEFE </w:t>
      </w:r>
      <w:r w:rsidR="00E14D93" w:rsidRPr="001A4807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– 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8</w:t>
      </w:r>
      <w:r w:rsidR="00E14D93" w:rsidRPr="001A4807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p w14:paraId="78461FB0" w14:textId="77777777" w:rsidR="001A4807" w:rsidRPr="00987085" w:rsidRDefault="001A4807" w:rsidP="00E14D93">
      <w:pPr>
        <w:pStyle w:val="Default"/>
        <w:widowControl/>
        <w:suppressAutoHyphens w:val="0"/>
        <w:autoSpaceDE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</w:p>
    <w:p w14:paraId="2A8211F2" w14:textId="77777777" w:rsidR="00987085" w:rsidRPr="00987085" w:rsidRDefault="00987085" w:rsidP="00987085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987085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F72A15" w14:textId="3CA56B28" w:rsidR="00987085" w:rsidRDefault="00987085" w:rsidP="00987085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987085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4C45F2D3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0C9F3F" w14:textId="77777777" w:rsidR="001A4807" w:rsidRPr="00987085" w:rsidRDefault="001A4807" w:rsidP="00987085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</w:p>
    <w:p w14:paraId="6C904B01" w14:textId="77777777" w:rsidR="00554377" w:rsidRDefault="00554377" w:rsidP="00554377">
      <w:pPr>
        <w:pStyle w:val="Default"/>
        <w:ind w:firstLine="567"/>
        <w:jc w:val="both"/>
        <w:rPr>
          <w:rFonts w:ascii="Marianne" w:hAnsi="Marianne" w:cs="Calibri"/>
          <w:color w:val="auto"/>
          <w:sz w:val="20"/>
          <w:szCs w:val="20"/>
        </w:rPr>
      </w:pPr>
    </w:p>
    <w:p w14:paraId="42AFA041" w14:textId="65DCA9EA" w:rsidR="00E14D93" w:rsidRDefault="00554377" w:rsidP="00E14D93">
      <w:pPr>
        <w:pStyle w:val="Default"/>
        <w:widowControl/>
        <w:numPr>
          <w:ilvl w:val="0"/>
          <w:numId w:val="20"/>
        </w:numPr>
        <w:suppressAutoHyphens w:val="0"/>
        <w:autoSpaceDE/>
        <w:spacing w:after="120"/>
        <w:ind w:left="0" w:firstLine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 w:rsidRPr="00987085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Fonctionnalités </w:t>
      </w:r>
      <w:r w:rsidR="00714CB0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de la veille, </w:t>
      </w:r>
      <w:r w:rsidR="00714CB0" w:rsidRPr="00CD570A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rapport d’audience, analyse de notoriété </w:t>
      </w:r>
      <w:r w:rsidR="00E14D93" w:rsidRPr="00987085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–</w:t>
      </w:r>
      <w:r w:rsidR="00E14D93" w:rsidRPr="00E14D93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1</w:t>
      </w:r>
      <w:r w:rsidR="001E3D56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2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</w:t>
      </w:r>
      <w:r w:rsidR="00E14D93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p</w:t>
      </w:r>
      <w:r w:rsidR="00E14D93" w:rsidRPr="00E14D93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oints</w:t>
      </w:r>
    </w:p>
    <w:p w14:paraId="769A5155" w14:textId="6A5DC09E" w:rsidR="00554377" w:rsidRPr="00E14D93" w:rsidRDefault="00714CB0" w:rsidP="00E14D93">
      <w:pPr>
        <w:pStyle w:val="Default"/>
        <w:widowControl/>
        <w:suppressAutoHyphens w:val="0"/>
        <w:autoSpaceDE/>
        <w:spacing w:after="120"/>
        <w:jc w:val="both"/>
        <w:rPr>
          <w:rFonts w:ascii="Marianne" w:hAnsi="Marianne" w:cs="Calibri"/>
          <w:i/>
          <w:iCs/>
          <w:color w:val="auto"/>
          <w:sz w:val="20"/>
          <w:szCs w:val="20"/>
        </w:rPr>
      </w:pPr>
      <w:r>
        <w:rPr>
          <w:rFonts w:ascii="Marianne" w:hAnsi="Marianne" w:cs="Calibri"/>
          <w:i/>
          <w:iCs/>
          <w:color w:val="auto"/>
          <w:sz w:val="20"/>
          <w:szCs w:val="20"/>
        </w:rPr>
        <w:t>Le candidat fournira un exemple d’analyse d’audience</w:t>
      </w:r>
    </w:p>
    <w:p w14:paraId="77F2270C" w14:textId="77777777" w:rsidR="00987085" w:rsidRPr="00987085" w:rsidRDefault="00987085" w:rsidP="00987085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987085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D1001B" w14:textId="77777777" w:rsidR="00987085" w:rsidRPr="00987085" w:rsidRDefault="00987085" w:rsidP="00987085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987085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729797BF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2F2058" w14:textId="77777777" w:rsidR="00554377" w:rsidRDefault="00554377" w:rsidP="00554377">
      <w:pPr>
        <w:pStyle w:val="Paragraphedeliste"/>
        <w:ind w:firstLine="567"/>
        <w:rPr>
          <w:rFonts w:ascii="Marianne" w:hAnsi="Marianne" w:cs="Calibri"/>
          <w:sz w:val="20"/>
          <w:szCs w:val="20"/>
        </w:rPr>
      </w:pPr>
    </w:p>
    <w:p w14:paraId="40D621BB" w14:textId="745D108F" w:rsidR="00391F81" w:rsidRDefault="00714CB0" w:rsidP="003C3F1E">
      <w:pPr>
        <w:pStyle w:val="Default"/>
        <w:widowControl/>
        <w:numPr>
          <w:ilvl w:val="0"/>
          <w:numId w:val="20"/>
        </w:numPr>
        <w:suppressAutoHyphens w:val="0"/>
        <w:autoSpaceDE/>
        <w:spacing w:before="240" w:line="240" w:lineRule="exact"/>
        <w:ind w:left="0" w:firstLine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Fonctionnalités et programmation des réseaux sociaux</w:t>
      </w:r>
      <w:r w:rsidR="001578EE" w:rsidRPr="001578EE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</w:t>
      </w:r>
      <w:r w:rsidR="003C3F1E" w:rsidRPr="001578EE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– 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10</w:t>
      </w:r>
      <w:r w:rsidR="003C3F1E" w:rsidRPr="001578EE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p w14:paraId="09C304E6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620546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713B01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2E61435D" w14:textId="77777777" w:rsidR="001578EE" w:rsidRPr="001578EE" w:rsidRDefault="001578EE" w:rsidP="001578EE">
      <w:pPr>
        <w:pStyle w:val="Default"/>
        <w:widowControl/>
        <w:suppressAutoHyphens w:val="0"/>
        <w:autoSpaceDE/>
        <w:ind w:left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</w:p>
    <w:p w14:paraId="50DDE8CB" w14:textId="10C0F26E" w:rsidR="00391F81" w:rsidRPr="001578EE" w:rsidRDefault="00391F81" w:rsidP="00391F81">
      <w:pPr>
        <w:pStyle w:val="Default"/>
        <w:widowControl/>
        <w:numPr>
          <w:ilvl w:val="0"/>
          <w:numId w:val="20"/>
        </w:numPr>
        <w:suppressAutoHyphens w:val="0"/>
        <w:autoSpaceDE/>
        <w:ind w:left="0" w:firstLine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 w:rsidRPr="00391F81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Présentation des profils à affecter aux missions - </w:t>
      </w:r>
      <w:r w:rsidR="008C4324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8</w:t>
      </w:r>
      <w:r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p w14:paraId="37B2F451" w14:textId="6C389A2C" w:rsidR="00391F81" w:rsidRPr="00C93CC5" w:rsidRDefault="00391F81" w:rsidP="00391F81">
      <w:pPr>
        <w:pStyle w:val="Default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  <w:u w:val="single"/>
        </w:rPr>
      </w:pPr>
    </w:p>
    <w:p w14:paraId="6753A648" w14:textId="316DBE15" w:rsidR="00391F81" w:rsidRPr="00C93CC5" w:rsidRDefault="00391F81" w:rsidP="00391F81">
      <w:pPr>
        <w:pStyle w:val="Default"/>
        <w:rPr>
          <w:rFonts w:ascii="Marianne" w:hAnsi="Marianne" w:cs="Calibri"/>
          <w:i/>
          <w:iCs/>
          <w:sz w:val="20"/>
          <w:szCs w:val="20"/>
        </w:rPr>
      </w:pPr>
      <w:r>
        <w:rPr>
          <w:rFonts w:ascii="Marianne" w:hAnsi="Marianne" w:cs="Calibri"/>
          <w:i/>
          <w:iCs/>
          <w:sz w:val="20"/>
          <w:szCs w:val="20"/>
        </w:rPr>
        <w:t>De</w:t>
      </w:r>
      <w:r w:rsidRPr="00C93CC5">
        <w:rPr>
          <w:rFonts w:ascii="Marianne" w:hAnsi="Marianne" w:cs="Calibri"/>
          <w:i/>
          <w:iCs/>
          <w:sz w:val="20"/>
          <w:szCs w:val="20"/>
        </w:rPr>
        <w:t>scription détaillée de leurs expériences sur des périmètres et des problématiques similaires</w:t>
      </w:r>
      <w:r>
        <w:rPr>
          <w:rFonts w:ascii="Marianne" w:hAnsi="Marianne" w:cs="Calibri"/>
          <w:i/>
          <w:iCs/>
          <w:sz w:val="20"/>
          <w:szCs w:val="20"/>
        </w:rPr>
        <w:t>.</w:t>
      </w:r>
    </w:p>
    <w:p w14:paraId="0F1F16B7" w14:textId="77777777" w:rsidR="00391F81" w:rsidRPr="00C93CC5" w:rsidRDefault="00391F81" w:rsidP="00391F81">
      <w:pPr>
        <w:pStyle w:val="Default"/>
        <w:jc w:val="both"/>
        <w:rPr>
          <w:rFonts w:ascii="Marianne" w:hAnsi="Marianne" w:cs="Calibri"/>
          <w:i/>
          <w:iCs/>
          <w:sz w:val="20"/>
          <w:szCs w:val="20"/>
        </w:rPr>
      </w:pPr>
      <w:r w:rsidRPr="00C93CC5">
        <w:rPr>
          <w:rFonts w:ascii="Marianne" w:hAnsi="Marianne" w:cs="Calibri"/>
          <w:i/>
          <w:iCs/>
          <w:sz w:val="20"/>
          <w:szCs w:val="20"/>
        </w:rPr>
        <w:t xml:space="preserve">Fourniture de CV, références et savoir-faire de chaque intervenant proposé. </w:t>
      </w:r>
    </w:p>
    <w:p w14:paraId="19CE258B" w14:textId="74947CCA" w:rsidR="00554377" w:rsidRDefault="00554377" w:rsidP="00554377">
      <w:pPr>
        <w:ind w:firstLine="567"/>
        <w:jc w:val="both"/>
        <w:rPr>
          <w:rFonts w:ascii="Marianne" w:hAnsi="Marianne" w:cs="Calibri"/>
        </w:rPr>
      </w:pPr>
    </w:p>
    <w:p w14:paraId="756E46A5" w14:textId="1B4410E9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30ED0355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A5AE8C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2F9E9A70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6605D7" w14:textId="77777777" w:rsidR="00554377" w:rsidRDefault="00554377" w:rsidP="00554377">
      <w:pPr>
        <w:pStyle w:val="Default"/>
        <w:ind w:firstLine="567"/>
        <w:jc w:val="both"/>
        <w:rPr>
          <w:rFonts w:ascii="Marianne" w:hAnsi="Marianne" w:cs="Calibri"/>
          <w:color w:val="auto"/>
          <w:sz w:val="20"/>
          <w:szCs w:val="20"/>
          <w:highlight w:val="yellow"/>
        </w:rPr>
      </w:pPr>
    </w:p>
    <w:p w14:paraId="46059CBB" w14:textId="5AFACCDA" w:rsidR="00391F81" w:rsidRPr="00CC5A6F" w:rsidRDefault="00AC2806" w:rsidP="00AC2806">
      <w:pPr>
        <w:pStyle w:val="Default"/>
        <w:numPr>
          <w:ilvl w:val="0"/>
          <w:numId w:val="20"/>
        </w:numPr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r w:rsidRPr="00CC5A6F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Présentation des dispositifs d’organisation et les méthodes de travail </w:t>
      </w:r>
      <w:r w:rsidR="00391F81" w:rsidRPr="00CC5A6F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– </w:t>
      </w:r>
      <w:r w:rsidR="008C4324" w:rsidRPr="00CC5A6F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10</w:t>
      </w:r>
      <w:r w:rsidR="00391F81" w:rsidRPr="00CC5A6F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p w14:paraId="0AFF387B" w14:textId="0D86C308" w:rsidR="001578EE" w:rsidRDefault="001578EE" w:rsidP="001578EE">
      <w:pPr>
        <w:contextualSpacing/>
        <w:jc w:val="both"/>
        <w:rPr>
          <w:rFonts w:ascii="Marianne" w:hAnsi="Marianne" w:cs="Calibri"/>
          <w:color w:val="000000"/>
          <w:sz w:val="20"/>
          <w:szCs w:val="20"/>
          <w:highlight w:val="yellow"/>
        </w:rPr>
      </w:pPr>
    </w:p>
    <w:p w14:paraId="16FE6234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lastRenderedPageBreak/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380A130C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898900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45217552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F4AF86" w14:textId="77777777" w:rsidR="001578EE" w:rsidRPr="001578EE" w:rsidRDefault="001578EE" w:rsidP="001578EE">
      <w:pPr>
        <w:contextualSpacing/>
        <w:jc w:val="both"/>
        <w:rPr>
          <w:rFonts w:ascii="Marianne" w:hAnsi="Marianne" w:cs="Calibri"/>
          <w:color w:val="000000"/>
          <w:sz w:val="20"/>
          <w:szCs w:val="20"/>
          <w:highlight w:val="yellow"/>
        </w:rPr>
      </w:pPr>
    </w:p>
    <w:p w14:paraId="6F9F128F" w14:textId="77777777" w:rsidR="00554377" w:rsidRDefault="00554377" w:rsidP="00554377">
      <w:pPr>
        <w:ind w:firstLine="567"/>
        <w:jc w:val="both"/>
        <w:rPr>
          <w:rFonts w:ascii="Marianne" w:hAnsi="Marianne" w:cs="Calibri"/>
          <w:color w:val="000000"/>
          <w:sz w:val="20"/>
          <w:szCs w:val="20"/>
          <w:highlight w:val="yellow"/>
        </w:rPr>
      </w:pPr>
    </w:p>
    <w:p w14:paraId="4497E379" w14:textId="12D09A43" w:rsidR="00554377" w:rsidRDefault="00554377" w:rsidP="001578EE">
      <w:pPr>
        <w:pStyle w:val="Default"/>
        <w:widowControl/>
        <w:numPr>
          <w:ilvl w:val="0"/>
          <w:numId w:val="20"/>
        </w:numPr>
        <w:suppressAutoHyphens w:val="0"/>
        <w:autoSpaceDE/>
        <w:ind w:left="0" w:firstLine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  <w:bookmarkStart w:id="0" w:name="_Hlk189149380"/>
      <w:r w:rsidRPr="001578EE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Mesures particulières prises pour limiter l’impact des activités sur l’environnement</w:t>
      </w:r>
      <w:r w:rsidR="00714CB0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</w:t>
      </w:r>
      <w:r w:rsidR="00391F81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– </w:t>
      </w:r>
      <w:r w:rsidR="001E3D56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>6</w:t>
      </w:r>
      <w:r w:rsidR="00391F81"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  <w:t xml:space="preserve"> points</w:t>
      </w:r>
    </w:p>
    <w:bookmarkEnd w:id="0"/>
    <w:p w14:paraId="74F3BE01" w14:textId="011A9820" w:rsidR="00714CB0" w:rsidRPr="00635035" w:rsidRDefault="00714CB0" w:rsidP="00714CB0">
      <w:pPr>
        <w:pStyle w:val="Default"/>
        <w:widowControl/>
        <w:suppressAutoHyphens w:val="0"/>
        <w:autoSpaceDE/>
        <w:ind w:left="567"/>
        <w:jc w:val="both"/>
        <w:rPr>
          <w:rFonts w:ascii="Marianne" w:hAnsi="Marianne" w:cs="Calibri"/>
          <w:b/>
          <w:bCs/>
          <w:i/>
          <w:iCs/>
          <w:color w:val="2F5496" w:themeColor="accent5" w:themeShade="BF"/>
          <w:sz w:val="20"/>
          <w:szCs w:val="20"/>
        </w:rPr>
      </w:pPr>
      <w:r w:rsidRPr="00635035">
        <w:rPr>
          <w:i/>
          <w:iCs/>
        </w:rPr>
        <w:t>Selon les recommandations du référentiel général d'écoconception de service numérique (RGESN).</w:t>
      </w:r>
    </w:p>
    <w:p w14:paraId="66DDFA57" w14:textId="77777777" w:rsidR="00714CB0" w:rsidRPr="001578EE" w:rsidRDefault="00714CB0" w:rsidP="00714CB0">
      <w:pPr>
        <w:pStyle w:val="Default"/>
        <w:widowControl/>
        <w:suppressAutoHyphens w:val="0"/>
        <w:autoSpaceDE/>
        <w:ind w:left="567"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</w:p>
    <w:p w14:paraId="7932225B" w14:textId="77777777" w:rsidR="001578EE" w:rsidRP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..</w:t>
      </w:r>
    </w:p>
    <w:p w14:paraId="135CEE35" w14:textId="645CF661" w:rsid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9A75A9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A09282" w14:textId="77777777" w:rsidR="001A4807" w:rsidRDefault="001A4807" w:rsidP="001A4807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  <w:r w:rsidRPr="001578EE">
        <w:rPr>
          <w:rFonts w:ascii="Marianne" w:hAnsi="Marianne" w:cs="Tahoma"/>
          <w:sz w:val="20"/>
          <w:szCs w:val="20"/>
        </w:rPr>
        <w:t>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64D3BC" w14:textId="001BADBD" w:rsidR="001578EE" w:rsidRDefault="001578EE" w:rsidP="001578EE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</w:p>
    <w:p w14:paraId="780C17AC" w14:textId="77777777" w:rsidR="00987085" w:rsidRPr="00391F81" w:rsidRDefault="00987085" w:rsidP="00391F81">
      <w:pPr>
        <w:pStyle w:val="Default"/>
        <w:widowControl/>
        <w:suppressAutoHyphens w:val="0"/>
        <w:autoSpaceDE/>
        <w:jc w:val="both"/>
        <w:rPr>
          <w:rFonts w:ascii="Marianne" w:hAnsi="Marianne" w:cs="Calibri"/>
          <w:b/>
          <w:bCs/>
          <w:color w:val="2F5496" w:themeColor="accent5" w:themeShade="BF"/>
          <w:sz w:val="20"/>
          <w:szCs w:val="20"/>
        </w:rPr>
      </w:pPr>
    </w:p>
    <w:p w14:paraId="424DF9F9" w14:textId="77777777" w:rsidR="00391F81" w:rsidRDefault="00391F81" w:rsidP="00391F81">
      <w:pPr>
        <w:spacing w:line="240" w:lineRule="atLeast"/>
        <w:contextualSpacing/>
        <w:jc w:val="both"/>
        <w:rPr>
          <w:rFonts w:ascii="Marianne" w:hAnsi="Marianne" w:cs="Tahoma"/>
          <w:sz w:val="20"/>
          <w:szCs w:val="20"/>
        </w:rPr>
      </w:pPr>
    </w:p>
    <w:p w14:paraId="3F674698" w14:textId="77777777" w:rsidR="00987085" w:rsidRDefault="00987085" w:rsidP="00987085">
      <w:pPr>
        <w:pStyle w:val="Default"/>
        <w:widowControl/>
        <w:suppressAutoHyphens w:val="0"/>
        <w:autoSpaceDE/>
        <w:jc w:val="both"/>
        <w:rPr>
          <w:rFonts w:ascii="Marianne" w:hAnsi="Marianne" w:cs="Calibri"/>
          <w:sz w:val="20"/>
          <w:szCs w:val="20"/>
        </w:rPr>
      </w:pPr>
    </w:p>
    <w:p w14:paraId="11FE659D" w14:textId="77777777" w:rsidR="00554377" w:rsidRDefault="00554377" w:rsidP="00554377">
      <w:pPr>
        <w:rPr>
          <w:rFonts w:ascii="Calibri" w:hAnsi="Calibri" w:cs="Calibri"/>
          <w:color w:val="000000"/>
          <w:sz w:val="20"/>
          <w:szCs w:val="20"/>
        </w:rPr>
      </w:pPr>
      <w:bookmarkStart w:id="1" w:name="_Hlk152339731"/>
    </w:p>
    <w:bookmarkEnd w:id="1"/>
    <w:p w14:paraId="54F5B557" w14:textId="77777777" w:rsidR="00D908BD" w:rsidRPr="005875C6" w:rsidRDefault="00D908BD" w:rsidP="00556BAE">
      <w:pPr>
        <w:pStyle w:val="Default"/>
        <w:jc w:val="both"/>
        <w:rPr>
          <w:rFonts w:ascii="Marianne Light" w:hAnsi="Marianne Light" w:cs="Calibri"/>
          <w:sz w:val="20"/>
          <w:szCs w:val="20"/>
          <w:lang w:eastAsia="fr-FR"/>
        </w:rPr>
      </w:pPr>
    </w:p>
    <w:p w14:paraId="5528AFA4" w14:textId="767E3049" w:rsidR="00E94596" w:rsidRPr="005875C6" w:rsidRDefault="00E94596" w:rsidP="00E94596">
      <w:pPr>
        <w:pStyle w:val="Standard"/>
        <w:spacing w:after="0" w:line="240" w:lineRule="auto"/>
        <w:rPr>
          <w:rFonts w:ascii="Marianne Light" w:hAnsi="Marianne Light" w:cs="Calibri"/>
          <w:color w:val="000000"/>
          <w:sz w:val="20"/>
          <w:szCs w:val="20"/>
        </w:rPr>
      </w:pPr>
      <w:r w:rsidRPr="005875C6">
        <w:rPr>
          <w:rFonts w:ascii="Marianne Light" w:hAnsi="Marianne Light" w:cs="Calibri"/>
          <w:color w:val="000000"/>
          <w:sz w:val="20"/>
          <w:szCs w:val="20"/>
        </w:rPr>
        <w:t>Fait</w:t>
      </w:r>
      <w:r w:rsidR="00DE123E">
        <w:rPr>
          <w:rFonts w:ascii="Marianne Light" w:hAnsi="Marianne Light" w:cs="Calibri"/>
          <w:color w:val="000000"/>
          <w:sz w:val="20"/>
          <w:szCs w:val="20"/>
        </w:rPr>
        <w:t xml:space="preserve"> à</w:t>
      </w:r>
      <w:r w:rsidRPr="005875C6">
        <w:rPr>
          <w:rFonts w:ascii="Marianne Light" w:hAnsi="Marianne Light" w:cs="Calibri"/>
          <w:color w:val="000000"/>
          <w:sz w:val="20"/>
          <w:szCs w:val="20"/>
        </w:rPr>
        <w:t xml:space="preserve"> _______________________________</w:t>
      </w:r>
      <w:r w:rsidR="00DE123E">
        <w:rPr>
          <w:rFonts w:ascii="Marianne Light" w:hAnsi="Marianne Light" w:cs="Calibri"/>
          <w:color w:val="000000"/>
          <w:sz w:val="20"/>
          <w:szCs w:val="20"/>
        </w:rPr>
        <w:t>le</w:t>
      </w:r>
      <w:r w:rsidRPr="005875C6">
        <w:rPr>
          <w:rFonts w:ascii="Marianne Light" w:hAnsi="Marianne Light" w:cs="Calibri"/>
          <w:color w:val="000000"/>
          <w:sz w:val="20"/>
          <w:szCs w:val="20"/>
        </w:rPr>
        <w:t>_____________________________</w:t>
      </w:r>
    </w:p>
    <w:p w14:paraId="14E71AA5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00F5ED48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759CA59D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158A7CAA" w14:textId="77777777" w:rsidR="00E94596" w:rsidRPr="005875C6" w:rsidRDefault="00E94596" w:rsidP="00E94596">
      <w:pPr>
        <w:pStyle w:val="Standard"/>
        <w:spacing w:after="0" w:line="240" w:lineRule="auto"/>
        <w:rPr>
          <w:rFonts w:ascii="Marianne Light" w:hAnsi="Marianne Light" w:cs="Calibri"/>
          <w:color w:val="000000"/>
          <w:sz w:val="18"/>
          <w:szCs w:val="18"/>
        </w:rPr>
      </w:pPr>
      <w:r w:rsidRPr="005875C6">
        <w:rPr>
          <w:rFonts w:ascii="Marianne Light" w:hAnsi="Marianne Light" w:cs="Calibri"/>
          <w:color w:val="000000"/>
          <w:sz w:val="18"/>
          <w:szCs w:val="18"/>
        </w:rPr>
        <w:t>Signature et cachet de l’entreprise :</w:t>
      </w:r>
    </w:p>
    <w:p w14:paraId="7CDD31BD" w14:textId="77777777" w:rsidR="00E94596" w:rsidRDefault="00E94596" w:rsidP="00E94596">
      <w:pPr>
        <w:tabs>
          <w:tab w:val="left" w:pos="48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09592AD" w14:textId="382C0393" w:rsidR="00E94596" w:rsidRDefault="00E94596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p w14:paraId="0B91FB18" w14:textId="7A5A6F47" w:rsidR="009E1803" w:rsidRDefault="009E18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p w14:paraId="7A6BF365" w14:textId="1A656C98" w:rsidR="009E1803" w:rsidRDefault="009E18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p w14:paraId="4003C348" w14:textId="6B67869B" w:rsidR="009E1803" w:rsidRDefault="009E18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p w14:paraId="78F736C3" w14:textId="3EFCD2FF" w:rsidR="009E1803" w:rsidRDefault="009E18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sectPr w:rsidR="009E1803" w:rsidSect="00F3429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ABAF" w14:textId="77777777" w:rsidR="00372BD0" w:rsidRDefault="00372BD0">
      <w:r>
        <w:separator/>
      </w:r>
    </w:p>
  </w:endnote>
  <w:endnote w:type="continuationSeparator" w:id="0">
    <w:p w14:paraId="374D48CD" w14:textId="77777777" w:rsidR="00372BD0" w:rsidRDefault="0037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842" w14:textId="588A311B" w:rsidR="0070615B" w:rsidRPr="00F564B3" w:rsidRDefault="00F358EA" w:rsidP="00256223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Marianne" w:hAnsi="Marianne" w:cs="Arial"/>
        <w:sz w:val="18"/>
        <w:szCs w:val="18"/>
      </w:rPr>
    </w:pPr>
    <w:r w:rsidRPr="00F564B3">
      <w:rPr>
        <w:rFonts w:ascii="Marianne" w:hAnsi="Marianne" w:cs="Arial"/>
        <w:sz w:val="18"/>
        <w:szCs w:val="18"/>
      </w:rPr>
      <w:t>Mémoire technique</w:t>
    </w:r>
    <w:r w:rsidR="00716A91" w:rsidRPr="00F564B3">
      <w:rPr>
        <w:rFonts w:ascii="Marianne" w:hAnsi="Marianne" w:cs="Arial"/>
        <w:sz w:val="18"/>
        <w:szCs w:val="18"/>
      </w:rPr>
      <w:t xml:space="preserve"> </w:t>
    </w:r>
    <w:r w:rsidR="005738A5">
      <w:rPr>
        <w:rFonts w:ascii="Marianne" w:hAnsi="Marianne" w:cs="Arial"/>
        <w:sz w:val="18"/>
        <w:szCs w:val="18"/>
      </w:rPr>
      <w:t>MAPA2025.01</w:t>
    </w:r>
    <w:r w:rsidR="0070615B" w:rsidRPr="00F564B3">
      <w:rPr>
        <w:rFonts w:ascii="Marianne" w:hAnsi="Marianne" w:cs="Arial"/>
        <w:sz w:val="18"/>
        <w:szCs w:val="18"/>
      </w:rPr>
      <w:tab/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>PAGE   \* MERGEFORMAT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sz w:val="18"/>
        <w:szCs w:val="18"/>
      </w:rPr>
      <w:fldChar w:fldCharType="end"/>
    </w:r>
    <w:r w:rsidR="0070615B" w:rsidRPr="00F564B3">
      <w:rPr>
        <w:rFonts w:ascii="Marianne" w:hAnsi="Marianne" w:cs="Arial"/>
        <w:sz w:val="18"/>
        <w:szCs w:val="18"/>
      </w:rPr>
      <w:t>/</w:t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 xml:space="preserve"> NUMPAGES   \* MERGEFORMAT 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noProof/>
        <w:sz w:val="18"/>
        <w:szCs w:val="18"/>
      </w:rPr>
      <w:fldChar w:fldCharType="end"/>
    </w:r>
  </w:p>
  <w:p w14:paraId="26897C88" w14:textId="77777777" w:rsidR="0002675F" w:rsidRPr="00F564B3" w:rsidRDefault="0002675F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BC4E" w14:textId="77777777" w:rsidR="00372BD0" w:rsidRDefault="00372BD0">
      <w:r>
        <w:separator/>
      </w:r>
    </w:p>
  </w:footnote>
  <w:footnote w:type="continuationSeparator" w:id="0">
    <w:p w14:paraId="7C1A5110" w14:textId="77777777" w:rsidR="00372BD0" w:rsidRDefault="0037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29984B7E" w:rsidR="0002675F" w:rsidRPr="0070615B" w:rsidRDefault="00256223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AEFE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3ED49EB"/>
    <w:multiLevelType w:val="hybridMultilevel"/>
    <w:tmpl w:val="B58085E8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C3D84"/>
    <w:multiLevelType w:val="hybridMultilevel"/>
    <w:tmpl w:val="E30E1DF4"/>
    <w:lvl w:ilvl="0" w:tplc="BB56563E">
      <w:start w:val="4"/>
      <w:numFmt w:val="decimal"/>
      <w:lvlText w:val="%1-"/>
      <w:lvlJc w:val="left"/>
      <w:pPr>
        <w:ind w:left="1080" w:hanging="360"/>
      </w:pPr>
      <w:rPr>
        <w:rFonts w:hint="default"/>
        <w:b/>
        <w:color w:val="2F5496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2648AD"/>
    <w:multiLevelType w:val="hybridMultilevel"/>
    <w:tmpl w:val="0AEAF7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6575A"/>
    <w:multiLevelType w:val="hybridMultilevel"/>
    <w:tmpl w:val="29AADB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F420B"/>
    <w:multiLevelType w:val="hybridMultilevel"/>
    <w:tmpl w:val="01B61126"/>
    <w:lvl w:ilvl="0" w:tplc="DD6CF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64"/>
    <w:multiLevelType w:val="hybridMultilevel"/>
    <w:tmpl w:val="FE2C6F40"/>
    <w:lvl w:ilvl="0" w:tplc="67E892AC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61441"/>
    <w:multiLevelType w:val="hybridMultilevel"/>
    <w:tmpl w:val="B58085E8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375F1"/>
    <w:multiLevelType w:val="hybridMultilevel"/>
    <w:tmpl w:val="56DC8E8C"/>
    <w:lvl w:ilvl="0" w:tplc="7ED0788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11E24"/>
    <w:multiLevelType w:val="hybridMultilevel"/>
    <w:tmpl w:val="7688E198"/>
    <w:lvl w:ilvl="0" w:tplc="4B0ED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92BD8"/>
    <w:multiLevelType w:val="hybridMultilevel"/>
    <w:tmpl w:val="A43886FA"/>
    <w:lvl w:ilvl="0" w:tplc="639AA03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67ADA"/>
    <w:multiLevelType w:val="hybridMultilevel"/>
    <w:tmpl w:val="B58085E8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B5A6A"/>
    <w:multiLevelType w:val="hybridMultilevel"/>
    <w:tmpl w:val="9C9A4BE4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A3067"/>
    <w:multiLevelType w:val="hybridMultilevel"/>
    <w:tmpl w:val="456CA4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E137E"/>
    <w:multiLevelType w:val="hybridMultilevel"/>
    <w:tmpl w:val="0AEAF7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15ED0"/>
    <w:multiLevelType w:val="hybridMultilevel"/>
    <w:tmpl w:val="B852BC96"/>
    <w:lvl w:ilvl="0" w:tplc="D8607C5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77501"/>
    <w:multiLevelType w:val="hybridMultilevel"/>
    <w:tmpl w:val="DFB8242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27942"/>
    <w:multiLevelType w:val="hybridMultilevel"/>
    <w:tmpl w:val="71DCA862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17350"/>
    <w:multiLevelType w:val="hybridMultilevel"/>
    <w:tmpl w:val="29F644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8128B"/>
    <w:multiLevelType w:val="hybridMultilevel"/>
    <w:tmpl w:val="0AEAF7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23"/>
  </w:num>
  <w:num w:numId="5">
    <w:abstractNumId w:val="7"/>
  </w:num>
  <w:num w:numId="6">
    <w:abstractNumId w:val="15"/>
  </w:num>
  <w:num w:numId="7">
    <w:abstractNumId w:val="18"/>
  </w:num>
  <w:num w:numId="8">
    <w:abstractNumId w:val="21"/>
  </w:num>
  <w:num w:numId="9">
    <w:abstractNumId w:val="22"/>
  </w:num>
  <w:num w:numId="10">
    <w:abstractNumId w:val="8"/>
  </w:num>
  <w:num w:numId="11">
    <w:abstractNumId w:val="12"/>
  </w:num>
  <w:num w:numId="12">
    <w:abstractNumId w:val="17"/>
  </w:num>
  <w:num w:numId="13">
    <w:abstractNumId w:val="4"/>
  </w:num>
  <w:num w:numId="14">
    <w:abstractNumId w:val="10"/>
  </w:num>
  <w:num w:numId="15">
    <w:abstractNumId w:val="3"/>
  </w:num>
  <w:num w:numId="16">
    <w:abstractNumId w:val="14"/>
  </w:num>
  <w:num w:numId="17">
    <w:abstractNumId w:val="16"/>
  </w:num>
  <w:num w:numId="18">
    <w:abstractNumId w:val="20"/>
  </w:num>
  <w:num w:numId="19">
    <w:abstractNumId w:val="6"/>
  </w:num>
  <w:num w:numId="20">
    <w:abstractNumId w:val="19"/>
  </w:num>
  <w:num w:numId="21">
    <w:abstractNumId w:val="24"/>
  </w:num>
  <w:num w:numId="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6427B"/>
    <w:rsid w:val="000645D9"/>
    <w:rsid w:val="00075E7B"/>
    <w:rsid w:val="00084BBC"/>
    <w:rsid w:val="0008541D"/>
    <w:rsid w:val="0008584C"/>
    <w:rsid w:val="00096969"/>
    <w:rsid w:val="00097F65"/>
    <w:rsid w:val="000A2E3E"/>
    <w:rsid w:val="000A6B21"/>
    <w:rsid w:val="000A7D39"/>
    <w:rsid w:val="000B7706"/>
    <w:rsid w:val="000C0513"/>
    <w:rsid w:val="000C072E"/>
    <w:rsid w:val="000C0BCD"/>
    <w:rsid w:val="000C192F"/>
    <w:rsid w:val="000D0401"/>
    <w:rsid w:val="000E0E14"/>
    <w:rsid w:val="000E1710"/>
    <w:rsid w:val="000E2B64"/>
    <w:rsid w:val="000E58CF"/>
    <w:rsid w:val="000E6840"/>
    <w:rsid w:val="000F3961"/>
    <w:rsid w:val="000F563D"/>
    <w:rsid w:val="000F62D8"/>
    <w:rsid w:val="000F6A9C"/>
    <w:rsid w:val="000F7CF3"/>
    <w:rsid w:val="00102265"/>
    <w:rsid w:val="00106DF1"/>
    <w:rsid w:val="00120AC1"/>
    <w:rsid w:val="0012696C"/>
    <w:rsid w:val="00130A37"/>
    <w:rsid w:val="0013718A"/>
    <w:rsid w:val="00140020"/>
    <w:rsid w:val="00147FEC"/>
    <w:rsid w:val="00150F0A"/>
    <w:rsid w:val="00151455"/>
    <w:rsid w:val="001578EE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95088"/>
    <w:rsid w:val="001A1873"/>
    <w:rsid w:val="001A1C6C"/>
    <w:rsid w:val="001A4523"/>
    <w:rsid w:val="001A45D6"/>
    <w:rsid w:val="001A4807"/>
    <w:rsid w:val="001A7EF4"/>
    <w:rsid w:val="001B21AC"/>
    <w:rsid w:val="001B2A36"/>
    <w:rsid w:val="001B521D"/>
    <w:rsid w:val="001D190B"/>
    <w:rsid w:val="001D2C17"/>
    <w:rsid w:val="001D2D72"/>
    <w:rsid w:val="001D478F"/>
    <w:rsid w:val="001D5EEA"/>
    <w:rsid w:val="001E0629"/>
    <w:rsid w:val="001E085C"/>
    <w:rsid w:val="001E3927"/>
    <w:rsid w:val="001E3D56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050F"/>
    <w:rsid w:val="00232EBC"/>
    <w:rsid w:val="00234A34"/>
    <w:rsid w:val="00235BD5"/>
    <w:rsid w:val="0024321C"/>
    <w:rsid w:val="00244C62"/>
    <w:rsid w:val="002458B7"/>
    <w:rsid w:val="00246CB6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6D42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0797A"/>
    <w:rsid w:val="00311089"/>
    <w:rsid w:val="00321410"/>
    <w:rsid w:val="00321593"/>
    <w:rsid w:val="00322238"/>
    <w:rsid w:val="00322B3E"/>
    <w:rsid w:val="0032382A"/>
    <w:rsid w:val="00324E90"/>
    <w:rsid w:val="0032572C"/>
    <w:rsid w:val="00340041"/>
    <w:rsid w:val="003420AF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72BD0"/>
    <w:rsid w:val="003819B6"/>
    <w:rsid w:val="00391F81"/>
    <w:rsid w:val="003921F2"/>
    <w:rsid w:val="00393425"/>
    <w:rsid w:val="0039618E"/>
    <w:rsid w:val="003A4C43"/>
    <w:rsid w:val="003A4C78"/>
    <w:rsid w:val="003A4EB6"/>
    <w:rsid w:val="003B72E5"/>
    <w:rsid w:val="003C34F7"/>
    <w:rsid w:val="003C3A9F"/>
    <w:rsid w:val="003C3F1E"/>
    <w:rsid w:val="003C7159"/>
    <w:rsid w:val="003D3C96"/>
    <w:rsid w:val="003D460F"/>
    <w:rsid w:val="003D4630"/>
    <w:rsid w:val="003D7712"/>
    <w:rsid w:val="003E1968"/>
    <w:rsid w:val="003E2179"/>
    <w:rsid w:val="003F6973"/>
    <w:rsid w:val="00404826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09AC"/>
    <w:rsid w:val="004A3175"/>
    <w:rsid w:val="004A318D"/>
    <w:rsid w:val="004B0483"/>
    <w:rsid w:val="004B6CEF"/>
    <w:rsid w:val="004C257C"/>
    <w:rsid w:val="004C54FF"/>
    <w:rsid w:val="004C5EA7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22C75"/>
    <w:rsid w:val="00523270"/>
    <w:rsid w:val="00523CC3"/>
    <w:rsid w:val="00523EFE"/>
    <w:rsid w:val="00527DBD"/>
    <w:rsid w:val="00530B99"/>
    <w:rsid w:val="00533125"/>
    <w:rsid w:val="005331D5"/>
    <w:rsid w:val="00534B96"/>
    <w:rsid w:val="00534DE4"/>
    <w:rsid w:val="00535183"/>
    <w:rsid w:val="00541061"/>
    <w:rsid w:val="00546AA9"/>
    <w:rsid w:val="00554377"/>
    <w:rsid w:val="00556BAE"/>
    <w:rsid w:val="005579CD"/>
    <w:rsid w:val="00560B71"/>
    <w:rsid w:val="00572D61"/>
    <w:rsid w:val="005738A5"/>
    <w:rsid w:val="0057628C"/>
    <w:rsid w:val="005818E4"/>
    <w:rsid w:val="00581F71"/>
    <w:rsid w:val="0058575D"/>
    <w:rsid w:val="005875C6"/>
    <w:rsid w:val="0059035D"/>
    <w:rsid w:val="00591988"/>
    <w:rsid w:val="00591DEF"/>
    <w:rsid w:val="00594B75"/>
    <w:rsid w:val="00596D74"/>
    <w:rsid w:val="005A1097"/>
    <w:rsid w:val="005A30BE"/>
    <w:rsid w:val="005A43DC"/>
    <w:rsid w:val="005A4B51"/>
    <w:rsid w:val="005B1CFB"/>
    <w:rsid w:val="005B2AB9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5035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590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4972"/>
    <w:rsid w:val="0070615B"/>
    <w:rsid w:val="00707FBA"/>
    <w:rsid w:val="00710784"/>
    <w:rsid w:val="00711CAA"/>
    <w:rsid w:val="00712B4F"/>
    <w:rsid w:val="00714CB0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171A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0B0F"/>
    <w:rsid w:val="007D1930"/>
    <w:rsid w:val="007D1DBE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29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52CF"/>
    <w:rsid w:val="00867848"/>
    <w:rsid w:val="008710FE"/>
    <w:rsid w:val="008712F4"/>
    <w:rsid w:val="0088388E"/>
    <w:rsid w:val="00883DEA"/>
    <w:rsid w:val="008853F4"/>
    <w:rsid w:val="00886182"/>
    <w:rsid w:val="008865EF"/>
    <w:rsid w:val="008865F9"/>
    <w:rsid w:val="00887B32"/>
    <w:rsid w:val="00893523"/>
    <w:rsid w:val="00894812"/>
    <w:rsid w:val="00894B97"/>
    <w:rsid w:val="008A18E6"/>
    <w:rsid w:val="008A1CB1"/>
    <w:rsid w:val="008A4743"/>
    <w:rsid w:val="008A6578"/>
    <w:rsid w:val="008A7251"/>
    <w:rsid w:val="008A7BE4"/>
    <w:rsid w:val="008B7B8B"/>
    <w:rsid w:val="008C056A"/>
    <w:rsid w:val="008C4324"/>
    <w:rsid w:val="008D3390"/>
    <w:rsid w:val="008D5DA6"/>
    <w:rsid w:val="008D761B"/>
    <w:rsid w:val="008E09B5"/>
    <w:rsid w:val="008F3B7B"/>
    <w:rsid w:val="008F45EF"/>
    <w:rsid w:val="008F467D"/>
    <w:rsid w:val="008F5038"/>
    <w:rsid w:val="008F6B80"/>
    <w:rsid w:val="00910784"/>
    <w:rsid w:val="00912994"/>
    <w:rsid w:val="00922C93"/>
    <w:rsid w:val="00926A1D"/>
    <w:rsid w:val="00936DE7"/>
    <w:rsid w:val="00940B05"/>
    <w:rsid w:val="009479F1"/>
    <w:rsid w:val="009544CA"/>
    <w:rsid w:val="0095508A"/>
    <w:rsid w:val="00956139"/>
    <w:rsid w:val="00956369"/>
    <w:rsid w:val="009609C9"/>
    <w:rsid w:val="00961C6F"/>
    <w:rsid w:val="00966D8E"/>
    <w:rsid w:val="00967390"/>
    <w:rsid w:val="00971F9C"/>
    <w:rsid w:val="00984DA5"/>
    <w:rsid w:val="00987085"/>
    <w:rsid w:val="00994A7D"/>
    <w:rsid w:val="00997237"/>
    <w:rsid w:val="009A291C"/>
    <w:rsid w:val="009B3103"/>
    <w:rsid w:val="009B3469"/>
    <w:rsid w:val="009B4238"/>
    <w:rsid w:val="009B4B9B"/>
    <w:rsid w:val="009B6E82"/>
    <w:rsid w:val="009B6FEC"/>
    <w:rsid w:val="009C0A02"/>
    <w:rsid w:val="009C4251"/>
    <w:rsid w:val="009C63D7"/>
    <w:rsid w:val="009E1803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1968"/>
    <w:rsid w:val="00A23AA1"/>
    <w:rsid w:val="00A2447E"/>
    <w:rsid w:val="00A24A3D"/>
    <w:rsid w:val="00A25F04"/>
    <w:rsid w:val="00A25FBC"/>
    <w:rsid w:val="00A270C7"/>
    <w:rsid w:val="00A35061"/>
    <w:rsid w:val="00A35AA5"/>
    <w:rsid w:val="00A369A7"/>
    <w:rsid w:val="00A372B5"/>
    <w:rsid w:val="00A45678"/>
    <w:rsid w:val="00A46BF3"/>
    <w:rsid w:val="00A4778F"/>
    <w:rsid w:val="00A57AD9"/>
    <w:rsid w:val="00A62A4D"/>
    <w:rsid w:val="00A63007"/>
    <w:rsid w:val="00A63396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3795"/>
    <w:rsid w:val="00AA4213"/>
    <w:rsid w:val="00AA7BF4"/>
    <w:rsid w:val="00AB01EE"/>
    <w:rsid w:val="00AC2806"/>
    <w:rsid w:val="00AC5C9D"/>
    <w:rsid w:val="00AD026A"/>
    <w:rsid w:val="00AD0873"/>
    <w:rsid w:val="00AD1107"/>
    <w:rsid w:val="00AD4297"/>
    <w:rsid w:val="00AE1798"/>
    <w:rsid w:val="00AE5FD3"/>
    <w:rsid w:val="00AE7160"/>
    <w:rsid w:val="00AE7F42"/>
    <w:rsid w:val="00AF1199"/>
    <w:rsid w:val="00AF643E"/>
    <w:rsid w:val="00B04136"/>
    <w:rsid w:val="00B04B2F"/>
    <w:rsid w:val="00B0762E"/>
    <w:rsid w:val="00B078FF"/>
    <w:rsid w:val="00B126CE"/>
    <w:rsid w:val="00B13C3D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5035"/>
    <w:rsid w:val="00BE6D43"/>
    <w:rsid w:val="00BF1BE7"/>
    <w:rsid w:val="00BF5D01"/>
    <w:rsid w:val="00C013AD"/>
    <w:rsid w:val="00C0322E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31A9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6C"/>
    <w:rsid w:val="00C87F98"/>
    <w:rsid w:val="00C93CC5"/>
    <w:rsid w:val="00C94775"/>
    <w:rsid w:val="00CB50EB"/>
    <w:rsid w:val="00CC41DC"/>
    <w:rsid w:val="00CC4FD0"/>
    <w:rsid w:val="00CC5A6F"/>
    <w:rsid w:val="00CC5FBF"/>
    <w:rsid w:val="00CD40B0"/>
    <w:rsid w:val="00CD570A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4EB7"/>
    <w:rsid w:val="00D876F2"/>
    <w:rsid w:val="00D908BD"/>
    <w:rsid w:val="00D96C17"/>
    <w:rsid w:val="00DA2B66"/>
    <w:rsid w:val="00DA58F0"/>
    <w:rsid w:val="00DA7097"/>
    <w:rsid w:val="00DB7744"/>
    <w:rsid w:val="00DC0262"/>
    <w:rsid w:val="00DC18D5"/>
    <w:rsid w:val="00DC7C30"/>
    <w:rsid w:val="00DD0033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123E"/>
    <w:rsid w:val="00DE39CB"/>
    <w:rsid w:val="00DF59EB"/>
    <w:rsid w:val="00DF7005"/>
    <w:rsid w:val="00E040D5"/>
    <w:rsid w:val="00E04D91"/>
    <w:rsid w:val="00E06531"/>
    <w:rsid w:val="00E14D93"/>
    <w:rsid w:val="00E2083C"/>
    <w:rsid w:val="00E2263C"/>
    <w:rsid w:val="00E30743"/>
    <w:rsid w:val="00E31752"/>
    <w:rsid w:val="00E32C96"/>
    <w:rsid w:val="00E350FB"/>
    <w:rsid w:val="00E415AF"/>
    <w:rsid w:val="00E448BF"/>
    <w:rsid w:val="00E51AC7"/>
    <w:rsid w:val="00E61C60"/>
    <w:rsid w:val="00E63804"/>
    <w:rsid w:val="00E63AB5"/>
    <w:rsid w:val="00E72A68"/>
    <w:rsid w:val="00E730BD"/>
    <w:rsid w:val="00E740BE"/>
    <w:rsid w:val="00E8015F"/>
    <w:rsid w:val="00E80CFF"/>
    <w:rsid w:val="00E86446"/>
    <w:rsid w:val="00E87A73"/>
    <w:rsid w:val="00E94596"/>
    <w:rsid w:val="00E96073"/>
    <w:rsid w:val="00EA05CE"/>
    <w:rsid w:val="00EA226B"/>
    <w:rsid w:val="00EA3BA1"/>
    <w:rsid w:val="00EA3F2A"/>
    <w:rsid w:val="00EA7E06"/>
    <w:rsid w:val="00EA7F5E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1FF1"/>
    <w:rsid w:val="00F03004"/>
    <w:rsid w:val="00F07A3B"/>
    <w:rsid w:val="00F07F54"/>
    <w:rsid w:val="00F15927"/>
    <w:rsid w:val="00F159DE"/>
    <w:rsid w:val="00F22483"/>
    <w:rsid w:val="00F34295"/>
    <w:rsid w:val="00F358EA"/>
    <w:rsid w:val="00F35ED9"/>
    <w:rsid w:val="00F447EB"/>
    <w:rsid w:val="00F470DE"/>
    <w:rsid w:val="00F47A54"/>
    <w:rsid w:val="00F53B86"/>
    <w:rsid w:val="00F55B99"/>
    <w:rsid w:val="00F564B3"/>
    <w:rsid w:val="00F60168"/>
    <w:rsid w:val="00F6267E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4C22"/>
    <w:rsid w:val="00FE4E81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link w:val="Titre3Car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aliases w:val="Paragraphe  revu,Paragraphe de liste1,Bullets,references,Numbered paragraph,List Paragraph1,Medium Grid 1 - Accent 21,LIST OF TABLES.,List Paragraph2,List Paragraph-ExecSummary,Medium Grid 1 Accent 2,List Paragraph11,VerdanaParagraph"/>
    <w:basedOn w:val="Normal"/>
    <w:link w:val="ParagraphedelisteCar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aliases w:val="Paragraphe  revu Car,Paragraphe de liste1 Car,Bullets Car,references Car,Numbered paragraph Car,List Paragraph1 Car,Medium Grid 1 - Accent 21 Car,LIST OF TABLES. Car,List Paragraph2 Car,List Paragraph-ExecSummary Car"/>
    <w:basedOn w:val="Policepardfaut"/>
    <w:link w:val="Paragraphedeliste"/>
    <w:uiPriority w:val="99"/>
    <w:qFormat/>
    <w:rsid w:val="00522C75"/>
    <w:rPr>
      <w:sz w:val="24"/>
      <w:szCs w:val="24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rsid w:val="00A25FB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8314-337F-47B0-8317-63BFFDB4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572</Words>
  <Characters>14131</Characters>
  <Application>Microsoft Office Word</Application>
  <DocSecurity>0</DocSecurity>
  <Lines>117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Représentant de l’état : Le Président de l’Université Paris 8</vt:lpstr>
    </vt:vector>
  </TitlesOfParts>
  <Company>univ_Paris8</Company>
  <LinksUpToDate>false</LinksUpToDate>
  <CharactersWithSpaces>14674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DUBARRY-BARBE Danièle</cp:lastModifiedBy>
  <cp:revision>12</cp:revision>
  <cp:lastPrinted>2025-01-30T14:16:00Z</cp:lastPrinted>
  <dcterms:created xsi:type="dcterms:W3CDTF">2025-01-29T15:41:00Z</dcterms:created>
  <dcterms:modified xsi:type="dcterms:W3CDTF">2025-02-03T13:14:00Z</dcterms:modified>
</cp:coreProperties>
</file>