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C240B0" w:rsidRDefault="00494497">
      <w:pPr>
        <w:jc w:val="center"/>
        <w:rPr>
          <w:rFonts w:ascii="Arial" w:hAnsi="Arial" w:cs="Arial"/>
          <w:b/>
          <w:sz w:val="24"/>
          <w:szCs w:val="24"/>
        </w:rPr>
      </w:pPr>
      <w:r>
        <w:rPr>
          <w:noProof/>
        </w:rPr>
        <mc:AlternateContent>
          <mc:Choice Requires="wpg">
            <w:drawing>
              <wp:inline distT="0" distB="0" distL="0" distR="0">
                <wp:extent cx="2476500" cy="1696728"/>
                <wp:effectExtent l="0" t="0" r="0" b="0"/>
                <wp:docPr id="2" name="Image 3"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229035" name="Image 3" descr="Une image contenant texte, Police, logo, Graphique&#10;&#10;Description générée automatiquement"/>
                        <pic:cNvPicPr>
                          <a:picLocks noChangeAspect="1"/>
                        </pic:cNvPicPr>
                      </pic:nvPicPr>
                      <pic:blipFill>
                        <a:blip r:embed="rId8"/>
                        <a:stretch/>
                      </pic:blipFill>
                      <pic:spPr bwMode="auto">
                        <a:xfrm>
                          <a:off x="0" y="0"/>
                          <a:ext cx="2492579" cy="1707744"/>
                        </a:xfrm>
                        <a:prstGeom prst="rect">
                          <a:avLst/>
                        </a:prstGeom>
                      </pic:spPr>
                    </pic:pic>
                  </a:graphicData>
                </a:graphic>
              </wp:inline>
            </w:drawing>
          </mc:Choice>
          <mc:Fallback xmlns:w16sdtdh="http://schemas.microsoft.com/office/word/2020/wordml/sdtdatahash" xmlns:w16="http://schemas.microsoft.com/office/word/2018/wordml"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95.00pt;height:133.60pt;mso-wrap-distance-left:0.00pt;mso-wrap-distance-top:0.00pt;mso-wrap-distance-right:0.00pt;mso-wrap-distance-bottom:0.00pt;z-index:1;" stroked="false">
                <v:imagedata r:id="rId12" o:title=""/>
                <o:lock v:ext="edit" rotation="t"/>
              </v:shape>
            </w:pict>
          </mc:Fallback>
        </mc:AlternateContent>
      </w:r>
    </w:p>
    <w:p w:rsidR="00C240B0" w:rsidRDefault="00C240B0">
      <w:pPr>
        <w:tabs>
          <w:tab w:val="left" w:pos="2268"/>
          <w:tab w:val="left" w:pos="5131"/>
          <w:tab w:val="left" w:pos="9695"/>
        </w:tabs>
        <w:ind w:right="-1"/>
        <w:jc w:val="both"/>
        <w:rPr>
          <w:rFonts w:ascii="Arial" w:hAnsi="Arial" w:cs="Arial"/>
          <w:b/>
          <w:sz w:val="24"/>
          <w:szCs w:val="24"/>
        </w:rPr>
      </w:pPr>
    </w:p>
    <w:p w:rsidR="00C240B0" w:rsidRDefault="00C240B0">
      <w:pPr>
        <w:tabs>
          <w:tab w:val="left" w:pos="2268"/>
          <w:tab w:val="left" w:pos="5131"/>
          <w:tab w:val="left" w:pos="9695"/>
        </w:tabs>
        <w:ind w:right="-1"/>
        <w:jc w:val="both"/>
        <w:rPr>
          <w:rFonts w:ascii="Arial" w:hAnsi="Arial" w:cs="Arial"/>
          <w:b/>
          <w:sz w:val="24"/>
          <w:szCs w:val="24"/>
        </w:rPr>
      </w:pPr>
    </w:p>
    <w:p w:rsidR="00C240B0" w:rsidRDefault="00C240B0">
      <w:pPr>
        <w:tabs>
          <w:tab w:val="left" w:pos="2268"/>
          <w:tab w:val="left" w:pos="5131"/>
          <w:tab w:val="left" w:pos="9695"/>
        </w:tabs>
        <w:ind w:right="-1"/>
        <w:jc w:val="center"/>
        <w:rPr>
          <w:rFonts w:ascii="Arial" w:hAnsi="Arial" w:cs="Arial"/>
          <w:b/>
          <w:sz w:val="24"/>
          <w:szCs w:val="24"/>
        </w:rPr>
      </w:pPr>
    </w:p>
    <w:p w:rsidR="00C240B0" w:rsidRDefault="00494497">
      <w:pPr>
        <w:pStyle w:val="Titrepage"/>
      </w:pPr>
      <w:r>
        <w:t>agence francaise de lutte contre le dopage</w:t>
      </w:r>
    </w:p>
    <w:p w:rsidR="00C240B0" w:rsidRDefault="00C240B0">
      <w:pPr>
        <w:pBdr>
          <w:bottom w:val="single" w:sz="6" w:space="1" w:color="000000"/>
        </w:pBdr>
        <w:tabs>
          <w:tab w:val="left" w:pos="9695"/>
        </w:tabs>
        <w:ind w:right="-1"/>
        <w:jc w:val="center"/>
        <w:rPr>
          <w:rFonts w:ascii="Arial" w:hAnsi="Arial" w:cs="Arial"/>
          <w:b/>
          <w:i/>
          <w:sz w:val="40"/>
          <w:szCs w:val="40"/>
        </w:rPr>
      </w:pPr>
    </w:p>
    <w:p w:rsidR="00C240B0" w:rsidRDefault="00C240B0">
      <w:pPr>
        <w:tabs>
          <w:tab w:val="left" w:pos="2268"/>
          <w:tab w:val="left" w:pos="5131"/>
          <w:tab w:val="left" w:pos="9695"/>
        </w:tabs>
        <w:ind w:right="-1"/>
        <w:rPr>
          <w:rFonts w:ascii="Arial" w:hAnsi="Arial" w:cs="Arial"/>
          <w:b/>
          <w:sz w:val="40"/>
          <w:szCs w:val="40"/>
        </w:rPr>
      </w:pPr>
    </w:p>
    <w:p w:rsidR="00C240B0" w:rsidRDefault="00494497">
      <w:pPr>
        <w:pStyle w:val="Titre4"/>
        <w:rPr>
          <w:rFonts w:cs="Arial"/>
          <w:b/>
          <w:i/>
          <w:sz w:val="40"/>
          <w:szCs w:val="40"/>
        </w:rPr>
      </w:pPr>
      <w:r>
        <w:rPr>
          <w:rFonts w:cs="Arial"/>
          <w:b/>
          <w:i/>
          <w:sz w:val="40"/>
          <w:szCs w:val="40"/>
        </w:rPr>
        <w:t>CAdre de réponse financier</w:t>
      </w:r>
    </w:p>
    <w:p w:rsidR="00C240B0" w:rsidRDefault="00C240B0">
      <w:pPr>
        <w:pStyle w:val="Titre4"/>
        <w:rPr>
          <w:rFonts w:cs="Arial"/>
          <w:b/>
          <w:i/>
          <w:sz w:val="40"/>
          <w:szCs w:val="40"/>
        </w:rPr>
      </w:pPr>
    </w:p>
    <w:p w:rsidR="00C240B0" w:rsidRDefault="00C240B0">
      <w:pPr>
        <w:pBdr>
          <w:bottom w:val="single" w:sz="6" w:space="1" w:color="000000"/>
        </w:pBdr>
        <w:rPr>
          <w:rFonts w:ascii="Arial" w:hAnsi="Arial" w:cs="Arial"/>
          <w:b/>
          <w:i/>
          <w:sz w:val="40"/>
          <w:szCs w:val="40"/>
        </w:rPr>
      </w:pPr>
    </w:p>
    <w:p w:rsidR="00C240B0" w:rsidRDefault="00C240B0">
      <w:pPr>
        <w:rPr>
          <w:rFonts w:ascii="Arial" w:hAnsi="Arial" w:cs="Arial"/>
          <w:b/>
          <w:sz w:val="40"/>
          <w:szCs w:val="40"/>
        </w:rPr>
      </w:pPr>
    </w:p>
    <w:p w:rsidR="00C240B0" w:rsidRDefault="00494497">
      <w:pPr>
        <w:pStyle w:val="En-tte"/>
        <w:jc w:val="center"/>
        <w:rPr>
          <w:rFonts w:asciiTheme="minorHAnsi" w:hAnsiTheme="minorHAnsi" w:cstheme="minorHAnsi"/>
          <w:b/>
          <w:sz w:val="36"/>
          <w:szCs w:val="36"/>
        </w:rPr>
      </w:pPr>
      <w:proofErr w:type="gramStart"/>
      <w:r>
        <w:rPr>
          <w:b/>
          <w:sz w:val="36"/>
          <w:szCs w:val="36"/>
        </w:rPr>
        <w:t>«</w:t>
      </w:r>
      <w:r>
        <w:rPr>
          <w:b/>
          <w:i/>
          <w:sz w:val="36"/>
          <w:szCs w:val="36"/>
        </w:rPr>
        <w:t>Infogérance</w:t>
      </w:r>
      <w:proofErr w:type="gramEnd"/>
      <w:r>
        <w:rPr>
          <w:b/>
          <w:i/>
          <w:sz w:val="36"/>
          <w:szCs w:val="36"/>
        </w:rPr>
        <w:t xml:space="preserve"> &amp; hébergement du système informatique de l’AFLD </w:t>
      </w:r>
      <w:r>
        <w:rPr>
          <w:rFonts w:asciiTheme="minorHAnsi" w:hAnsiTheme="minorHAnsi" w:cstheme="minorHAnsi"/>
          <w:b/>
          <w:sz w:val="36"/>
          <w:szCs w:val="36"/>
        </w:rPr>
        <w:t>»</w:t>
      </w:r>
    </w:p>
    <w:p w:rsidR="00C240B0" w:rsidRDefault="00C240B0">
      <w:pPr>
        <w:pStyle w:val="En-tte"/>
        <w:tabs>
          <w:tab w:val="clear" w:pos="4536"/>
          <w:tab w:val="clear" w:pos="9072"/>
        </w:tabs>
        <w:jc w:val="center"/>
        <w:rPr>
          <w:rFonts w:asciiTheme="minorHAnsi" w:hAnsiTheme="minorHAnsi" w:cstheme="minorHAnsi"/>
          <w:b/>
          <w:sz w:val="36"/>
          <w:szCs w:val="36"/>
        </w:rPr>
      </w:pPr>
    </w:p>
    <w:p w:rsidR="00C240B0" w:rsidRDefault="00494497">
      <w:pPr>
        <w:pStyle w:val="En-tte"/>
        <w:jc w:val="center"/>
        <w:rPr>
          <w:rFonts w:asciiTheme="minorHAnsi" w:hAnsiTheme="minorHAnsi" w:cstheme="minorHAnsi"/>
          <w:b/>
          <w:sz w:val="36"/>
          <w:szCs w:val="36"/>
        </w:rPr>
      </w:pPr>
      <w:r>
        <w:rPr>
          <w:rFonts w:asciiTheme="minorHAnsi" w:hAnsiTheme="minorHAnsi" w:cstheme="minorHAnsi"/>
          <w:b/>
          <w:sz w:val="36"/>
          <w:szCs w:val="36"/>
        </w:rPr>
        <w:t xml:space="preserve"> </w:t>
      </w:r>
    </w:p>
    <w:p w:rsidR="00C240B0" w:rsidRDefault="00C240B0">
      <w:pPr>
        <w:rPr>
          <w:rFonts w:ascii="Arial" w:hAnsi="Arial" w:cs="Arial"/>
          <w:b/>
          <w:bCs/>
          <w:i/>
          <w:iCs/>
          <w:sz w:val="36"/>
          <w:szCs w:val="36"/>
        </w:rPr>
      </w:pPr>
    </w:p>
    <w:p w:rsidR="00C240B0" w:rsidRDefault="00494497">
      <w:pPr>
        <w:jc w:val="center"/>
        <w:rPr>
          <w:rFonts w:ascii="Arial" w:hAnsi="Arial" w:cs="Arial"/>
          <w:b/>
          <w:sz w:val="40"/>
          <w:szCs w:val="40"/>
        </w:rPr>
      </w:pPr>
      <w:r>
        <w:rPr>
          <w:rFonts w:ascii="Arial" w:hAnsi="Arial" w:cs="Arial"/>
          <w:b/>
          <w:sz w:val="40"/>
          <w:szCs w:val="40"/>
        </w:rPr>
        <w:t>2025-SG-INFOGEH-01</w:t>
      </w:r>
    </w:p>
    <w:p w:rsidR="00C240B0" w:rsidRDefault="00C240B0">
      <w:pPr>
        <w:jc w:val="center"/>
        <w:rPr>
          <w:rFonts w:ascii="Arial" w:hAnsi="Arial" w:cs="Arial"/>
          <w:b/>
          <w:sz w:val="40"/>
          <w:szCs w:val="40"/>
        </w:rPr>
      </w:pPr>
    </w:p>
    <w:p w:rsidR="00C240B0" w:rsidRDefault="00494497">
      <w:pPr>
        <w:jc w:val="center"/>
        <w:rPr>
          <w:rFonts w:ascii="Arial" w:hAnsi="Arial" w:cs="Arial"/>
          <w:b/>
          <w:sz w:val="40"/>
          <w:szCs w:val="40"/>
        </w:rPr>
        <w:sectPr w:rsidR="00C240B0">
          <w:footerReference w:type="even" r:id="rId13"/>
          <w:footerReference w:type="default" r:id="rId14"/>
          <w:pgSz w:w="11906" w:h="16838"/>
          <w:pgMar w:top="1134" w:right="1417" w:bottom="1417" w:left="1417" w:header="708" w:footer="708" w:gutter="0"/>
          <w:cols w:space="708"/>
        </w:sectPr>
      </w:pPr>
      <w:r>
        <w:rPr>
          <w:rFonts w:ascii="Arial" w:hAnsi="Arial" w:cs="Arial"/>
          <w:b/>
          <w:sz w:val="40"/>
          <w:szCs w:val="40"/>
        </w:rPr>
        <w:t>Lot 1 – INFOGERANCE</w:t>
      </w:r>
    </w:p>
    <w:p w:rsidR="00C240B0" w:rsidRDefault="00494497">
      <w:pPr>
        <w:pStyle w:val="Paragraphedeliste"/>
        <w:numPr>
          <w:ilvl w:val="0"/>
          <w:numId w:val="1"/>
        </w:numPr>
        <w:jc w:val="both"/>
        <w:rPr>
          <w:b/>
        </w:rPr>
      </w:pPr>
      <w:r>
        <w:rPr>
          <w:b/>
        </w:rPr>
        <w:lastRenderedPageBreak/>
        <w:t>Introduction</w:t>
      </w:r>
    </w:p>
    <w:p w:rsidR="00C240B0" w:rsidRDefault="00494497">
      <w:pPr>
        <w:jc w:val="both"/>
      </w:pPr>
      <w:r>
        <w:t>Le présent cadre de répon</w:t>
      </w:r>
      <w:r>
        <w:t>se financier est destiné à permettre aux candidats de présenter leur proposition de prix. Il doit être renseigné et remis par le candidat dans le pli contenant leur offre.</w:t>
      </w:r>
    </w:p>
    <w:p w:rsidR="00C240B0" w:rsidRDefault="00494497">
      <w:pPr>
        <w:jc w:val="both"/>
      </w:pPr>
      <w:r>
        <w:t>Ce cadre de réponse financier doit impérativement et strictement être complété par l</w:t>
      </w:r>
      <w:r>
        <w:t>e candidat et fourni en annexe à l’acte d’engagement sous peine de non-conformité de l’offre.</w:t>
      </w:r>
    </w:p>
    <w:p w:rsidR="00C240B0" w:rsidRDefault="00494497">
      <w:pPr>
        <w:jc w:val="both"/>
      </w:pPr>
      <w:r>
        <w:t>L’offre financière du candidat est formulée en respectant strictement le présent cadre de réponse.</w:t>
      </w:r>
    </w:p>
    <w:p w:rsidR="00C240B0" w:rsidRDefault="00494497">
      <w:pPr>
        <w:jc w:val="both"/>
      </w:pPr>
      <w:r>
        <w:t>Le candidat utilise expressément le présent cadre de réponse et</w:t>
      </w:r>
      <w:r>
        <w:t xml:space="preserve"> répond dans chacune des cases. Il peut apporter les éléments d'explication qu'il souhaite dans un document joint en annexe.</w:t>
      </w:r>
    </w:p>
    <w:p w:rsidR="00C240B0" w:rsidRDefault="00494497">
      <w:pPr>
        <w:jc w:val="both"/>
      </w:pPr>
      <w:r>
        <w:t>Les documents joints par le candidat en annexes ne se substituent en aucun cas au présent cadre de réponse qui doit, en tout état d</w:t>
      </w:r>
      <w:r>
        <w:t xml:space="preserve">e cause, être complètement rempli. </w:t>
      </w:r>
    </w:p>
    <w:p w:rsidR="00C240B0" w:rsidRDefault="00494497">
      <w:pPr>
        <w:jc w:val="both"/>
      </w:pPr>
      <w:r>
        <w:t>Le candidat ne doit en aucun cas modifier la structure du présent cadre de réponse.</w:t>
      </w:r>
    </w:p>
    <w:p w:rsidR="00C240B0" w:rsidRDefault="00494497">
      <w:pPr>
        <w:jc w:val="both"/>
      </w:pPr>
      <w:r>
        <w:t>Tous les frais relatifs aux prestations attendues sont à inclure dans les prix.</w:t>
      </w:r>
    </w:p>
    <w:p w:rsidR="00C240B0" w:rsidRDefault="00C240B0">
      <w:pPr>
        <w:jc w:val="both"/>
      </w:pPr>
    </w:p>
    <w:p w:rsidR="00C240B0" w:rsidRDefault="00C240B0">
      <w:pPr>
        <w:jc w:val="both"/>
      </w:pPr>
    </w:p>
    <w:p w:rsidR="00C240B0" w:rsidRDefault="00C240B0">
      <w:pPr>
        <w:jc w:val="both"/>
      </w:pPr>
    </w:p>
    <w:p w:rsidR="00C240B0" w:rsidRDefault="00494497">
      <w:pPr>
        <w:pStyle w:val="Paragraphedeliste"/>
        <w:numPr>
          <w:ilvl w:val="0"/>
          <w:numId w:val="1"/>
        </w:numPr>
        <w:rPr>
          <w:b/>
        </w:rPr>
      </w:pPr>
      <w:r>
        <w:rPr>
          <w:b/>
        </w:rPr>
        <w:t>Prestations à prix forfaitaire</w:t>
      </w:r>
    </w:p>
    <w:p w:rsidR="00C240B0" w:rsidRDefault="00494497">
      <w:pPr>
        <w:rPr>
          <w:b/>
          <w:color w:val="365F91" w:themeColor="accent1" w:themeShade="BF"/>
        </w:rPr>
      </w:pPr>
      <w:r>
        <w:rPr>
          <w:b/>
          <w:color w:val="365F91" w:themeColor="accent1" w:themeShade="BF"/>
        </w:rPr>
        <w:t>Infogérance</w:t>
      </w:r>
    </w:p>
    <w:tbl>
      <w:tblPr>
        <w:tblStyle w:val="Grillemoyenne3-Accent4"/>
        <w:tblW w:w="9913" w:type="dxa"/>
        <w:tblLook w:val="04A0" w:firstRow="1" w:lastRow="0" w:firstColumn="1" w:lastColumn="0" w:noHBand="0" w:noVBand="1"/>
      </w:tblPr>
      <w:tblGrid>
        <w:gridCol w:w="4385"/>
        <w:gridCol w:w="2409"/>
        <w:gridCol w:w="1843"/>
        <w:gridCol w:w="1276"/>
      </w:tblGrid>
      <w:tr w:rsidR="00C240B0" w:rsidTr="00C240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5" w:type="dxa"/>
          </w:tcPr>
          <w:p w:rsidR="00C240B0" w:rsidRDefault="00494497">
            <w:pPr>
              <w:jc w:val="center"/>
              <w:rPr>
                <w:sz w:val="16"/>
                <w:szCs w:val="16"/>
              </w:rPr>
            </w:pPr>
            <w:r>
              <w:rPr>
                <w:b w:val="0"/>
                <w:sz w:val="16"/>
                <w:szCs w:val="16"/>
              </w:rPr>
              <w:t>Libellé/Li</w:t>
            </w:r>
            <w:r>
              <w:rPr>
                <w:b w:val="0"/>
                <w:sz w:val="16"/>
                <w:szCs w:val="16"/>
              </w:rPr>
              <w:t>vrables</w:t>
            </w:r>
          </w:p>
        </w:tc>
        <w:tc>
          <w:tcPr>
            <w:tcW w:w="2409" w:type="dxa"/>
          </w:tcPr>
          <w:p w:rsidR="00C240B0" w:rsidRDefault="00494497">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 xml:space="preserve">Profils et charges </w:t>
            </w:r>
          </w:p>
          <w:p w:rsidR="00C240B0" w:rsidRDefault="00494497">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w:t>
            </w:r>
            <w:proofErr w:type="gramStart"/>
            <w:r>
              <w:rPr>
                <w:sz w:val="16"/>
                <w:szCs w:val="16"/>
              </w:rPr>
              <w:t>ex</w:t>
            </w:r>
            <w:proofErr w:type="gramEnd"/>
            <w:r>
              <w:rPr>
                <w:sz w:val="16"/>
                <w:szCs w:val="16"/>
              </w:rPr>
              <w:t> : Consultant senior 50% ; Chef de projet 50%)</w:t>
            </w:r>
          </w:p>
        </w:tc>
        <w:tc>
          <w:tcPr>
            <w:tcW w:w="1843" w:type="dxa"/>
          </w:tcPr>
          <w:p w:rsidR="00C240B0" w:rsidRDefault="00494497">
            <w:pPr>
              <w:jc w:val="center"/>
              <w:cnfStyle w:val="100000000000" w:firstRow="1" w:lastRow="0" w:firstColumn="0" w:lastColumn="0" w:oddVBand="0" w:evenVBand="0" w:oddHBand="0" w:evenHBand="0" w:firstRowFirstColumn="0" w:firstRowLastColumn="0" w:lastRowFirstColumn="0" w:lastRowLastColumn="0"/>
              <w:rPr>
                <w:sz w:val="16"/>
                <w:szCs w:val="16"/>
              </w:rPr>
            </w:pPr>
            <w:r>
              <w:rPr>
                <w:b w:val="0"/>
                <w:sz w:val="16"/>
                <w:szCs w:val="16"/>
              </w:rPr>
              <w:t>Prix forfaitaire en € HT</w:t>
            </w:r>
          </w:p>
        </w:tc>
        <w:tc>
          <w:tcPr>
            <w:tcW w:w="1276" w:type="dxa"/>
          </w:tcPr>
          <w:p w:rsidR="00C240B0" w:rsidRDefault="00494497">
            <w:pPr>
              <w:jc w:val="center"/>
              <w:cnfStyle w:val="100000000000" w:firstRow="1" w:lastRow="0" w:firstColumn="0" w:lastColumn="0" w:oddVBand="0" w:evenVBand="0" w:oddHBand="0" w:evenHBand="0" w:firstRowFirstColumn="0" w:firstRowLastColumn="0" w:lastRowFirstColumn="0" w:lastRowLastColumn="0"/>
              <w:rPr>
                <w:sz w:val="16"/>
                <w:szCs w:val="16"/>
              </w:rPr>
            </w:pPr>
            <w:r>
              <w:rPr>
                <w:b w:val="0"/>
                <w:sz w:val="16"/>
                <w:szCs w:val="16"/>
              </w:rPr>
              <w:t>TVA</w:t>
            </w:r>
          </w:p>
        </w:tc>
      </w:tr>
      <w:tr w:rsidR="00C240B0" w:rsidTr="00C240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5" w:type="dxa"/>
          </w:tcPr>
          <w:p w:rsidR="00C240B0" w:rsidRDefault="00494497">
            <w:pPr>
              <w:rPr>
                <w:sz w:val="16"/>
                <w:szCs w:val="16"/>
              </w:rPr>
            </w:pPr>
            <w:r>
              <w:rPr>
                <w:sz w:val="16"/>
                <w:szCs w:val="16"/>
              </w:rPr>
              <w:t xml:space="preserve">« F01 – INF-CAD » - Phase de cadrage du projet et phase </w:t>
            </w:r>
            <w:r>
              <w:rPr>
                <w:sz w:val="16"/>
                <w:szCs w:val="16"/>
              </w:rPr>
              <w:t>de mise en place du titulaire infogérant, incluant la production de la note de cadrage, de la réunion de lancement, du PAQ, du PAS</w:t>
            </w:r>
          </w:p>
          <w:p w:rsidR="00C240B0" w:rsidRDefault="00494497">
            <w:pPr>
              <w:rPr>
                <w:sz w:val="16"/>
                <w:szCs w:val="16"/>
              </w:rPr>
            </w:pPr>
            <w:r>
              <w:rPr>
                <w:sz w:val="16"/>
                <w:szCs w:val="16"/>
              </w:rPr>
              <w:t>CCTP 4.1</w:t>
            </w:r>
          </w:p>
        </w:tc>
        <w:tc>
          <w:tcPr>
            <w:tcW w:w="2409" w:type="dxa"/>
          </w:tcPr>
          <w:p w:rsidR="00C240B0" w:rsidRDefault="00C240B0">
            <w:pPr>
              <w:cnfStyle w:val="000000100000" w:firstRow="0" w:lastRow="0" w:firstColumn="0" w:lastColumn="0" w:oddVBand="0" w:evenVBand="0" w:oddHBand="1" w:evenHBand="0" w:firstRowFirstColumn="0" w:firstRowLastColumn="0" w:lastRowFirstColumn="0" w:lastRowLastColumn="0"/>
              <w:rPr>
                <w:sz w:val="16"/>
                <w:szCs w:val="16"/>
              </w:rPr>
            </w:pPr>
          </w:p>
        </w:tc>
        <w:tc>
          <w:tcPr>
            <w:tcW w:w="1843" w:type="dxa"/>
          </w:tcPr>
          <w:p w:rsidR="00C240B0" w:rsidRDefault="00C240B0">
            <w:pPr>
              <w:cnfStyle w:val="000000100000" w:firstRow="0" w:lastRow="0" w:firstColumn="0" w:lastColumn="0" w:oddVBand="0" w:evenVBand="0" w:oddHBand="1" w:evenHBand="0" w:firstRowFirstColumn="0" w:firstRowLastColumn="0" w:lastRowFirstColumn="0" w:lastRowLastColumn="0"/>
              <w:rPr>
                <w:sz w:val="16"/>
                <w:szCs w:val="16"/>
              </w:rPr>
            </w:pPr>
          </w:p>
        </w:tc>
        <w:tc>
          <w:tcPr>
            <w:tcW w:w="1276" w:type="dxa"/>
          </w:tcPr>
          <w:p w:rsidR="00C240B0" w:rsidRDefault="00C240B0">
            <w:pPr>
              <w:cnfStyle w:val="000000100000" w:firstRow="0" w:lastRow="0" w:firstColumn="0" w:lastColumn="0" w:oddVBand="0" w:evenVBand="0" w:oddHBand="1" w:evenHBand="0" w:firstRowFirstColumn="0" w:firstRowLastColumn="0" w:lastRowFirstColumn="0" w:lastRowLastColumn="0"/>
              <w:rPr>
                <w:sz w:val="16"/>
                <w:szCs w:val="16"/>
              </w:rPr>
            </w:pPr>
          </w:p>
        </w:tc>
      </w:tr>
      <w:tr w:rsidR="00C240B0" w:rsidTr="00C240B0">
        <w:tc>
          <w:tcPr>
            <w:cnfStyle w:val="001000000000" w:firstRow="0" w:lastRow="0" w:firstColumn="1" w:lastColumn="0" w:oddVBand="0" w:evenVBand="0" w:oddHBand="0" w:evenHBand="0" w:firstRowFirstColumn="0" w:firstRowLastColumn="0" w:lastRowFirstColumn="0" w:lastRowLastColumn="0"/>
            <w:tcW w:w="4385" w:type="dxa"/>
          </w:tcPr>
          <w:p w:rsidR="00C240B0" w:rsidRDefault="00494497">
            <w:pPr>
              <w:rPr>
                <w:sz w:val="16"/>
                <w:szCs w:val="16"/>
              </w:rPr>
            </w:pPr>
            <w:r>
              <w:rPr>
                <w:sz w:val="16"/>
                <w:szCs w:val="16"/>
              </w:rPr>
              <w:t>« F02 – F</w:t>
            </w:r>
            <w:proofErr w:type="gramStart"/>
            <w:r>
              <w:rPr>
                <w:sz w:val="16"/>
                <w:szCs w:val="16"/>
              </w:rPr>
              <w:t>03  IN</w:t>
            </w:r>
            <w:r>
              <w:rPr>
                <w:sz w:val="16"/>
                <w:szCs w:val="16"/>
              </w:rPr>
              <w:t>F</w:t>
            </w:r>
            <w:proofErr w:type="gramEnd"/>
            <w:r>
              <w:rPr>
                <w:sz w:val="16"/>
                <w:szCs w:val="16"/>
              </w:rPr>
              <w:t xml:space="preserve"> » - Prix mensuel de l’infogérance global du SI de l’AFLD dans son périmètre initial ; incluant suivi et pilotage, conseils et </w:t>
            </w:r>
            <w:proofErr w:type="spellStart"/>
            <w:r>
              <w:rPr>
                <w:sz w:val="16"/>
                <w:szCs w:val="16"/>
              </w:rPr>
              <w:t>alerting</w:t>
            </w:r>
            <w:proofErr w:type="spellEnd"/>
            <w:r>
              <w:rPr>
                <w:sz w:val="16"/>
                <w:szCs w:val="16"/>
              </w:rPr>
              <w:t>, élaboration du plan de réversibilité, ses mises à jour annuelles ; ainsi que celles du PAQ, PAS, plan de réversibilité</w:t>
            </w:r>
          </w:p>
          <w:p w:rsidR="00C240B0" w:rsidRDefault="00494497">
            <w:pPr>
              <w:rPr>
                <w:sz w:val="16"/>
                <w:szCs w:val="16"/>
              </w:rPr>
            </w:pPr>
            <w:r>
              <w:rPr>
                <w:sz w:val="16"/>
                <w:szCs w:val="16"/>
              </w:rPr>
              <w:t>Le support de l’équipe MSI est également inclus (Niveau 2 et 3) tel que défini dans le paragraphe correspondant du CCTP.</w:t>
            </w:r>
          </w:p>
          <w:p w:rsidR="00C240B0" w:rsidRDefault="00494497">
            <w:pPr>
              <w:rPr>
                <w:sz w:val="16"/>
                <w:szCs w:val="16"/>
              </w:rPr>
            </w:pPr>
            <w:r>
              <w:rPr>
                <w:sz w:val="16"/>
                <w:szCs w:val="16"/>
              </w:rPr>
              <w:t>CCTP 4.2</w:t>
            </w:r>
          </w:p>
        </w:tc>
        <w:tc>
          <w:tcPr>
            <w:tcW w:w="2409" w:type="dxa"/>
          </w:tcPr>
          <w:p w:rsidR="00C240B0" w:rsidRDefault="00C240B0">
            <w:pPr>
              <w:cnfStyle w:val="000000000000" w:firstRow="0" w:lastRow="0" w:firstColumn="0" w:lastColumn="0" w:oddVBand="0" w:evenVBand="0" w:oddHBand="0" w:evenHBand="0" w:firstRowFirstColumn="0" w:firstRowLastColumn="0" w:lastRowFirstColumn="0" w:lastRowLastColumn="0"/>
              <w:rPr>
                <w:sz w:val="16"/>
                <w:szCs w:val="16"/>
              </w:rPr>
            </w:pPr>
          </w:p>
        </w:tc>
        <w:tc>
          <w:tcPr>
            <w:tcW w:w="1843" w:type="dxa"/>
          </w:tcPr>
          <w:p w:rsidR="00C240B0" w:rsidRDefault="00C240B0">
            <w:pP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C240B0" w:rsidRDefault="00C240B0">
            <w:pPr>
              <w:cnfStyle w:val="000000000000" w:firstRow="0" w:lastRow="0" w:firstColumn="0" w:lastColumn="0" w:oddVBand="0" w:evenVBand="0" w:oddHBand="0" w:evenHBand="0" w:firstRowFirstColumn="0" w:firstRowLastColumn="0" w:lastRowFirstColumn="0" w:lastRowLastColumn="0"/>
              <w:rPr>
                <w:sz w:val="16"/>
                <w:szCs w:val="16"/>
              </w:rPr>
            </w:pPr>
          </w:p>
        </w:tc>
      </w:tr>
      <w:tr w:rsidR="00C240B0" w:rsidTr="00C240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5" w:type="dxa"/>
          </w:tcPr>
          <w:p w:rsidR="00C240B0" w:rsidRDefault="00C240B0">
            <w:pPr>
              <w:rPr>
                <w:sz w:val="16"/>
                <w:szCs w:val="16"/>
              </w:rPr>
            </w:pPr>
          </w:p>
        </w:tc>
        <w:tc>
          <w:tcPr>
            <w:tcW w:w="2409" w:type="dxa"/>
          </w:tcPr>
          <w:p w:rsidR="00C240B0" w:rsidRDefault="00C240B0">
            <w:pPr>
              <w:cnfStyle w:val="000000100000" w:firstRow="0" w:lastRow="0" w:firstColumn="0" w:lastColumn="0" w:oddVBand="0" w:evenVBand="0" w:oddHBand="1" w:evenHBand="0" w:firstRowFirstColumn="0" w:firstRowLastColumn="0" w:lastRowFirstColumn="0" w:lastRowLastColumn="0"/>
              <w:rPr>
                <w:sz w:val="16"/>
                <w:szCs w:val="16"/>
              </w:rPr>
            </w:pPr>
          </w:p>
        </w:tc>
        <w:tc>
          <w:tcPr>
            <w:tcW w:w="1843" w:type="dxa"/>
          </w:tcPr>
          <w:p w:rsidR="00C240B0" w:rsidRDefault="00C240B0">
            <w:pPr>
              <w:cnfStyle w:val="000000100000" w:firstRow="0" w:lastRow="0" w:firstColumn="0" w:lastColumn="0" w:oddVBand="0" w:evenVBand="0" w:oddHBand="1" w:evenHBand="0" w:firstRowFirstColumn="0" w:firstRowLastColumn="0" w:lastRowFirstColumn="0" w:lastRowLastColumn="0"/>
              <w:rPr>
                <w:sz w:val="16"/>
                <w:szCs w:val="16"/>
              </w:rPr>
            </w:pPr>
          </w:p>
        </w:tc>
        <w:tc>
          <w:tcPr>
            <w:tcW w:w="1276" w:type="dxa"/>
          </w:tcPr>
          <w:p w:rsidR="00C240B0" w:rsidRDefault="00C240B0">
            <w:pPr>
              <w:cnfStyle w:val="000000100000" w:firstRow="0" w:lastRow="0" w:firstColumn="0" w:lastColumn="0" w:oddVBand="0" w:evenVBand="0" w:oddHBand="1" w:evenHBand="0" w:firstRowFirstColumn="0" w:firstRowLastColumn="0" w:lastRowFirstColumn="0" w:lastRowLastColumn="0"/>
              <w:rPr>
                <w:sz w:val="16"/>
                <w:szCs w:val="16"/>
              </w:rPr>
            </w:pPr>
          </w:p>
        </w:tc>
      </w:tr>
    </w:tbl>
    <w:p w:rsidR="00C240B0" w:rsidRDefault="00C240B0">
      <w:pPr>
        <w:spacing w:after="0" w:line="240" w:lineRule="auto"/>
      </w:pPr>
    </w:p>
    <w:p w:rsidR="00C240B0" w:rsidRDefault="00C240B0">
      <w:pPr>
        <w:spacing w:after="0" w:line="240" w:lineRule="auto"/>
      </w:pPr>
    </w:p>
    <w:p w:rsidR="00C240B0" w:rsidRDefault="00C240B0">
      <w:pPr>
        <w:spacing w:after="0" w:line="240" w:lineRule="auto"/>
      </w:pPr>
    </w:p>
    <w:p w:rsidR="00C240B0" w:rsidRDefault="00C240B0">
      <w:pPr>
        <w:spacing w:after="0" w:line="240" w:lineRule="auto"/>
      </w:pPr>
    </w:p>
    <w:p w:rsidR="00C240B0" w:rsidRDefault="00494497">
      <w:pPr>
        <w:pStyle w:val="Paragraphedeliste"/>
        <w:numPr>
          <w:ilvl w:val="0"/>
          <w:numId w:val="1"/>
        </w:numPr>
        <w:rPr>
          <w:b/>
        </w:rPr>
      </w:pPr>
      <w:r>
        <w:rPr>
          <w:b/>
        </w:rPr>
        <w:t>Prix des unités d’œuvre</w:t>
      </w:r>
    </w:p>
    <w:p w:rsidR="00C240B0" w:rsidRDefault="00494497">
      <w:pPr>
        <w:jc w:val="both"/>
        <w:rPr>
          <w:b/>
          <w:color w:val="365F91" w:themeColor="accent1" w:themeShade="BF"/>
        </w:rPr>
      </w:pPr>
      <w:r>
        <w:rPr>
          <w:b/>
          <w:color w:val="365F91" w:themeColor="accent1" w:themeShade="BF"/>
        </w:rPr>
        <w:t>EVOLUTION DU SI AFLD ET PRISE EN CHARGE COMPLEMENTAIRE</w:t>
      </w:r>
    </w:p>
    <w:p w:rsidR="00C240B0" w:rsidRDefault="00494497">
      <w:pPr>
        <w:ind w:left="360"/>
        <w:jc w:val="both"/>
      </w:pPr>
      <w:r>
        <w:t>Le candidat renseigne obligatoirement le tableau ci-dessous qui présente l’ajout d’un système au sein du périmètre à infogérer. Les systèmes et les niveaux d’infogérance demandés sont classés selon les catégories telles que précisées ici.</w:t>
      </w:r>
    </w:p>
    <w:tbl>
      <w:tblPr>
        <w:tblStyle w:val="TableauListe4-Accentuation4"/>
        <w:tblW w:w="850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A0" w:firstRow="1" w:lastRow="0" w:firstColumn="1" w:lastColumn="0" w:noHBand="0" w:noVBand="1"/>
      </w:tblPr>
      <w:tblGrid>
        <w:gridCol w:w="1190"/>
        <w:gridCol w:w="1186"/>
        <w:gridCol w:w="4593"/>
        <w:gridCol w:w="1531"/>
      </w:tblGrid>
      <w:tr w:rsidR="00C240B0" w:rsidTr="00C240B0">
        <w:trPr>
          <w:cnfStyle w:val="100000000000" w:firstRow="1" w:lastRow="0" w:firstColumn="0" w:lastColumn="0" w:oddVBand="0" w:evenVBand="0" w:oddHBand="0"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992" w:type="dxa"/>
            <w:tcBorders>
              <w:top w:val="none" w:sz="0" w:space="0" w:color="auto"/>
              <w:left w:val="none" w:sz="0" w:space="0" w:color="auto"/>
              <w:bottom w:val="none" w:sz="0" w:space="0" w:color="auto"/>
            </w:tcBorders>
          </w:tcPr>
          <w:p w:rsidR="00C240B0" w:rsidRDefault="00494497">
            <w:pPr>
              <w:jc w:val="center"/>
              <w:rPr>
                <w:rFonts w:cstheme="minorHAnsi"/>
                <w:sz w:val="16"/>
                <w:szCs w:val="16"/>
              </w:rPr>
            </w:pPr>
            <w:r>
              <w:rPr>
                <w:rFonts w:cstheme="minorHAnsi"/>
                <w:b w:val="0"/>
                <w:bCs w:val="0"/>
                <w:sz w:val="16"/>
                <w:szCs w:val="16"/>
              </w:rPr>
              <w:t>SERVEURS/SYSTEMES</w:t>
            </w:r>
            <w:r>
              <w:rPr>
                <w:rFonts w:cstheme="minorHAnsi"/>
                <w:b w:val="0"/>
                <w:bCs w:val="0"/>
                <w:sz w:val="16"/>
                <w:szCs w:val="16"/>
              </w:rPr>
              <w:t xml:space="preserve"> LIBELLES</w:t>
            </w:r>
          </w:p>
        </w:tc>
        <w:tc>
          <w:tcPr>
            <w:tcW w:w="988" w:type="dxa"/>
            <w:tcBorders>
              <w:top w:val="none" w:sz="0" w:space="0" w:color="auto"/>
              <w:bottom w:val="none" w:sz="0" w:space="0" w:color="auto"/>
            </w:tcBorders>
          </w:tcPr>
          <w:p w:rsidR="00C240B0" w:rsidRDefault="00494497">
            <w:pPr>
              <w:jc w:val="center"/>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b w:val="0"/>
                <w:bCs w:val="0"/>
                <w:sz w:val="16"/>
                <w:szCs w:val="16"/>
              </w:rPr>
              <w:t>TYPE</w:t>
            </w:r>
          </w:p>
        </w:tc>
        <w:tc>
          <w:tcPr>
            <w:tcW w:w="3827" w:type="dxa"/>
            <w:tcBorders>
              <w:top w:val="none" w:sz="0" w:space="0" w:color="auto"/>
              <w:bottom w:val="none" w:sz="0" w:space="0" w:color="auto"/>
            </w:tcBorders>
          </w:tcPr>
          <w:p w:rsidR="00C240B0" w:rsidRDefault="00494497">
            <w:pPr>
              <w:jc w:val="center"/>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b w:val="0"/>
                <w:bCs w:val="0"/>
                <w:sz w:val="16"/>
                <w:szCs w:val="16"/>
              </w:rPr>
              <w:t>Indications quant aux FONCTIONS &amp; applicatifs supplémentaires à infogérer</w:t>
            </w:r>
          </w:p>
        </w:tc>
        <w:tc>
          <w:tcPr>
            <w:tcW w:w="1276" w:type="dxa"/>
            <w:tcBorders>
              <w:top w:val="none" w:sz="0" w:space="0" w:color="auto"/>
              <w:bottom w:val="none" w:sz="0" w:space="0" w:color="auto"/>
            </w:tcBorders>
          </w:tcPr>
          <w:p w:rsidR="00C240B0" w:rsidRDefault="00494497">
            <w:pPr>
              <w:jc w:val="center"/>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b w:val="0"/>
                <w:bCs w:val="0"/>
                <w:sz w:val="16"/>
                <w:szCs w:val="16"/>
              </w:rPr>
              <w:t>Prix mensuel en € HT</w:t>
            </w:r>
          </w:p>
        </w:tc>
      </w:tr>
      <w:tr w:rsidR="00C240B0" w:rsidTr="00C240B0">
        <w:trPr>
          <w:cnfStyle w:val="000000100000" w:firstRow="0" w:lastRow="0" w:firstColumn="0" w:lastColumn="0" w:oddVBand="0" w:evenVBand="0" w:oddHBand="1"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992" w:type="dxa"/>
            <w:noWrap/>
          </w:tcPr>
          <w:p w:rsidR="00C240B0" w:rsidRDefault="00494497">
            <w:pPr>
              <w:rPr>
                <w:rFonts w:cstheme="minorHAnsi"/>
                <w:color w:val="000000"/>
                <w:sz w:val="16"/>
                <w:szCs w:val="16"/>
              </w:rPr>
            </w:pPr>
            <w:r>
              <w:rPr>
                <w:rFonts w:cstheme="minorHAnsi"/>
                <w:b w:val="0"/>
                <w:bCs w:val="0"/>
                <w:color w:val="000000"/>
                <w:sz w:val="16"/>
                <w:szCs w:val="16"/>
              </w:rPr>
              <w:t>SYS_A</w:t>
            </w:r>
          </w:p>
          <w:p w:rsidR="00C240B0" w:rsidRDefault="00C240B0">
            <w:pPr>
              <w:rPr>
                <w:rFonts w:cstheme="minorHAnsi"/>
                <w:color w:val="000000"/>
                <w:sz w:val="16"/>
                <w:szCs w:val="16"/>
              </w:rPr>
            </w:pPr>
          </w:p>
        </w:tc>
        <w:tc>
          <w:tcPr>
            <w:tcW w:w="988" w:type="dxa"/>
            <w:noWrap/>
          </w:tcPr>
          <w:p w:rsidR="00C240B0" w:rsidRDefault="00494497">
            <w:pP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Pr>
                <w:rFonts w:cstheme="minorHAnsi"/>
                <w:color w:val="000000"/>
                <w:sz w:val="16"/>
                <w:szCs w:val="16"/>
              </w:rPr>
              <w:t>VM ou Physique</w:t>
            </w:r>
          </w:p>
        </w:tc>
        <w:tc>
          <w:tcPr>
            <w:tcW w:w="3827" w:type="dxa"/>
            <w:noWrap/>
          </w:tcPr>
          <w:p w:rsidR="00C240B0" w:rsidRDefault="00494497">
            <w:pPr>
              <w:cnfStyle w:val="000000100000" w:firstRow="0" w:lastRow="0" w:firstColumn="0" w:lastColumn="0" w:oddVBand="0" w:evenVBand="0" w:oddHBand="1" w:evenHBand="0" w:firstRowFirstColumn="0" w:firstRowLastColumn="0" w:lastRowFirstColumn="0" w:lastRowLastColumn="0"/>
              <w:rPr>
                <w:rFonts w:cstheme="minorHAnsi"/>
                <w:b/>
                <w:bCs/>
                <w:color w:val="000000"/>
                <w:sz w:val="16"/>
                <w:szCs w:val="16"/>
              </w:rPr>
            </w:pPr>
            <w:r>
              <w:rPr>
                <w:rFonts w:cstheme="minorHAnsi"/>
                <w:b/>
                <w:bCs/>
                <w:color w:val="000000"/>
                <w:sz w:val="16"/>
                <w:szCs w:val="16"/>
              </w:rPr>
              <w:t xml:space="preserve">Infogérance minimale </w:t>
            </w:r>
          </w:p>
          <w:p w:rsidR="00C240B0" w:rsidRDefault="00494497">
            <w:pP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Pr>
                <w:rFonts w:cstheme="minorHAnsi"/>
                <w:color w:val="000000"/>
                <w:sz w:val="16"/>
                <w:szCs w:val="16"/>
              </w:rPr>
              <w:t xml:space="preserve">Application </w:t>
            </w:r>
            <w:proofErr w:type="gramStart"/>
            <w:r>
              <w:rPr>
                <w:rFonts w:cstheme="minorHAnsi"/>
                <w:color w:val="000000"/>
                <w:sz w:val="16"/>
                <w:szCs w:val="16"/>
              </w:rPr>
              <w:t>tiers;</w:t>
            </w:r>
            <w:proofErr w:type="gramEnd"/>
            <w:r>
              <w:rPr>
                <w:rFonts w:cstheme="minorHAnsi"/>
                <w:color w:val="000000"/>
                <w:sz w:val="16"/>
                <w:szCs w:val="16"/>
              </w:rPr>
              <w:t xml:space="preserve"> de faible criticité, maintien en condition opérationnel minimal :</w:t>
            </w:r>
          </w:p>
          <w:p w:rsidR="00C240B0" w:rsidRDefault="00494497">
            <w:pP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Pr>
                <w:rFonts w:cstheme="minorHAnsi"/>
                <w:color w:val="000000"/>
                <w:sz w:val="16"/>
                <w:szCs w:val="16"/>
              </w:rPr>
              <w:t>-Surveillance de la disponibilité de la machine, et de ses capacités</w:t>
            </w:r>
          </w:p>
          <w:p w:rsidR="00C240B0" w:rsidRDefault="00494497">
            <w:pP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Pr>
                <w:rFonts w:cstheme="minorHAnsi"/>
                <w:color w:val="000000"/>
                <w:sz w:val="16"/>
                <w:szCs w:val="16"/>
              </w:rPr>
              <w:t>-Surveillance des services basiques</w:t>
            </w:r>
          </w:p>
        </w:tc>
        <w:tc>
          <w:tcPr>
            <w:tcW w:w="1276" w:type="dxa"/>
            <w:noWrap/>
          </w:tcPr>
          <w:p w:rsidR="00C240B0" w:rsidRDefault="00C240B0">
            <w:pP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p>
        </w:tc>
      </w:tr>
      <w:tr w:rsidR="00C240B0" w:rsidTr="00C240B0">
        <w:trPr>
          <w:trHeight w:val="3126"/>
        </w:trPr>
        <w:tc>
          <w:tcPr>
            <w:cnfStyle w:val="001000000000" w:firstRow="0" w:lastRow="0" w:firstColumn="1" w:lastColumn="0" w:oddVBand="0" w:evenVBand="0" w:oddHBand="0" w:evenHBand="0" w:firstRowFirstColumn="0" w:firstRowLastColumn="0" w:lastRowFirstColumn="0" w:lastRowLastColumn="0"/>
            <w:tcW w:w="992" w:type="dxa"/>
            <w:noWrap/>
          </w:tcPr>
          <w:p w:rsidR="00C240B0" w:rsidRDefault="00494497">
            <w:pPr>
              <w:rPr>
                <w:rFonts w:cstheme="minorHAnsi"/>
                <w:color w:val="000000"/>
                <w:sz w:val="16"/>
                <w:szCs w:val="16"/>
              </w:rPr>
            </w:pPr>
            <w:r>
              <w:rPr>
                <w:rFonts w:cstheme="minorHAnsi"/>
                <w:b w:val="0"/>
                <w:bCs w:val="0"/>
                <w:color w:val="000000"/>
                <w:sz w:val="16"/>
                <w:szCs w:val="16"/>
              </w:rPr>
              <w:t>SYS_B</w:t>
            </w:r>
          </w:p>
          <w:p w:rsidR="00C240B0" w:rsidRDefault="00C240B0">
            <w:pPr>
              <w:rPr>
                <w:rFonts w:cstheme="minorHAnsi"/>
                <w:color w:val="000000"/>
                <w:sz w:val="16"/>
                <w:szCs w:val="16"/>
              </w:rPr>
            </w:pPr>
          </w:p>
        </w:tc>
        <w:tc>
          <w:tcPr>
            <w:tcW w:w="988" w:type="dxa"/>
            <w:noWrap/>
          </w:tcPr>
          <w:p w:rsidR="00C240B0" w:rsidRDefault="00494497">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rPr>
            </w:pPr>
            <w:r>
              <w:rPr>
                <w:rFonts w:cstheme="minorHAnsi"/>
                <w:color w:val="000000"/>
                <w:sz w:val="16"/>
                <w:szCs w:val="16"/>
              </w:rPr>
              <w:t>VM ou Physique</w:t>
            </w:r>
          </w:p>
        </w:tc>
        <w:tc>
          <w:tcPr>
            <w:tcW w:w="3827" w:type="dxa"/>
            <w:noWrap/>
          </w:tcPr>
          <w:p w:rsidR="00C240B0" w:rsidRDefault="00494497">
            <w:pPr>
              <w:cnfStyle w:val="000000000000" w:firstRow="0" w:lastRow="0" w:firstColumn="0" w:lastColumn="0" w:oddVBand="0" w:evenVBand="0" w:oddHBand="0" w:evenHBand="0" w:firstRowFirstColumn="0" w:firstRowLastColumn="0" w:lastRowFirstColumn="0" w:lastRowLastColumn="0"/>
              <w:rPr>
                <w:rFonts w:cstheme="minorHAnsi"/>
                <w:b/>
                <w:bCs/>
                <w:color w:val="000000"/>
                <w:sz w:val="16"/>
                <w:szCs w:val="16"/>
              </w:rPr>
            </w:pPr>
            <w:r>
              <w:rPr>
                <w:rFonts w:cstheme="minorHAnsi"/>
                <w:b/>
                <w:bCs/>
                <w:color w:val="943634" w:themeColor="accent2" w:themeShade="BF"/>
                <w:sz w:val="16"/>
                <w:szCs w:val="16"/>
              </w:rPr>
              <w:t xml:space="preserve">Infogérance applicative </w:t>
            </w:r>
          </w:p>
          <w:p w:rsidR="00C240B0" w:rsidRDefault="00494497">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rPr>
            </w:pPr>
            <w:proofErr w:type="gramStart"/>
            <w:r>
              <w:rPr>
                <w:rFonts w:cstheme="minorHAnsi"/>
                <w:color w:val="000000"/>
                <w:sz w:val="16"/>
                <w:szCs w:val="16"/>
              </w:rPr>
              <w:t>Application tiers</w:t>
            </w:r>
            <w:proofErr w:type="gramEnd"/>
            <w:r>
              <w:rPr>
                <w:rFonts w:cstheme="minorHAnsi"/>
                <w:color w:val="000000"/>
                <w:sz w:val="16"/>
                <w:szCs w:val="16"/>
              </w:rPr>
              <w:t xml:space="preserve"> de criticité moyenne à </w:t>
            </w:r>
            <w:proofErr w:type="spellStart"/>
            <w:r>
              <w:rPr>
                <w:rFonts w:cstheme="minorHAnsi"/>
                <w:color w:val="000000"/>
                <w:sz w:val="16"/>
                <w:szCs w:val="16"/>
              </w:rPr>
              <w:t>élevée</w:t>
            </w:r>
            <w:proofErr w:type="spellEnd"/>
            <w:r>
              <w:rPr>
                <w:rFonts w:cstheme="minorHAnsi"/>
                <w:color w:val="000000"/>
                <w:sz w:val="16"/>
                <w:szCs w:val="16"/>
              </w:rPr>
              <w:t xml:space="preserve"> – pouvant contenir un système de base de données (RDBMS), un serveur web… maintien en condition opérationnel niveau applicatif </w:t>
            </w:r>
            <w:proofErr w:type="spellStart"/>
            <w:r>
              <w:rPr>
                <w:rFonts w:cstheme="minorHAnsi"/>
                <w:color w:val="000000"/>
                <w:sz w:val="16"/>
                <w:szCs w:val="16"/>
              </w:rPr>
              <w:t>inclu</w:t>
            </w:r>
            <w:proofErr w:type="spellEnd"/>
            <w:r>
              <w:rPr>
                <w:rFonts w:cstheme="minorHAnsi"/>
                <w:color w:val="000000"/>
                <w:sz w:val="16"/>
                <w:szCs w:val="16"/>
              </w:rPr>
              <w:t> :</w:t>
            </w:r>
          </w:p>
          <w:p w:rsidR="00C240B0" w:rsidRDefault="00494497">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rPr>
            </w:pPr>
            <w:r>
              <w:rPr>
                <w:rFonts w:cstheme="minorHAnsi"/>
                <w:color w:val="000000"/>
                <w:sz w:val="16"/>
                <w:szCs w:val="16"/>
              </w:rPr>
              <w:t>-Surveillance de la disponibilité de la machine, et de ses capacités</w:t>
            </w:r>
          </w:p>
          <w:p w:rsidR="00C240B0" w:rsidRDefault="00494497">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rPr>
            </w:pPr>
            <w:r>
              <w:rPr>
                <w:rFonts w:cstheme="minorHAnsi"/>
                <w:color w:val="000000"/>
                <w:sz w:val="16"/>
                <w:szCs w:val="16"/>
              </w:rPr>
              <w:t>-Sur</w:t>
            </w:r>
            <w:r>
              <w:rPr>
                <w:rFonts w:cstheme="minorHAnsi"/>
                <w:color w:val="000000"/>
                <w:sz w:val="16"/>
                <w:szCs w:val="16"/>
              </w:rPr>
              <w:t>veillance des services basiques</w:t>
            </w:r>
          </w:p>
          <w:p w:rsidR="00C240B0" w:rsidRDefault="00494497">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rPr>
            </w:pPr>
            <w:r>
              <w:rPr>
                <w:rFonts w:cstheme="minorHAnsi"/>
                <w:color w:val="000000"/>
                <w:sz w:val="16"/>
                <w:szCs w:val="16"/>
              </w:rPr>
              <w:t>-Surveillance des services liés à la base de données ou au serveur web…, gestion des sauvegardes RDBMS (dump ou autre fonctions)</w:t>
            </w:r>
          </w:p>
        </w:tc>
        <w:tc>
          <w:tcPr>
            <w:tcW w:w="1276" w:type="dxa"/>
            <w:noWrap/>
          </w:tcPr>
          <w:p w:rsidR="00C240B0" w:rsidRDefault="00C240B0">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rPr>
            </w:pPr>
          </w:p>
        </w:tc>
      </w:tr>
      <w:tr w:rsidR="00C240B0" w:rsidTr="00C240B0">
        <w:trPr>
          <w:cnfStyle w:val="000000100000" w:firstRow="0" w:lastRow="0" w:firstColumn="0" w:lastColumn="0" w:oddVBand="0" w:evenVBand="0" w:oddHBand="1" w:evenHBand="0" w:firstRowFirstColumn="0" w:firstRowLastColumn="0" w:lastRowFirstColumn="0" w:lastRowLastColumn="0"/>
          <w:trHeight w:val="1984"/>
        </w:trPr>
        <w:tc>
          <w:tcPr>
            <w:cnfStyle w:val="001000000000" w:firstRow="0" w:lastRow="0" w:firstColumn="1" w:lastColumn="0" w:oddVBand="0" w:evenVBand="0" w:oddHBand="0" w:evenHBand="0" w:firstRowFirstColumn="0" w:firstRowLastColumn="0" w:lastRowFirstColumn="0" w:lastRowLastColumn="0"/>
            <w:tcW w:w="992" w:type="dxa"/>
            <w:noWrap/>
          </w:tcPr>
          <w:p w:rsidR="00C240B0" w:rsidRDefault="00494497">
            <w:pPr>
              <w:rPr>
                <w:rFonts w:cstheme="minorHAnsi"/>
                <w:color w:val="000000"/>
                <w:sz w:val="16"/>
                <w:szCs w:val="16"/>
              </w:rPr>
            </w:pPr>
            <w:r>
              <w:rPr>
                <w:rFonts w:cstheme="minorHAnsi"/>
                <w:b w:val="0"/>
                <w:bCs w:val="0"/>
                <w:color w:val="000000"/>
                <w:sz w:val="16"/>
                <w:szCs w:val="16"/>
              </w:rPr>
              <w:t>SYS_C</w:t>
            </w:r>
          </w:p>
          <w:p w:rsidR="00C240B0" w:rsidRDefault="00C240B0">
            <w:pPr>
              <w:rPr>
                <w:rFonts w:cstheme="minorHAnsi"/>
                <w:color w:val="000000"/>
                <w:sz w:val="16"/>
                <w:szCs w:val="16"/>
              </w:rPr>
            </w:pPr>
          </w:p>
        </w:tc>
        <w:tc>
          <w:tcPr>
            <w:tcW w:w="988" w:type="dxa"/>
            <w:noWrap/>
          </w:tcPr>
          <w:p w:rsidR="00C240B0" w:rsidRDefault="00494497">
            <w:pP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Pr>
                <w:rFonts w:cstheme="minorHAnsi"/>
                <w:color w:val="000000"/>
                <w:sz w:val="16"/>
                <w:szCs w:val="16"/>
              </w:rPr>
              <w:t>VM ou Physique</w:t>
            </w:r>
          </w:p>
        </w:tc>
        <w:tc>
          <w:tcPr>
            <w:tcW w:w="3827" w:type="dxa"/>
            <w:noWrap/>
          </w:tcPr>
          <w:p w:rsidR="00C240B0" w:rsidRDefault="00494497">
            <w:pPr>
              <w:cnfStyle w:val="000000100000" w:firstRow="0" w:lastRow="0" w:firstColumn="0" w:lastColumn="0" w:oddVBand="0" w:evenVBand="0" w:oddHBand="1" w:evenHBand="0" w:firstRowFirstColumn="0" w:firstRowLastColumn="0" w:lastRowFirstColumn="0" w:lastRowLastColumn="0"/>
              <w:rPr>
                <w:rFonts w:cstheme="minorHAnsi"/>
                <w:b/>
                <w:bCs/>
                <w:color w:val="000000"/>
                <w:sz w:val="16"/>
                <w:szCs w:val="16"/>
              </w:rPr>
            </w:pPr>
            <w:r>
              <w:rPr>
                <w:rFonts w:cstheme="minorHAnsi"/>
                <w:b/>
                <w:bCs/>
                <w:color w:val="000000"/>
                <w:sz w:val="16"/>
                <w:szCs w:val="16"/>
              </w:rPr>
              <w:t>Infogérance complète</w:t>
            </w:r>
          </w:p>
          <w:p w:rsidR="00C240B0" w:rsidRDefault="00494497">
            <w:pP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Pr>
                <w:rFonts w:cstheme="minorHAnsi"/>
                <w:color w:val="000000"/>
                <w:sz w:val="16"/>
                <w:szCs w:val="16"/>
              </w:rPr>
              <w:t>Serveur complémentaire Application Microsoft (</w:t>
            </w:r>
            <w:proofErr w:type="spellStart"/>
            <w:r>
              <w:rPr>
                <w:rFonts w:cstheme="minorHAnsi"/>
                <w:color w:val="000000"/>
                <w:sz w:val="16"/>
                <w:szCs w:val="16"/>
              </w:rPr>
              <w:t>Exch</w:t>
            </w:r>
            <w:proofErr w:type="spellEnd"/>
            <w:r>
              <w:rPr>
                <w:rFonts w:cstheme="minorHAnsi"/>
                <w:color w:val="000000"/>
                <w:sz w:val="16"/>
                <w:szCs w:val="16"/>
              </w:rPr>
              <w:t>, AD…</w:t>
            </w:r>
            <w:proofErr w:type="gramStart"/>
            <w:r>
              <w:rPr>
                <w:rFonts w:cstheme="minorHAnsi"/>
                <w:color w:val="000000"/>
                <w:sz w:val="16"/>
                <w:szCs w:val="16"/>
              </w:rPr>
              <w:t>) ,</w:t>
            </w:r>
            <w:proofErr w:type="gramEnd"/>
            <w:r>
              <w:rPr>
                <w:rFonts w:cstheme="minorHAnsi"/>
                <w:color w:val="000000"/>
                <w:sz w:val="16"/>
                <w:szCs w:val="16"/>
              </w:rPr>
              <w:t xml:space="preserve"> criticité élevée, maintien en condition opérationnel complet</w:t>
            </w:r>
          </w:p>
          <w:p w:rsidR="00C240B0" w:rsidRDefault="00494497">
            <w:pP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Pr>
                <w:rFonts w:cstheme="minorHAnsi"/>
                <w:color w:val="000000"/>
                <w:sz w:val="16"/>
                <w:szCs w:val="16"/>
              </w:rPr>
              <w:t>-Surveillance de la disponibilité de la machine, et de ses capacités</w:t>
            </w:r>
          </w:p>
          <w:p w:rsidR="00C240B0" w:rsidRDefault="00494497">
            <w:pP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Pr>
                <w:rFonts w:cstheme="minorHAnsi"/>
                <w:color w:val="000000"/>
                <w:sz w:val="16"/>
                <w:szCs w:val="16"/>
              </w:rPr>
              <w:t>-Surveillance des services basiques</w:t>
            </w:r>
          </w:p>
          <w:p w:rsidR="00C240B0" w:rsidRDefault="00494497">
            <w:pP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Pr>
                <w:rFonts w:cstheme="minorHAnsi"/>
                <w:color w:val="000000"/>
                <w:sz w:val="16"/>
                <w:szCs w:val="16"/>
              </w:rPr>
              <w:t>-Surveillance des services liés</w:t>
            </w:r>
            <w:r>
              <w:rPr>
                <w:rFonts w:cstheme="minorHAnsi"/>
                <w:color w:val="000000"/>
                <w:sz w:val="16"/>
                <w:szCs w:val="16"/>
              </w:rPr>
              <w:t xml:space="preserve"> à la base de données ou au serveur web…, gestion des sauvegardes RDBMS (dump ou autre fonctions)</w:t>
            </w:r>
          </w:p>
          <w:p w:rsidR="00C240B0" w:rsidRDefault="00494497">
            <w:pP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Pr>
                <w:rFonts w:cstheme="minorHAnsi"/>
                <w:color w:val="000000"/>
                <w:sz w:val="16"/>
                <w:szCs w:val="16"/>
              </w:rPr>
              <w:t xml:space="preserve">- Surveillance des composants spécifiques liés à l’application (banque de données exchange, services spécifiques </w:t>
            </w:r>
            <w:proofErr w:type="spellStart"/>
            <w:r>
              <w:rPr>
                <w:rFonts w:cstheme="minorHAnsi"/>
                <w:color w:val="000000"/>
                <w:sz w:val="16"/>
                <w:szCs w:val="16"/>
              </w:rPr>
              <w:t>microsoft</w:t>
            </w:r>
            <w:proofErr w:type="spellEnd"/>
            <w:r>
              <w:rPr>
                <w:rFonts w:cstheme="minorHAnsi"/>
                <w:color w:val="000000"/>
                <w:sz w:val="16"/>
                <w:szCs w:val="16"/>
              </w:rPr>
              <w:t>, services applicatifs spécifiques…)</w:t>
            </w:r>
            <w:r>
              <w:rPr>
                <w:rFonts w:cstheme="minorHAnsi"/>
                <w:color w:val="000000"/>
                <w:sz w:val="16"/>
                <w:szCs w:val="16"/>
              </w:rPr>
              <w:t xml:space="preserve"> </w:t>
            </w:r>
          </w:p>
        </w:tc>
        <w:tc>
          <w:tcPr>
            <w:tcW w:w="1276" w:type="dxa"/>
            <w:noWrap/>
          </w:tcPr>
          <w:p w:rsidR="00C240B0" w:rsidRDefault="00C240B0">
            <w:pP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p>
        </w:tc>
      </w:tr>
      <w:tr w:rsidR="00C240B0" w:rsidTr="00C240B0">
        <w:trPr>
          <w:trHeight w:val="652"/>
        </w:trPr>
        <w:tc>
          <w:tcPr>
            <w:cnfStyle w:val="001000000000" w:firstRow="0" w:lastRow="0" w:firstColumn="1" w:lastColumn="0" w:oddVBand="0" w:evenVBand="0" w:oddHBand="0" w:evenHBand="0" w:firstRowFirstColumn="0" w:firstRowLastColumn="0" w:lastRowFirstColumn="0" w:lastRowLastColumn="0"/>
            <w:tcW w:w="992" w:type="dxa"/>
            <w:noWrap/>
          </w:tcPr>
          <w:p w:rsidR="00C240B0" w:rsidRDefault="00494497">
            <w:pPr>
              <w:rPr>
                <w:rFonts w:cstheme="minorHAnsi"/>
                <w:color w:val="000000"/>
                <w:sz w:val="16"/>
                <w:szCs w:val="16"/>
              </w:rPr>
            </w:pPr>
            <w:r>
              <w:rPr>
                <w:rFonts w:cstheme="minorHAnsi"/>
                <w:b w:val="0"/>
                <w:bCs w:val="0"/>
                <w:color w:val="000000"/>
                <w:sz w:val="16"/>
                <w:szCs w:val="16"/>
              </w:rPr>
              <w:t>SYS_D</w:t>
            </w:r>
          </w:p>
        </w:tc>
        <w:tc>
          <w:tcPr>
            <w:tcW w:w="988" w:type="dxa"/>
            <w:noWrap/>
          </w:tcPr>
          <w:p w:rsidR="00C240B0" w:rsidRDefault="00494497">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rPr>
            </w:pPr>
            <w:r>
              <w:rPr>
                <w:rFonts w:cstheme="minorHAnsi"/>
                <w:color w:val="000000"/>
                <w:sz w:val="16"/>
                <w:szCs w:val="16"/>
              </w:rPr>
              <w:t>Physique</w:t>
            </w:r>
          </w:p>
        </w:tc>
        <w:tc>
          <w:tcPr>
            <w:tcW w:w="3827" w:type="dxa"/>
            <w:noWrap/>
          </w:tcPr>
          <w:p w:rsidR="00C240B0" w:rsidRDefault="00494497">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rPr>
            </w:pPr>
            <w:r>
              <w:rPr>
                <w:rFonts w:cstheme="minorHAnsi"/>
                <w:color w:val="000000"/>
                <w:sz w:val="16"/>
                <w:szCs w:val="16"/>
              </w:rPr>
              <w:t xml:space="preserve">Système, appareillage interne dans les locaux </w:t>
            </w:r>
            <w:proofErr w:type="spellStart"/>
            <w:r>
              <w:rPr>
                <w:rFonts w:cstheme="minorHAnsi"/>
                <w:color w:val="000000"/>
                <w:sz w:val="16"/>
                <w:szCs w:val="16"/>
              </w:rPr>
              <w:t>afld</w:t>
            </w:r>
            <w:proofErr w:type="spellEnd"/>
            <w:r>
              <w:rPr>
                <w:rFonts w:cstheme="minorHAnsi"/>
                <w:color w:val="000000"/>
                <w:sz w:val="16"/>
                <w:szCs w:val="16"/>
              </w:rPr>
              <w:t xml:space="preserve"> à surveiller (Ex</w:t>
            </w:r>
            <w:proofErr w:type="gramStart"/>
            <w:r>
              <w:rPr>
                <w:rFonts w:cstheme="minorHAnsi"/>
                <w:color w:val="000000"/>
                <w:sz w:val="16"/>
                <w:szCs w:val="16"/>
              </w:rPr>
              <w:t> :SWITCH</w:t>
            </w:r>
            <w:proofErr w:type="gramEnd"/>
            <w:r>
              <w:rPr>
                <w:rFonts w:cstheme="minorHAnsi"/>
                <w:color w:val="000000"/>
                <w:sz w:val="16"/>
                <w:szCs w:val="16"/>
              </w:rPr>
              <w:t xml:space="preserve"> complémentaire), supervision simple (ping de l’élément)</w:t>
            </w:r>
          </w:p>
        </w:tc>
        <w:tc>
          <w:tcPr>
            <w:tcW w:w="1276" w:type="dxa"/>
            <w:noWrap/>
          </w:tcPr>
          <w:p w:rsidR="00C240B0" w:rsidRDefault="00C240B0">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rPr>
            </w:pPr>
          </w:p>
        </w:tc>
      </w:tr>
    </w:tbl>
    <w:p w:rsidR="00C240B0" w:rsidRDefault="00C240B0">
      <w:pPr>
        <w:jc w:val="both"/>
      </w:pPr>
    </w:p>
    <w:p w:rsidR="00C240B0" w:rsidRDefault="00C240B0">
      <w:pPr>
        <w:jc w:val="both"/>
      </w:pPr>
    </w:p>
    <w:p w:rsidR="00C240B0" w:rsidRDefault="00C240B0">
      <w:pPr>
        <w:jc w:val="both"/>
      </w:pPr>
    </w:p>
    <w:p w:rsidR="00C240B0" w:rsidRDefault="00494497">
      <w:pPr>
        <w:jc w:val="both"/>
        <w:rPr>
          <w:b/>
          <w:color w:val="365F91" w:themeColor="accent1" w:themeShade="BF"/>
        </w:rPr>
      </w:pPr>
      <w:r>
        <w:rPr>
          <w:b/>
          <w:color w:val="365F91" w:themeColor="accent1" w:themeShade="BF"/>
        </w:rPr>
        <w:lastRenderedPageBreak/>
        <w:t>PRESTATIONS ANNEXES</w:t>
      </w:r>
    </w:p>
    <w:p w:rsidR="00C240B0" w:rsidRDefault="00494497">
      <w:pPr>
        <w:jc w:val="both"/>
      </w:pPr>
      <w:r>
        <w:t xml:space="preserve">Le candidat indique dans le tableau ci-dessous le prix unitaire de chaque unité d’œuvre. Le tableau doit être renseigné intégralement. </w:t>
      </w:r>
    </w:p>
    <w:tbl>
      <w:tblPr>
        <w:tblStyle w:val="TableauListe4-Accentuation3"/>
        <w:tblW w:w="9062" w:type="dxa"/>
        <w:tblLook w:val="04A0" w:firstRow="1" w:lastRow="0" w:firstColumn="1" w:lastColumn="0" w:noHBand="0" w:noVBand="1"/>
      </w:tblPr>
      <w:tblGrid>
        <w:gridCol w:w="1080"/>
        <w:gridCol w:w="3525"/>
        <w:gridCol w:w="1507"/>
        <w:gridCol w:w="1836"/>
        <w:gridCol w:w="1114"/>
      </w:tblGrid>
      <w:tr w:rsidR="00C240B0" w:rsidTr="00C240B0">
        <w:trPr>
          <w:cnfStyle w:val="100000000000" w:firstRow="1" w:lastRow="0" w:firstColumn="0" w:lastColumn="0" w:oddVBand="0" w:evenVBand="0" w:oddHBand="0" w:evenHBand="0" w:firstRowFirstColumn="0" w:firstRowLastColumn="0" w:lastRowFirstColumn="0" w:lastRowLastColumn="0"/>
          <w:trHeight w:val="814"/>
        </w:trPr>
        <w:tc>
          <w:tcPr>
            <w:cnfStyle w:val="001000000000" w:firstRow="0" w:lastRow="0" w:firstColumn="1" w:lastColumn="0" w:oddVBand="0" w:evenVBand="0" w:oddHBand="0" w:evenHBand="0" w:firstRowFirstColumn="0" w:firstRowLastColumn="0" w:lastRowFirstColumn="0" w:lastRowLastColumn="0"/>
            <w:tcW w:w="962" w:type="dxa"/>
          </w:tcPr>
          <w:p w:rsidR="00C240B0" w:rsidRDefault="00494497">
            <w:pPr>
              <w:jc w:val="center"/>
              <w:rPr>
                <w:sz w:val="16"/>
                <w:szCs w:val="16"/>
              </w:rPr>
            </w:pPr>
            <w:r>
              <w:rPr>
                <w:b w:val="0"/>
                <w:sz w:val="16"/>
                <w:szCs w:val="16"/>
              </w:rPr>
              <w:t>Référence UO</w:t>
            </w:r>
          </w:p>
        </w:tc>
        <w:tc>
          <w:tcPr>
            <w:tcW w:w="3139" w:type="dxa"/>
          </w:tcPr>
          <w:p w:rsidR="00C240B0" w:rsidRDefault="00494497">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Libellé de l’UO, exemples à titre indicatif</w:t>
            </w:r>
          </w:p>
        </w:tc>
        <w:tc>
          <w:tcPr>
            <w:tcW w:w="1342" w:type="dxa"/>
          </w:tcPr>
          <w:p w:rsidR="00C240B0" w:rsidRDefault="00494497">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Durée de la prestation à titre indicatif</w:t>
            </w:r>
          </w:p>
        </w:tc>
        <w:tc>
          <w:tcPr>
            <w:tcW w:w="1635" w:type="dxa"/>
          </w:tcPr>
          <w:p w:rsidR="00C240B0" w:rsidRDefault="00494497">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 xml:space="preserve">Profils et charges </w:t>
            </w:r>
          </w:p>
          <w:p w:rsidR="00C240B0" w:rsidRDefault="00494497">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w:t>
            </w:r>
            <w:proofErr w:type="gramStart"/>
            <w:r>
              <w:rPr>
                <w:sz w:val="16"/>
                <w:szCs w:val="16"/>
              </w:rPr>
              <w:t>e</w:t>
            </w:r>
            <w:r>
              <w:rPr>
                <w:sz w:val="16"/>
                <w:szCs w:val="16"/>
              </w:rPr>
              <w:t>x</w:t>
            </w:r>
            <w:proofErr w:type="gramEnd"/>
            <w:r>
              <w:rPr>
                <w:sz w:val="16"/>
                <w:szCs w:val="16"/>
              </w:rPr>
              <w:t> : formateur 20%, Consultant sénior 50% ; Chef de projet 30%)</w:t>
            </w:r>
          </w:p>
        </w:tc>
        <w:tc>
          <w:tcPr>
            <w:tcW w:w="992" w:type="dxa"/>
          </w:tcPr>
          <w:p w:rsidR="00C240B0" w:rsidRDefault="00494497">
            <w:pPr>
              <w:jc w:val="center"/>
              <w:cnfStyle w:val="100000000000" w:firstRow="1" w:lastRow="0" w:firstColumn="0" w:lastColumn="0" w:oddVBand="0" w:evenVBand="0" w:oddHBand="0" w:evenHBand="0" w:firstRowFirstColumn="0" w:firstRowLastColumn="0" w:lastRowFirstColumn="0" w:lastRowLastColumn="0"/>
              <w:rPr>
                <w:sz w:val="16"/>
                <w:szCs w:val="16"/>
              </w:rPr>
            </w:pPr>
            <w:r>
              <w:rPr>
                <w:b w:val="0"/>
                <w:sz w:val="16"/>
                <w:szCs w:val="16"/>
              </w:rPr>
              <w:t>Prix forfaitaire en € HT</w:t>
            </w:r>
          </w:p>
        </w:tc>
      </w:tr>
      <w:tr w:rsidR="00C240B0" w:rsidTr="00C240B0">
        <w:trPr>
          <w:cnfStyle w:val="000000100000" w:firstRow="0" w:lastRow="0" w:firstColumn="0" w:lastColumn="0" w:oddVBand="0" w:evenVBand="0" w:oddHBand="1" w:evenHBand="0" w:firstRowFirstColumn="0" w:firstRowLastColumn="0" w:lastRowFirstColumn="0" w:lastRowLastColumn="0"/>
          <w:trHeight w:val="999"/>
        </w:trPr>
        <w:tc>
          <w:tcPr>
            <w:cnfStyle w:val="001000000000" w:firstRow="0" w:lastRow="0" w:firstColumn="1" w:lastColumn="0" w:oddVBand="0" w:evenVBand="0" w:oddHBand="0" w:evenHBand="0" w:firstRowFirstColumn="0" w:firstRowLastColumn="0" w:lastRowFirstColumn="0" w:lastRowLastColumn="0"/>
            <w:tcW w:w="962" w:type="dxa"/>
          </w:tcPr>
          <w:p w:rsidR="00C240B0" w:rsidRDefault="00494497">
            <w:pPr>
              <w:rPr>
                <w:sz w:val="16"/>
                <w:szCs w:val="16"/>
              </w:rPr>
            </w:pPr>
            <w:r>
              <w:rPr>
                <w:sz w:val="16"/>
                <w:szCs w:val="16"/>
              </w:rPr>
              <w:t>PRAN-1</w:t>
            </w:r>
          </w:p>
          <w:p w:rsidR="00C240B0" w:rsidRDefault="00C240B0">
            <w:pPr>
              <w:rPr>
                <w:sz w:val="16"/>
                <w:szCs w:val="16"/>
              </w:rPr>
            </w:pPr>
          </w:p>
        </w:tc>
        <w:tc>
          <w:tcPr>
            <w:tcW w:w="3139" w:type="dxa"/>
          </w:tcPr>
          <w:p w:rsidR="00C240B0" w:rsidRDefault="00494497">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Prestations annexes simples</w:t>
            </w:r>
          </w:p>
          <w:p w:rsidR="00C240B0" w:rsidRDefault="00494497">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Exemple : copie de données sur NAS à la demande de l’agence</w:t>
            </w:r>
          </w:p>
        </w:tc>
        <w:tc>
          <w:tcPr>
            <w:tcW w:w="1342" w:type="dxa"/>
          </w:tcPr>
          <w:p w:rsidR="00C240B0" w:rsidRDefault="00494497">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 xml:space="preserve">1 heure </w:t>
            </w:r>
          </w:p>
          <w:p w:rsidR="00C240B0" w:rsidRDefault="00C240B0">
            <w:pPr>
              <w:cnfStyle w:val="000000100000" w:firstRow="0" w:lastRow="0" w:firstColumn="0" w:lastColumn="0" w:oddVBand="0" w:evenVBand="0" w:oddHBand="1" w:evenHBand="0" w:firstRowFirstColumn="0" w:firstRowLastColumn="0" w:lastRowFirstColumn="0" w:lastRowLastColumn="0"/>
              <w:rPr>
                <w:sz w:val="16"/>
                <w:szCs w:val="16"/>
              </w:rPr>
            </w:pPr>
          </w:p>
        </w:tc>
        <w:tc>
          <w:tcPr>
            <w:tcW w:w="1635" w:type="dxa"/>
          </w:tcPr>
          <w:p w:rsidR="00C240B0" w:rsidRDefault="00C240B0">
            <w:pPr>
              <w:cnfStyle w:val="000000100000" w:firstRow="0" w:lastRow="0" w:firstColumn="0" w:lastColumn="0" w:oddVBand="0" w:evenVBand="0" w:oddHBand="1" w:evenHBand="0" w:firstRowFirstColumn="0" w:firstRowLastColumn="0" w:lastRowFirstColumn="0" w:lastRowLastColumn="0"/>
              <w:rPr>
                <w:sz w:val="16"/>
                <w:szCs w:val="16"/>
              </w:rPr>
            </w:pPr>
          </w:p>
        </w:tc>
        <w:tc>
          <w:tcPr>
            <w:tcW w:w="992" w:type="dxa"/>
          </w:tcPr>
          <w:p w:rsidR="00C240B0" w:rsidRDefault="00C240B0">
            <w:pPr>
              <w:cnfStyle w:val="000000100000" w:firstRow="0" w:lastRow="0" w:firstColumn="0" w:lastColumn="0" w:oddVBand="0" w:evenVBand="0" w:oddHBand="1" w:evenHBand="0" w:firstRowFirstColumn="0" w:firstRowLastColumn="0" w:lastRowFirstColumn="0" w:lastRowLastColumn="0"/>
              <w:rPr>
                <w:sz w:val="16"/>
                <w:szCs w:val="16"/>
              </w:rPr>
            </w:pPr>
          </w:p>
        </w:tc>
      </w:tr>
      <w:tr w:rsidR="00C240B0" w:rsidTr="00C240B0">
        <w:trPr>
          <w:trHeight w:val="518"/>
        </w:trPr>
        <w:tc>
          <w:tcPr>
            <w:cnfStyle w:val="001000000000" w:firstRow="0" w:lastRow="0" w:firstColumn="1" w:lastColumn="0" w:oddVBand="0" w:evenVBand="0" w:oddHBand="0" w:evenHBand="0" w:firstRowFirstColumn="0" w:firstRowLastColumn="0" w:lastRowFirstColumn="0" w:lastRowLastColumn="0"/>
            <w:tcW w:w="962" w:type="dxa"/>
          </w:tcPr>
          <w:p w:rsidR="00C240B0" w:rsidRDefault="00494497">
            <w:pPr>
              <w:rPr>
                <w:sz w:val="16"/>
                <w:szCs w:val="16"/>
              </w:rPr>
            </w:pPr>
            <w:r>
              <w:rPr>
                <w:sz w:val="16"/>
                <w:szCs w:val="16"/>
              </w:rPr>
              <w:t>PRAN-2</w:t>
            </w:r>
          </w:p>
        </w:tc>
        <w:tc>
          <w:tcPr>
            <w:tcW w:w="3139" w:type="dxa"/>
          </w:tcPr>
          <w:p w:rsidR="00C240B0" w:rsidRDefault="00494497">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Prestations annexes moyennes</w:t>
            </w:r>
          </w:p>
          <w:p w:rsidR="00C240B0" w:rsidRDefault="00494497">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Exemple : assistance et conseil hors périmètre, déploiement d’un service applicatif</w:t>
            </w:r>
          </w:p>
        </w:tc>
        <w:tc>
          <w:tcPr>
            <w:tcW w:w="1342" w:type="dxa"/>
          </w:tcPr>
          <w:p w:rsidR="00C240B0" w:rsidRDefault="00494497">
            <w:pPr>
              <w:cnfStyle w:val="000000000000" w:firstRow="0" w:lastRow="0" w:firstColumn="0" w:lastColumn="0" w:oddVBand="0" w:evenVBand="0" w:oddHBand="0" w:evenHBand="0" w:firstRowFirstColumn="0" w:firstRowLastColumn="0" w:lastRowFirstColumn="0" w:lastRowLastColumn="0"/>
              <w:rPr>
                <w:sz w:val="16"/>
                <w:szCs w:val="16"/>
              </w:rPr>
            </w:pPr>
            <w:proofErr w:type="gramStart"/>
            <w:r>
              <w:rPr>
                <w:sz w:val="16"/>
                <w:szCs w:val="16"/>
              </w:rPr>
              <w:t>½</w:t>
            </w:r>
            <w:proofErr w:type="gramEnd"/>
            <w:r>
              <w:rPr>
                <w:sz w:val="16"/>
                <w:szCs w:val="16"/>
              </w:rPr>
              <w:t xml:space="preserve"> </w:t>
            </w:r>
            <w:proofErr w:type="spellStart"/>
            <w:r>
              <w:rPr>
                <w:sz w:val="16"/>
                <w:szCs w:val="16"/>
              </w:rPr>
              <w:t>jh</w:t>
            </w:r>
            <w:proofErr w:type="spellEnd"/>
          </w:p>
        </w:tc>
        <w:tc>
          <w:tcPr>
            <w:tcW w:w="1635" w:type="dxa"/>
          </w:tcPr>
          <w:p w:rsidR="00C240B0" w:rsidRDefault="00C240B0">
            <w:pP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rsidR="00C240B0" w:rsidRDefault="00C240B0">
            <w:pPr>
              <w:cnfStyle w:val="000000000000" w:firstRow="0" w:lastRow="0" w:firstColumn="0" w:lastColumn="0" w:oddVBand="0" w:evenVBand="0" w:oddHBand="0" w:evenHBand="0" w:firstRowFirstColumn="0" w:firstRowLastColumn="0" w:lastRowFirstColumn="0" w:lastRowLastColumn="0"/>
              <w:rPr>
                <w:sz w:val="16"/>
                <w:szCs w:val="16"/>
              </w:rPr>
            </w:pPr>
          </w:p>
        </w:tc>
      </w:tr>
      <w:tr w:rsidR="00C240B0" w:rsidTr="00C240B0">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962" w:type="dxa"/>
          </w:tcPr>
          <w:p w:rsidR="00C240B0" w:rsidRDefault="00494497">
            <w:pPr>
              <w:rPr>
                <w:sz w:val="16"/>
                <w:szCs w:val="16"/>
              </w:rPr>
            </w:pPr>
            <w:r>
              <w:rPr>
                <w:sz w:val="16"/>
                <w:szCs w:val="16"/>
              </w:rPr>
              <w:t>PRAN-3</w:t>
            </w:r>
          </w:p>
        </w:tc>
        <w:tc>
          <w:tcPr>
            <w:tcW w:w="3139" w:type="dxa"/>
          </w:tcPr>
          <w:p w:rsidR="00C240B0" w:rsidRDefault="00494497">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Prestations annexes complexes</w:t>
            </w:r>
          </w:p>
          <w:p w:rsidR="00C240B0" w:rsidRDefault="00494497">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 xml:space="preserve">Exemple : travaux d’études et de réalisations spécifiques dans le cadre d’une évolution majeure du SI </w:t>
            </w:r>
          </w:p>
        </w:tc>
        <w:tc>
          <w:tcPr>
            <w:tcW w:w="1342" w:type="dxa"/>
          </w:tcPr>
          <w:p w:rsidR="00C240B0" w:rsidRDefault="00494497">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1jh</w:t>
            </w:r>
          </w:p>
        </w:tc>
        <w:tc>
          <w:tcPr>
            <w:tcW w:w="1635" w:type="dxa"/>
          </w:tcPr>
          <w:p w:rsidR="00C240B0" w:rsidRDefault="00C240B0">
            <w:pPr>
              <w:cnfStyle w:val="000000100000" w:firstRow="0" w:lastRow="0" w:firstColumn="0" w:lastColumn="0" w:oddVBand="0" w:evenVBand="0" w:oddHBand="1" w:evenHBand="0" w:firstRowFirstColumn="0" w:firstRowLastColumn="0" w:lastRowFirstColumn="0" w:lastRowLastColumn="0"/>
              <w:rPr>
                <w:sz w:val="16"/>
                <w:szCs w:val="16"/>
              </w:rPr>
            </w:pPr>
          </w:p>
        </w:tc>
        <w:tc>
          <w:tcPr>
            <w:tcW w:w="992" w:type="dxa"/>
          </w:tcPr>
          <w:p w:rsidR="00C240B0" w:rsidRDefault="00C240B0">
            <w:pPr>
              <w:cnfStyle w:val="000000100000" w:firstRow="0" w:lastRow="0" w:firstColumn="0" w:lastColumn="0" w:oddVBand="0" w:evenVBand="0" w:oddHBand="1" w:evenHBand="0" w:firstRowFirstColumn="0" w:firstRowLastColumn="0" w:lastRowFirstColumn="0" w:lastRowLastColumn="0"/>
              <w:rPr>
                <w:sz w:val="16"/>
                <w:szCs w:val="16"/>
              </w:rPr>
            </w:pPr>
          </w:p>
        </w:tc>
      </w:tr>
      <w:tr w:rsidR="00C240B0" w:rsidTr="00C240B0">
        <w:trPr>
          <w:trHeight w:val="499"/>
        </w:trPr>
        <w:tc>
          <w:tcPr>
            <w:cnfStyle w:val="001000000000" w:firstRow="0" w:lastRow="0" w:firstColumn="1" w:lastColumn="0" w:oddVBand="0" w:evenVBand="0" w:oddHBand="0" w:evenHBand="0" w:firstRowFirstColumn="0" w:firstRowLastColumn="0" w:lastRowFirstColumn="0" w:lastRowLastColumn="0"/>
            <w:tcW w:w="962" w:type="dxa"/>
          </w:tcPr>
          <w:p w:rsidR="00C240B0" w:rsidRDefault="00494497">
            <w:pPr>
              <w:rPr>
                <w:sz w:val="16"/>
                <w:szCs w:val="16"/>
              </w:rPr>
            </w:pPr>
            <w:r>
              <w:rPr>
                <w:sz w:val="16"/>
                <w:szCs w:val="16"/>
              </w:rPr>
              <w:t>REVERS</w:t>
            </w:r>
          </w:p>
        </w:tc>
        <w:tc>
          <w:tcPr>
            <w:tcW w:w="3139" w:type="dxa"/>
          </w:tcPr>
          <w:p w:rsidR="00C240B0" w:rsidRDefault="00494497">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Mise en œuvre du plan de réversibilité  </w:t>
            </w:r>
          </w:p>
          <w:p w:rsidR="00C240B0" w:rsidRDefault="00494497">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RQ : Le plan est forfaitaire et a été validé en amont</w:t>
            </w:r>
          </w:p>
        </w:tc>
        <w:tc>
          <w:tcPr>
            <w:tcW w:w="1342" w:type="dxa"/>
          </w:tcPr>
          <w:p w:rsidR="00C240B0" w:rsidRDefault="00494497">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Cf CCTP</w:t>
            </w:r>
          </w:p>
        </w:tc>
        <w:tc>
          <w:tcPr>
            <w:tcW w:w="1635" w:type="dxa"/>
          </w:tcPr>
          <w:p w:rsidR="00C240B0" w:rsidRDefault="00C240B0">
            <w:pP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rsidR="00C240B0" w:rsidRDefault="00C240B0">
            <w:pPr>
              <w:cnfStyle w:val="000000000000" w:firstRow="0" w:lastRow="0" w:firstColumn="0" w:lastColumn="0" w:oddVBand="0" w:evenVBand="0" w:oddHBand="0" w:evenHBand="0" w:firstRowFirstColumn="0" w:firstRowLastColumn="0" w:lastRowFirstColumn="0" w:lastRowLastColumn="0"/>
              <w:rPr>
                <w:sz w:val="16"/>
                <w:szCs w:val="16"/>
              </w:rPr>
            </w:pPr>
          </w:p>
        </w:tc>
      </w:tr>
    </w:tbl>
    <w:p w:rsidR="00C240B0" w:rsidRDefault="00C240B0">
      <w:pPr>
        <w:jc w:val="both"/>
      </w:pPr>
    </w:p>
    <w:p w:rsidR="00C240B0" w:rsidRDefault="00C240B0">
      <w:pPr>
        <w:jc w:val="both"/>
      </w:pPr>
    </w:p>
    <w:p w:rsidR="00C240B0" w:rsidRDefault="00C240B0">
      <w:pPr>
        <w:jc w:val="both"/>
      </w:pPr>
    </w:p>
    <w:p w:rsidR="00C240B0" w:rsidRDefault="00C240B0">
      <w:pPr>
        <w:jc w:val="both"/>
      </w:pPr>
    </w:p>
    <w:p w:rsidR="00C240B0" w:rsidRDefault="00C240B0">
      <w:pPr>
        <w:jc w:val="both"/>
      </w:pPr>
    </w:p>
    <w:p w:rsidR="00C240B0" w:rsidRDefault="00C240B0">
      <w:pPr>
        <w:jc w:val="both"/>
      </w:pPr>
    </w:p>
    <w:p w:rsidR="00C240B0" w:rsidRDefault="00C240B0">
      <w:pPr>
        <w:jc w:val="both"/>
      </w:pPr>
    </w:p>
    <w:p w:rsidR="00C240B0" w:rsidRDefault="00C240B0">
      <w:pPr>
        <w:jc w:val="both"/>
      </w:pPr>
    </w:p>
    <w:p w:rsidR="00C240B0" w:rsidRDefault="00C240B0">
      <w:pPr>
        <w:jc w:val="both"/>
      </w:pPr>
    </w:p>
    <w:p w:rsidR="00C240B0" w:rsidRDefault="00C240B0">
      <w:pPr>
        <w:jc w:val="both"/>
      </w:pPr>
    </w:p>
    <w:p w:rsidR="00C240B0" w:rsidRDefault="00C240B0">
      <w:pPr>
        <w:jc w:val="both"/>
      </w:pPr>
    </w:p>
    <w:p w:rsidR="00C240B0" w:rsidRDefault="00C240B0">
      <w:pPr>
        <w:jc w:val="both"/>
      </w:pPr>
    </w:p>
    <w:p w:rsidR="00C240B0" w:rsidRDefault="00C240B0">
      <w:pPr>
        <w:jc w:val="both"/>
      </w:pPr>
    </w:p>
    <w:p w:rsidR="00C240B0" w:rsidRDefault="00C240B0">
      <w:pPr>
        <w:jc w:val="both"/>
      </w:pPr>
    </w:p>
    <w:p w:rsidR="00C240B0" w:rsidRDefault="00494497">
      <w:pPr>
        <w:pStyle w:val="Paragraphedeliste"/>
        <w:numPr>
          <w:ilvl w:val="0"/>
          <w:numId w:val="1"/>
        </w:numPr>
        <w:rPr>
          <w:b/>
        </w:rPr>
      </w:pPr>
      <w:r>
        <w:rPr>
          <w:b/>
        </w:rPr>
        <w:lastRenderedPageBreak/>
        <w:t>DETAIL QUANTITATIF ESTIMATIF (DQE) - SIMULATION</w:t>
      </w:r>
    </w:p>
    <w:p w:rsidR="00C240B0" w:rsidRDefault="00494497">
      <w:pPr>
        <w:ind w:left="360"/>
        <w:jc w:val="both"/>
      </w:pPr>
      <w:r>
        <w:t xml:space="preserve">Le candidat renseigne obligatoirement le tableau intitulé « DQE » et annexé au présent cadre de réponse. </w:t>
      </w:r>
    </w:p>
    <w:p w:rsidR="00C240B0" w:rsidRDefault="00494497">
      <w:pPr>
        <w:ind w:left="360"/>
        <w:jc w:val="both"/>
      </w:pPr>
      <w:r>
        <w:t>Les informations contenues dans le tableau de simulation ne sont pas contractuelles. Elles reflètent une projection du coût initial du projet et des c</w:t>
      </w:r>
      <w:r>
        <w:t>ommandes susceptibles d’être passées par l’Agence. Les quantités d’unités d’œuvre indiquées et le montant total de cette simulation ne préjugent donc en rien des quantités et du montant des commandes que l’Agence passera effectivement dans le cadre du prés</w:t>
      </w:r>
      <w:r>
        <w:t>ent marché.</w:t>
      </w:r>
    </w:p>
    <w:p w:rsidR="00C240B0" w:rsidRDefault="00C240B0">
      <w:pPr>
        <w:jc w:val="both"/>
      </w:pPr>
    </w:p>
    <w:p w:rsidR="00C240B0" w:rsidRDefault="00C240B0">
      <w:pPr>
        <w:ind w:left="360"/>
        <w:jc w:val="both"/>
      </w:pPr>
    </w:p>
    <w:tbl>
      <w:tblPr>
        <w:tblStyle w:val="TableauListe4-Accentuation2"/>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0"/>
        <w:gridCol w:w="966"/>
        <w:gridCol w:w="1481"/>
        <w:gridCol w:w="2105"/>
        <w:gridCol w:w="1501"/>
      </w:tblGrid>
      <w:tr w:rsidR="00C240B0" w:rsidTr="00C240B0">
        <w:trPr>
          <w:cnfStyle w:val="100000000000" w:firstRow="1" w:lastRow="0" w:firstColumn="0" w:lastColumn="0" w:oddVBand="0" w:evenVBand="0" w:oddHBand="0" w:evenHBand="0" w:firstRowFirstColumn="0" w:firstRowLastColumn="0" w:lastRowFirstColumn="0" w:lastRowLastColumn="0"/>
          <w:trHeight w:val="1059"/>
        </w:trPr>
        <w:tc>
          <w:tcPr>
            <w:cnfStyle w:val="001000000000" w:firstRow="0" w:lastRow="0" w:firstColumn="1" w:lastColumn="0" w:oddVBand="0" w:evenVBand="0" w:oddHBand="0" w:evenHBand="0" w:firstRowFirstColumn="0" w:firstRowLastColumn="0" w:lastRowFirstColumn="0" w:lastRowLastColumn="0"/>
            <w:tcW w:w="3788" w:type="dxa"/>
          </w:tcPr>
          <w:p w:rsidR="00C240B0" w:rsidRDefault="00494497">
            <w:pPr>
              <w:jc w:val="center"/>
              <w:rPr>
                <w:rFonts w:asciiTheme="minorHAnsi" w:hAnsiTheme="minorHAnsi" w:cstheme="minorHAnsi"/>
                <w:sz w:val="16"/>
                <w:szCs w:val="16"/>
              </w:rPr>
            </w:pPr>
            <w:r>
              <w:rPr>
                <w:rFonts w:asciiTheme="minorHAnsi" w:hAnsiTheme="minorHAnsi" w:cstheme="minorHAnsi"/>
                <w:sz w:val="16"/>
                <w:szCs w:val="16"/>
              </w:rPr>
              <w:t>Libellé des prestations</w:t>
            </w:r>
          </w:p>
        </w:tc>
        <w:tc>
          <w:tcPr>
            <w:tcW w:w="990" w:type="dxa"/>
          </w:tcPr>
          <w:p w:rsidR="00C240B0" w:rsidRDefault="0049449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Quantité</w:t>
            </w:r>
          </w:p>
        </w:tc>
        <w:tc>
          <w:tcPr>
            <w:tcW w:w="1596" w:type="dxa"/>
          </w:tcPr>
          <w:p w:rsidR="00C240B0" w:rsidRDefault="0049449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Prix unitaire en €HT</w:t>
            </w:r>
          </w:p>
        </w:tc>
        <w:tc>
          <w:tcPr>
            <w:tcW w:w="1559" w:type="dxa"/>
          </w:tcPr>
          <w:p w:rsidR="00C240B0" w:rsidRDefault="00494497">
            <w:pPr>
              <w:ind w:right="131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Prix / montant en €HT</w:t>
            </w:r>
          </w:p>
        </w:tc>
        <w:tc>
          <w:tcPr>
            <w:tcW w:w="1560" w:type="dxa"/>
          </w:tcPr>
          <w:p w:rsidR="00C240B0" w:rsidRDefault="0049449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Prix/montant en € TTC</w:t>
            </w:r>
          </w:p>
        </w:tc>
      </w:tr>
      <w:tr w:rsidR="00C240B0" w:rsidTr="00C240B0">
        <w:trPr>
          <w:cnfStyle w:val="000000100000" w:firstRow="0" w:lastRow="0" w:firstColumn="0" w:lastColumn="0" w:oddVBand="0" w:evenVBand="0" w:oddHBand="1" w:evenHBand="0" w:firstRowFirstColumn="0" w:firstRowLastColumn="0" w:lastRowFirstColumn="0" w:lastRowLastColumn="0"/>
          <w:trHeight w:val="747"/>
        </w:trPr>
        <w:tc>
          <w:tcPr>
            <w:cnfStyle w:val="001000000000" w:firstRow="0" w:lastRow="0" w:firstColumn="1" w:lastColumn="0" w:oddVBand="0" w:evenVBand="0" w:oddHBand="0" w:evenHBand="0" w:firstRowFirstColumn="0" w:firstRowLastColumn="0" w:lastRowFirstColumn="0" w:lastRowLastColumn="0"/>
            <w:tcW w:w="3788" w:type="dxa"/>
          </w:tcPr>
          <w:p w:rsidR="00C240B0" w:rsidRDefault="00494497">
            <w:pPr>
              <w:rPr>
                <w:color w:val="FFFFFF" w:themeColor="background1"/>
                <w:sz w:val="16"/>
                <w:szCs w:val="16"/>
              </w:rPr>
            </w:pPr>
            <w:r>
              <w:rPr>
                <w:sz w:val="16"/>
                <w:szCs w:val="16"/>
              </w:rPr>
              <w:t>« F01 – INF-CAD » - Phase de cadrage du projet et phase de mise en place du titulaire infogérant, incluant la production de la note de cadrage, de la réunion de lancement, du PAQ, du PAS</w:t>
            </w:r>
          </w:p>
        </w:tc>
        <w:tc>
          <w:tcPr>
            <w:tcW w:w="990" w:type="dxa"/>
          </w:tcPr>
          <w:p w:rsidR="00C240B0" w:rsidRDefault="0049449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NA</w:t>
            </w:r>
          </w:p>
        </w:tc>
        <w:tc>
          <w:tcPr>
            <w:tcW w:w="1596" w:type="dxa"/>
          </w:tcPr>
          <w:p w:rsidR="00C240B0" w:rsidRDefault="00C240B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559" w:type="dxa"/>
          </w:tcPr>
          <w:p w:rsidR="00C240B0" w:rsidRDefault="00C240B0">
            <w:pPr>
              <w:ind w:right="131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560" w:type="dxa"/>
          </w:tcPr>
          <w:p w:rsidR="00C240B0" w:rsidRDefault="00C240B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C240B0" w:rsidTr="00C240B0">
        <w:trPr>
          <w:trHeight w:val="1370"/>
        </w:trPr>
        <w:tc>
          <w:tcPr>
            <w:cnfStyle w:val="001000000000" w:firstRow="0" w:lastRow="0" w:firstColumn="1" w:lastColumn="0" w:oddVBand="0" w:evenVBand="0" w:oddHBand="0" w:evenHBand="0" w:firstRowFirstColumn="0" w:firstRowLastColumn="0" w:lastRowFirstColumn="0" w:lastRowLastColumn="0"/>
            <w:tcW w:w="3788" w:type="dxa"/>
          </w:tcPr>
          <w:p w:rsidR="00C240B0" w:rsidRDefault="00494497">
            <w:pPr>
              <w:rPr>
                <w:color w:val="FFFFFF" w:themeColor="background1"/>
                <w:sz w:val="16"/>
                <w:szCs w:val="16"/>
              </w:rPr>
            </w:pPr>
            <w:r>
              <w:rPr>
                <w:sz w:val="16"/>
                <w:szCs w:val="16"/>
              </w:rPr>
              <w:t>« F02 – F</w:t>
            </w:r>
            <w:proofErr w:type="gramStart"/>
            <w:r>
              <w:rPr>
                <w:sz w:val="16"/>
                <w:szCs w:val="16"/>
              </w:rPr>
              <w:t>03  INF</w:t>
            </w:r>
            <w:proofErr w:type="gramEnd"/>
            <w:r>
              <w:rPr>
                <w:sz w:val="16"/>
                <w:szCs w:val="16"/>
              </w:rPr>
              <w:t> » - Prix mensuel de l’infogérance global du S</w:t>
            </w:r>
            <w:r>
              <w:rPr>
                <w:sz w:val="16"/>
                <w:szCs w:val="16"/>
              </w:rPr>
              <w:t xml:space="preserve">I de AFLD dans son périmètre initial ; incluant suivi et pilotage, conseils et </w:t>
            </w:r>
            <w:proofErr w:type="spellStart"/>
            <w:r>
              <w:rPr>
                <w:sz w:val="16"/>
                <w:szCs w:val="16"/>
              </w:rPr>
              <w:t>alerting</w:t>
            </w:r>
            <w:proofErr w:type="spellEnd"/>
            <w:r>
              <w:rPr>
                <w:sz w:val="16"/>
                <w:szCs w:val="16"/>
              </w:rPr>
              <w:t xml:space="preserve">, élaboration du plan de réversibilité, ses mises à jour annuelles ; ainsi que celles du PAQ, PAS. </w:t>
            </w:r>
          </w:p>
          <w:p w:rsidR="00C240B0" w:rsidRDefault="00494497">
            <w:pPr>
              <w:rPr>
                <w:sz w:val="16"/>
                <w:szCs w:val="16"/>
              </w:rPr>
            </w:pPr>
            <w:r>
              <w:rPr>
                <w:sz w:val="16"/>
                <w:szCs w:val="16"/>
              </w:rPr>
              <w:t>Le support de l’équipe MSI est également inclus (Niveau 2 et 3) tel q</w:t>
            </w:r>
            <w:r>
              <w:rPr>
                <w:sz w:val="16"/>
                <w:szCs w:val="16"/>
              </w:rPr>
              <w:t>ue défini dans le paragraphe correspondant du CCTP.</w:t>
            </w:r>
          </w:p>
          <w:p w:rsidR="00C240B0" w:rsidRDefault="00494497">
            <w:pPr>
              <w:rPr>
                <w:rFonts w:asciiTheme="minorHAnsi" w:hAnsiTheme="minorHAnsi" w:cstheme="minorHAnsi"/>
                <w:sz w:val="16"/>
                <w:szCs w:val="16"/>
              </w:rPr>
            </w:pPr>
            <w:r>
              <w:rPr>
                <w:sz w:val="16"/>
                <w:szCs w:val="16"/>
              </w:rPr>
              <w:t>CCTP 4.2</w:t>
            </w:r>
          </w:p>
        </w:tc>
        <w:tc>
          <w:tcPr>
            <w:tcW w:w="990" w:type="dxa"/>
          </w:tcPr>
          <w:p w:rsidR="00C240B0" w:rsidRDefault="004944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48 mois durée du marché</w:t>
            </w:r>
          </w:p>
        </w:tc>
        <w:tc>
          <w:tcPr>
            <w:tcW w:w="1596" w:type="dxa"/>
          </w:tcPr>
          <w:p w:rsidR="00C240B0" w:rsidRDefault="00C240B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559" w:type="dxa"/>
          </w:tcPr>
          <w:p w:rsidR="00C240B0" w:rsidRDefault="00C240B0">
            <w:pPr>
              <w:ind w:right="131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560" w:type="dxa"/>
          </w:tcPr>
          <w:p w:rsidR="00C240B0" w:rsidRDefault="00C240B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C240B0" w:rsidTr="00C240B0">
        <w:trPr>
          <w:cnfStyle w:val="000000100000" w:firstRow="0" w:lastRow="0" w:firstColumn="0" w:lastColumn="0" w:oddVBand="0" w:evenVBand="0" w:oddHBand="1" w:evenHBand="0" w:firstRowFirstColumn="0" w:firstRowLastColumn="0" w:lastRowFirstColumn="0" w:lastRowLastColumn="0"/>
          <w:trHeight w:val="374"/>
        </w:trPr>
        <w:tc>
          <w:tcPr>
            <w:cnfStyle w:val="001000000000" w:firstRow="0" w:lastRow="0" w:firstColumn="1" w:lastColumn="0" w:oddVBand="0" w:evenVBand="0" w:oddHBand="0" w:evenHBand="0" w:firstRowFirstColumn="0" w:firstRowLastColumn="0" w:lastRowFirstColumn="0" w:lastRowLastColumn="0"/>
            <w:tcW w:w="3788" w:type="dxa"/>
          </w:tcPr>
          <w:p w:rsidR="00C240B0" w:rsidRDefault="00494497">
            <w:pPr>
              <w:rPr>
                <w:sz w:val="16"/>
                <w:szCs w:val="16"/>
              </w:rPr>
            </w:pPr>
            <w:r>
              <w:rPr>
                <w:sz w:val="16"/>
                <w:szCs w:val="16"/>
              </w:rPr>
              <w:t>PRAN-3</w:t>
            </w:r>
          </w:p>
        </w:tc>
        <w:tc>
          <w:tcPr>
            <w:tcW w:w="990" w:type="dxa"/>
          </w:tcPr>
          <w:p w:rsidR="00C240B0" w:rsidRDefault="0049449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2</w:t>
            </w:r>
          </w:p>
        </w:tc>
        <w:tc>
          <w:tcPr>
            <w:tcW w:w="1596" w:type="dxa"/>
          </w:tcPr>
          <w:p w:rsidR="00C240B0" w:rsidRDefault="00C240B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559" w:type="dxa"/>
          </w:tcPr>
          <w:p w:rsidR="00C240B0" w:rsidRDefault="00C240B0">
            <w:pPr>
              <w:ind w:right="131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560" w:type="dxa"/>
          </w:tcPr>
          <w:p w:rsidR="00C240B0" w:rsidRDefault="00C240B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C240B0" w:rsidTr="00C240B0">
        <w:trPr>
          <w:trHeight w:val="506"/>
        </w:trPr>
        <w:tc>
          <w:tcPr>
            <w:cnfStyle w:val="001000000000" w:firstRow="0" w:lastRow="0" w:firstColumn="1" w:lastColumn="0" w:oddVBand="0" w:evenVBand="0" w:oddHBand="0" w:evenHBand="0" w:firstRowFirstColumn="0" w:firstRowLastColumn="0" w:lastRowFirstColumn="0" w:lastRowLastColumn="0"/>
            <w:tcW w:w="0" w:type="auto"/>
          </w:tcPr>
          <w:p w:rsidR="00C240B0" w:rsidRDefault="00494497">
            <w:pPr>
              <w:rPr>
                <w:sz w:val="16"/>
                <w:szCs w:val="16"/>
              </w:rPr>
            </w:pPr>
            <w:r>
              <w:rPr>
                <w:sz w:val="16"/>
                <w:szCs w:val="16"/>
              </w:rPr>
              <w:t>PRAN-2</w:t>
            </w:r>
          </w:p>
        </w:tc>
        <w:tc>
          <w:tcPr>
            <w:tcW w:w="990" w:type="dxa"/>
          </w:tcPr>
          <w:p w:rsidR="00C240B0" w:rsidRDefault="004944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4</w:t>
            </w:r>
          </w:p>
        </w:tc>
        <w:tc>
          <w:tcPr>
            <w:tcW w:w="1596" w:type="dxa"/>
          </w:tcPr>
          <w:p w:rsidR="00C240B0" w:rsidRDefault="00C240B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559" w:type="dxa"/>
          </w:tcPr>
          <w:p w:rsidR="00C240B0" w:rsidRDefault="00C240B0">
            <w:pPr>
              <w:ind w:right="131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560" w:type="dxa"/>
          </w:tcPr>
          <w:p w:rsidR="00C240B0" w:rsidRDefault="00C240B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C240B0" w:rsidTr="00C240B0">
        <w:trPr>
          <w:cnfStyle w:val="000000100000" w:firstRow="0" w:lastRow="0" w:firstColumn="0" w:lastColumn="0" w:oddVBand="0" w:evenVBand="0" w:oddHBand="1" w:evenHBand="0" w:firstRowFirstColumn="0" w:firstRowLastColumn="0" w:lastRowFirstColumn="0" w:lastRowLastColumn="0"/>
          <w:trHeight w:val="589"/>
        </w:trPr>
        <w:tc>
          <w:tcPr>
            <w:cnfStyle w:val="001000000000" w:firstRow="0" w:lastRow="0" w:firstColumn="1" w:lastColumn="0" w:oddVBand="0" w:evenVBand="0" w:oddHBand="0" w:evenHBand="0" w:firstRowFirstColumn="0" w:firstRowLastColumn="0" w:lastRowFirstColumn="0" w:lastRowLastColumn="0"/>
            <w:tcW w:w="0" w:type="auto"/>
          </w:tcPr>
          <w:p w:rsidR="00C240B0" w:rsidRDefault="00494497">
            <w:pPr>
              <w:rPr>
                <w:sz w:val="16"/>
                <w:szCs w:val="16"/>
              </w:rPr>
            </w:pPr>
            <w:r>
              <w:rPr>
                <w:sz w:val="16"/>
                <w:szCs w:val="16"/>
              </w:rPr>
              <w:t>SYS_B</w:t>
            </w:r>
          </w:p>
        </w:tc>
        <w:tc>
          <w:tcPr>
            <w:tcW w:w="990" w:type="dxa"/>
          </w:tcPr>
          <w:p w:rsidR="00C240B0" w:rsidRDefault="0049449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596" w:type="dxa"/>
          </w:tcPr>
          <w:p w:rsidR="00C240B0" w:rsidRDefault="00C240B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559" w:type="dxa"/>
          </w:tcPr>
          <w:p w:rsidR="00C240B0" w:rsidRDefault="00C240B0">
            <w:pPr>
              <w:ind w:right="131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560" w:type="dxa"/>
          </w:tcPr>
          <w:p w:rsidR="00C240B0" w:rsidRDefault="00C240B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C240B0" w:rsidTr="00C240B0">
        <w:trPr>
          <w:trHeight w:val="589"/>
        </w:trPr>
        <w:tc>
          <w:tcPr>
            <w:cnfStyle w:val="001000000000" w:firstRow="0" w:lastRow="0" w:firstColumn="1" w:lastColumn="0" w:oddVBand="0" w:evenVBand="0" w:oddHBand="0" w:evenHBand="0" w:firstRowFirstColumn="0" w:firstRowLastColumn="0" w:lastRowFirstColumn="0" w:lastRowLastColumn="0"/>
            <w:tcW w:w="0" w:type="auto"/>
          </w:tcPr>
          <w:p w:rsidR="00C240B0" w:rsidRDefault="00494497">
            <w:pPr>
              <w:rPr>
                <w:sz w:val="16"/>
                <w:szCs w:val="16"/>
              </w:rPr>
            </w:pPr>
            <w:r>
              <w:rPr>
                <w:sz w:val="16"/>
                <w:szCs w:val="16"/>
              </w:rPr>
              <w:t>SYS_C</w:t>
            </w:r>
          </w:p>
        </w:tc>
        <w:tc>
          <w:tcPr>
            <w:tcW w:w="990" w:type="dxa"/>
          </w:tcPr>
          <w:p w:rsidR="00C240B0" w:rsidRDefault="004944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596" w:type="dxa"/>
          </w:tcPr>
          <w:p w:rsidR="00C240B0" w:rsidRDefault="00C240B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559" w:type="dxa"/>
          </w:tcPr>
          <w:p w:rsidR="00C240B0" w:rsidRDefault="00C240B0">
            <w:pPr>
              <w:ind w:right="131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560" w:type="dxa"/>
          </w:tcPr>
          <w:p w:rsidR="00C240B0" w:rsidRDefault="00C240B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C240B0" w:rsidTr="00C240B0">
        <w:trPr>
          <w:cnfStyle w:val="000000100000" w:firstRow="0" w:lastRow="0" w:firstColumn="0" w:lastColumn="0" w:oddVBand="0" w:evenVBand="0" w:oddHBand="1" w:evenHBand="0" w:firstRowFirstColumn="0" w:firstRowLastColumn="0" w:lastRowFirstColumn="0" w:lastRowLastColumn="0"/>
          <w:trHeight w:val="589"/>
        </w:trPr>
        <w:tc>
          <w:tcPr>
            <w:cnfStyle w:val="001000000000" w:firstRow="0" w:lastRow="0" w:firstColumn="1" w:lastColumn="0" w:oddVBand="0" w:evenVBand="0" w:oddHBand="0" w:evenHBand="0" w:firstRowFirstColumn="0" w:firstRowLastColumn="0" w:lastRowFirstColumn="0" w:lastRowLastColumn="0"/>
            <w:tcW w:w="0" w:type="auto"/>
          </w:tcPr>
          <w:p w:rsidR="00C240B0" w:rsidRDefault="00494497">
            <w:pPr>
              <w:rPr>
                <w:sz w:val="16"/>
                <w:szCs w:val="16"/>
              </w:rPr>
            </w:pPr>
            <w:r>
              <w:rPr>
                <w:sz w:val="16"/>
                <w:szCs w:val="16"/>
              </w:rPr>
              <w:t>SYS_A</w:t>
            </w:r>
          </w:p>
        </w:tc>
        <w:tc>
          <w:tcPr>
            <w:tcW w:w="990" w:type="dxa"/>
          </w:tcPr>
          <w:p w:rsidR="00C240B0" w:rsidRDefault="0049449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596" w:type="dxa"/>
          </w:tcPr>
          <w:p w:rsidR="00C240B0" w:rsidRDefault="00C240B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559" w:type="dxa"/>
          </w:tcPr>
          <w:p w:rsidR="00C240B0" w:rsidRDefault="00C240B0">
            <w:pPr>
              <w:ind w:right="131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560" w:type="dxa"/>
          </w:tcPr>
          <w:p w:rsidR="00C240B0" w:rsidRDefault="00C240B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C240B0" w:rsidTr="00C240B0">
        <w:trPr>
          <w:trHeight w:val="635"/>
        </w:trPr>
        <w:tc>
          <w:tcPr>
            <w:cnfStyle w:val="001000000000" w:firstRow="0" w:lastRow="0" w:firstColumn="1" w:lastColumn="0" w:oddVBand="0" w:evenVBand="0" w:oddHBand="0" w:evenHBand="0" w:firstRowFirstColumn="0" w:firstRowLastColumn="0" w:lastRowFirstColumn="0" w:lastRowLastColumn="0"/>
            <w:tcW w:w="3788" w:type="dxa"/>
            <w:tcBorders>
              <w:bottom w:val="single" w:sz="4" w:space="0" w:color="4F81BD" w:themeColor="accent1"/>
            </w:tcBorders>
          </w:tcPr>
          <w:p w:rsidR="00C240B0" w:rsidRDefault="00494497">
            <w:pPr>
              <w:rPr>
                <w:rFonts w:asciiTheme="minorHAnsi" w:hAnsiTheme="minorHAnsi" w:cstheme="minorHAnsi"/>
                <w:sz w:val="16"/>
                <w:szCs w:val="16"/>
              </w:rPr>
            </w:pPr>
            <w:r>
              <w:rPr>
                <w:rFonts w:asciiTheme="minorHAnsi" w:hAnsiTheme="minorHAnsi" w:cstheme="minorHAnsi"/>
                <w:sz w:val="16"/>
                <w:szCs w:val="16"/>
              </w:rPr>
              <w:t>REVERS</w:t>
            </w:r>
          </w:p>
        </w:tc>
        <w:tc>
          <w:tcPr>
            <w:tcW w:w="990" w:type="dxa"/>
            <w:tcBorders>
              <w:bottom w:val="single" w:sz="4" w:space="0" w:color="4F81BD" w:themeColor="accent1"/>
            </w:tcBorders>
          </w:tcPr>
          <w:p w:rsidR="00C240B0" w:rsidRDefault="004944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w:t>
            </w:r>
          </w:p>
        </w:tc>
        <w:tc>
          <w:tcPr>
            <w:tcW w:w="1596" w:type="dxa"/>
            <w:tcBorders>
              <w:bottom w:val="single" w:sz="4" w:space="0" w:color="4F81BD" w:themeColor="accent1"/>
            </w:tcBorders>
          </w:tcPr>
          <w:p w:rsidR="00C240B0" w:rsidRDefault="00C240B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559" w:type="dxa"/>
            <w:tcBorders>
              <w:bottom w:val="single" w:sz="4" w:space="0" w:color="4F81BD" w:themeColor="accent1"/>
            </w:tcBorders>
          </w:tcPr>
          <w:p w:rsidR="00C240B0" w:rsidRDefault="00C240B0">
            <w:pPr>
              <w:ind w:right="131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560" w:type="dxa"/>
            <w:tcBorders>
              <w:bottom w:val="single" w:sz="4" w:space="0" w:color="4F81BD" w:themeColor="accent1"/>
            </w:tcBorders>
          </w:tcPr>
          <w:p w:rsidR="00C240B0" w:rsidRDefault="00C240B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C240B0" w:rsidTr="00C240B0">
        <w:trPr>
          <w:cnfStyle w:val="000000100000" w:firstRow="0" w:lastRow="0" w:firstColumn="0" w:lastColumn="0" w:oddVBand="0" w:evenVBand="0" w:oddHBand="1" w:evenHBand="0"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3788" w:type="dxa"/>
            <w:tcBorders>
              <w:top w:val="single" w:sz="4" w:space="0" w:color="4F81BD" w:themeColor="accent1"/>
              <w:left w:val="single" w:sz="4" w:space="0" w:color="4F81BD" w:themeColor="accent1"/>
              <w:bottom w:val="single" w:sz="4" w:space="0" w:color="4F81BD" w:themeColor="accent1"/>
            </w:tcBorders>
          </w:tcPr>
          <w:p w:rsidR="00C240B0" w:rsidRDefault="00494497">
            <w:pPr>
              <w:rPr>
                <w:rFonts w:asciiTheme="minorHAnsi" w:hAnsiTheme="minorHAnsi" w:cstheme="minorHAnsi"/>
                <w:color w:val="E36C0A" w:themeColor="accent6" w:themeShade="BF"/>
                <w:sz w:val="16"/>
                <w:szCs w:val="16"/>
              </w:rPr>
            </w:pPr>
            <w:r>
              <w:rPr>
                <w:rFonts w:asciiTheme="minorHAnsi" w:hAnsiTheme="minorHAnsi" w:cstheme="minorHAnsi"/>
                <w:color w:val="E36C0A" w:themeColor="accent6" w:themeShade="BF"/>
                <w:sz w:val="16"/>
                <w:szCs w:val="16"/>
              </w:rPr>
              <w:t>Total GENERAL de la SIMULATION</w:t>
            </w:r>
          </w:p>
        </w:tc>
        <w:tc>
          <w:tcPr>
            <w:tcW w:w="990" w:type="dxa"/>
            <w:tcBorders>
              <w:top w:val="single" w:sz="4" w:space="0" w:color="4F81BD" w:themeColor="accent1"/>
              <w:bottom w:val="single" w:sz="4" w:space="0" w:color="4F81BD" w:themeColor="accent1"/>
            </w:tcBorders>
          </w:tcPr>
          <w:p w:rsidR="00C240B0" w:rsidRDefault="0049449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E36C0A" w:themeColor="accent6" w:themeShade="BF"/>
                <w:sz w:val="16"/>
                <w:szCs w:val="16"/>
              </w:rPr>
            </w:pPr>
            <w:r>
              <w:rPr>
                <w:rFonts w:asciiTheme="minorHAnsi" w:hAnsiTheme="minorHAnsi" w:cstheme="minorHAnsi"/>
                <w:color w:val="E36C0A" w:themeColor="accent6" w:themeShade="BF"/>
                <w:sz w:val="16"/>
                <w:szCs w:val="16"/>
              </w:rPr>
              <w:t>NA</w:t>
            </w:r>
          </w:p>
        </w:tc>
        <w:tc>
          <w:tcPr>
            <w:tcW w:w="1596" w:type="dxa"/>
            <w:tcBorders>
              <w:top w:val="single" w:sz="4" w:space="0" w:color="4F81BD" w:themeColor="accent1"/>
              <w:bottom w:val="single" w:sz="4" w:space="0" w:color="4F81BD" w:themeColor="accent1"/>
            </w:tcBorders>
          </w:tcPr>
          <w:p w:rsidR="00C240B0" w:rsidRDefault="00C240B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E36C0A" w:themeColor="accent6" w:themeShade="BF"/>
                <w:sz w:val="16"/>
                <w:szCs w:val="16"/>
              </w:rPr>
            </w:pPr>
          </w:p>
        </w:tc>
        <w:tc>
          <w:tcPr>
            <w:tcW w:w="1559" w:type="dxa"/>
            <w:tcBorders>
              <w:top w:val="single" w:sz="4" w:space="0" w:color="4F81BD" w:themeColor="accent1"/>
              <w:bottom w:val="single" w:sz="4" w:space="0" w:color="4F81BD" w:themeColor="accent1"/>
            </w:tcBorders>
          </w:tcPr>
          <w:p w:rsidR="00C240B0" w:rsidRDefault="00C240B0">
            <w:pPr>
              <w:ind w:right="131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E36C0A" w:themeColor="accent6" w:themeShade="BF"/>
                <w:sz w:val="16"/>
                <w:szCs w:val="16"/>
              </w:rPr>
            </w:pPr>
          </w:p>
        </w:tc>
        <w:tc>
          <w:tcPr>
            <w:tcW w:w="1560" w:type="dxa"/>
            <w:tcBorders>
              <w:top w:val="single" w:sz="4" w:space="0" w:color="4F81BD" w:themeColor="accent1"/>
              <w:bottom w:val="single" w:sz="4" w:space="0" w:color="4F81BD" w:themeColor="accent1"/>
            </w:tcBorders>
          </w:tcPr>
          <w:p w:rsidR="00C240B0" w:rsidRDefault="00C240B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E36C0A" w:themeColor="accent6" w:themeShade="BF"/>
                <w:sz w:val="16"/>
                <w:szCs w:val="16"/>
              </w:rPr>
            </w:pPr>
          </w:p>
        </w:tc>
      </w:tr>
    </w:tbl>
    <w:p w:rsidR="00C240B0" w:rsidRDefault="00C240B0"/>
    <w:sectPr w:rsidR="00C240B0">
      <w:pgSz w:w="11906" w:h="16838"/>
      <w:pgMar w:top="1134"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40B0" w:rsidRDefault="00494497">
      <w:pPr>
        <w:spacing w:after="0" w:line="240" w:lineRule="auto"/>
      </w:pPr>
      <w:r>
        <w:separator/>
      </w:r>
    </w:p>
  </w:endnote>
  <w:endnote w:type="continuationSeparator" w:id="0">
    <w:p w:rsidR="00C240B0" w:rsidRDefault="00494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charset w:val="00"/>
    <w:family w:val="auto"/>
    <w:pitch w:val="default"/>
  </w:font>
  <w:font w:name="Tahoma">
    <w:panose1 w:val="020B0604030504040204"/>
    <w:charset w:val="00"/>
    <w:family w:val="swiss"/>
    <w:pitch w:val="variable"/>
    <w:sig w:usb0="E1002EFF" w:usb1="C000605B" w:usb2="00000029" w:usb3="00000000" w:csb0="000101FF" w:csb1="00000000"/>
  </w:font>
  <w:font w:name="EurekaSans-Regular">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0B0" w:rsidRDefault="0049449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C240B0" w:rsidRDefault="00C240B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72" w:type="dxa"/>
      <w:tblInd w:w="250" w:type="dxa"/>
      <w:tblLook w:val="00A0" w:firstRow="1" w:lastRow="0" w:firstColumn="1" w:lastColumn="0" w:noHBand="0" w:noVBand="0"/>
    </w:tblPr>
    <w:tblGrid>
      <w:gridCol w:w="3119"/>
      <w:gridCol w:w="3543"/>
      <w:gridCol w:w="2410"/>
    </w:tblGrid>
    <w:tr w:rsidR="00C240B0">
      <w:trPr>
        <w:trHeight w:val="318"/>
      </w:trPr>
      <w:tc>
        <w:tcPr>
          <w:tcW w:w="3119" w:type="dxa"/>
          <w:tcBorders>
            <w:right w:val="single" w:sz="4" w:space="0" w:color="auto"/>
          </w:tcBorders>
        </w:tcPr>
        <w:p w:rsidR="00C240B0" w:rsidRDefault="00494497">
          <w:pPr>
            <w:pStyle w:val="Pieddepage"/>
            <w:ind w:left="-108"/>
            <w:rPr>
              <w:rFonts w:ascii="Arial" w:hAnsi="Arial"/>
              <w:sz w:val="13"/>
            </w:rPr>
          </w:pPr>
          <w:r>
            <w:rPr>
              <w:rFonts w:ascii="Arial" w:hAnsi="Arial"/>
              <w:sz w:val="13"/>
            </w:rPr>
            <w:t xml:space="preserve">Agence </w:t>
          </w:r>
          <w:proofErr w:type="spellStart"/>
          <w:r>
            <w:rPr>
              <w:rFonts w:ascii="Arial" w:hAnsi="Arial"/>
              <w:sz w:val="13"/>
            </w:rPr>
            <w:t>Francaise</w:t>
          </w:r>
          <w:proofErr w:type="spellEnd"/>
          <w:r>
            <w:rPr>
              <w:rFonts w:ascii="Arial" w:hAnsi="Arial"/>
              <w:sz w:val="13"/>
            </w:rPr>
            <w:t xml:space="preserve"> de Lutte contre le Dopage </w:t>
          </w:r>
        </w:p>
        <w:p w:rsidR="00C240B0" w:rsidRDefault="00494497">
          <w:pPr>
            <w:pStyle w:val="Pieddepage"/>
            <w:ind w:left="-108"/>
            <w:rPr>
              <w:rFonts w:ascii="Arial" w:hAnsi="Arial"/>
              <w:sz w:val="13"/>
            </w:rPr>
          </w:pPr>
          <w:r>
            <w:rPr>
              <w:rFonts w:ascii="Arial" w:hAnsi="Arial"/>
              <w:sz w:val="13"/>
            </w:rPr>
            <w:t>CRF – Infogérance 2025</w:t>
          </w:r>
        </w:p>
      </w:tc>
      <w:tc>
        <w:tcPr>
          <w:tcW w:w="3543" w:type="dxa"/>
          <w:tcBorders>
            <w:left w:val="single" w:sz="4" w:space="0" w:color="auto"/>
            <w:right w:val="single" w:sz="4" w:space="0" w:color="auto"/>
          </w:tcBorders>
        </w:tcPr>
        <w:p w:rsidR="00C240B0" w:rsidRDefault="00494497">
          <w:pPr>
            <w:pStyle w:val="Pieddepage"/>
            <w:rPr>
              <w:rFonts w:ascii="Arial" w:hAnsi="Arial"/>
              <w:sz w:val="13"/>
            </w:rPr>
          </w:pPr>
          <w:r>
            <w:rPr>
              <w:rFonts w:ascii="Arial" w:hAnsi="Arial"/>
              <w:sz w:val="13"/>
            </w:rPr>
            <w:t>8 rue Auber, 75009 Paris</w:t>
          </w:r>
        </w:p>
        <w:p w:rsidR="00C240B0" w:rsidRDefault="00494497">
          <w:pPr>
            <w:pStyle w:val="Pieddepage"/>
            <w:rPr>
              <w:rFonts w:ascii="Arial" w:hAnsi="Arial"/>
              <w:sz w:val="13"/>
            </w:rPr>
          </w:pPr>
          <w:r>
            <w:rPr>
              <w:rFonts w:ascii="Arial" w:hAnsi="Arial"/>
              <w:sz w:val="13"/>
            </w:rPr>
            <w:t>+33 1 40 62 76 76     www.afld.fr</w:t>
          </w:r>
        </w:p>
      </w:tc>
      <w:tc>
        <w:tcPr>
          <w:tcW w:w="2410" w:type="dxa"/>
          <w:tcBorders>
            <w:left w:val="single" w:sz="4" w:space="0" w:color="auto"/>
          </w:tcBorders>
        </w:tcPr>
        <w:p w:rsidR="00C240B0" w:rsidRDefault="00494497">
          <w:pPr>
            <w:pStyle w:val="Pieddepage"/>
            <w:rPr>
              <w:rFonts w:ascii="Arial" w:hAnsi="Arial"/>
              <w:sz w:val="14"/>
            </w:rPr>
          </w:pPr>
          <w:r>
            <w:rPr>
              <w:rFonts w:ascii="Arial" w:hAnsi="Arial"/>
              <w:noProof/>
              <w:sz w:val="14"/>
            </w:rPr>
            <mc:AlternateContent>
              <mc:Choice Requires="wpg">
                <w:drawing>
                  <wp:inline distT="0" distB="0" distL="0" distR="0">
                    <wp:extent cx="428625" cy="247650"/>
                    <wp:effectExtent l="19050" t="0" r="9525" b="0"/>
                    <wp:docPr id="1" name="Image 1" descr="\\localhost\Volumes\Production\Projets\ANAP\9942_LOT1_IDENTITE VISUELLE\CREA\01_IDENTITE ET CHARTE GRAPHIQUE\PHASE BAT\ANAP_BOITE A OUTILS\MASQUES-bureautique\masque-Word\MASQUE COMMUNIQUE DE PRESSE\elments graphiques\Marianne_masque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calhost\Volumes\Production\Projets\ANAP\9942_LOT1_IDENTITE VISUELLE\CREA\01_IDENTITE ET CHARTE GRAPHIQUE\PHASE BAT\ANAP_BOITE A OUTILS\MASQUES-bureautique\masque-Word\MASQUE COMMUNIQUE DE PRESSE\elments graphiques\Marianne_masqueWord.jpg"/>
                            <pic:cNvPicPr>
                              <a:picLocks noChangeAspect="1"/>
                            </pic:cNvPicPr>
                          </pic:nvPicPr>
                          <pic:blipFill>
                            <a:blip r:embed="rId1"/>
                            <a:stretch/>
                          </pic:blipFill>
                          <pic:spPr bwMode="auto">
                            <a:xfrm>
                              <a:off x="0" y="0"/>
                              <a:ext cx="428625" cy="247650"/>
                            </a:xfrm>
                            <a:prstGeom prst="rect">
                              <a:avLst/>
                            </a:prstGeom>
                            <a:noFill/>
                            <a:ln w="9525">
                              <a:noFill/>
                              <a:miter lim="800000"/>
                              <a:headEnd/>
                              <a:tailEnd/>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33.75pt;height:19.50pt;mso-wrap-distance-left:0.00pt;mso-wrap-distance-top:0.00pt;mso-wrap-distance-right:0.00pt;mso-wrap-distance-bottom:0.00pt;z-index:1;" stroked="f" strokeweight="0.75pt">
                    <v:imagedata r:id="rId2" o:title=""/>
                    <o:lock v:ext="edit" rotation="t"/>
                  </v:shape>
                </w:pict>
              </mc:Fallback>
            </mc:AlternateContent>
          </w:r>
        </w:p>
      </w:tc>
    </w:tr>
  </w:tbl>
  <w:p w:rsidR="00C240B0" w:rsidRDefault="00C240B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40B0" w:rsidRDefault="00494497">
      <w:pPr>
        <w:spacing w:after="0" w:line="240" w:lineRule="auto"/>
      </w:pPr>
      <w:r>
        <w:separator/>
      </w:r>
    </w:p>
  </w:footnote>
  <w:footnote w:type="continuationSeparator" w:id="0">
    <w:p w:rsidR="00C240B0" w:rsidRDefault="004944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A55D8B"/>
    <w:multiLevelType w:val="multilevel"/>
    <w:tmpl w:val="B3241AE4"/>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D133769"/>
    <w:multiLevelType w:val="multilevel"/>
    <w:tmpl w:val="DB7A86CE"/>
    <w:lvl w:ilvl="0">
      <w:numFmt w:val="bullet"/>
      <w:lvlText w:val=""/>
      <w:lvlJc w:val="left"/>
      <w:pPr>
        <w:ind w:left="720" w:hanging="360"/>
      </w:pPr>
      <w:rPr>
        <w:rFonts w:ascii="Symbol" w:eastAsia="Times New Roman"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4EEA3FDD"/>
    <w:multiLevelType w:val="multilevel"/>
    <w:tmpl w:val="7EC01EF2"/>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5B6573EB"/>
    <w:multiLevelType w:val="multilevel"/>
    <w:tmpl w:val="C220EF60"/>
    <w:lvl w:ilvl="0">
      <w:start w:val="5"/>
      <w:numFmt w:val="bullet"/>
      <w:lvlText w:val="-"/>
      <w:lvlJc w:val="left"/>
      <w:pPr>
        <w:ind w:left="420" w:hanging="360"/>
      </w:pPr>
      <w:rPr>
        <w:rFonts w:ascii="Arial" w:eastAsia="Calibri"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abstractNum w:abstractNumId="4" w15:restartNumberingAfterBreak="0">
    <w:nsid w:val="6FCE13F6"/>
    <w:multiLevelType w:val="multilevel"/>
    <w:tmpl w:val="D86AE162"/>
    <w:lvl w:ilvl="0">
      <w:start w:val="12"/>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36003E9"/>
    <w:multiLevelType w:val="multilevel"/>
    <w:tmpl w:val="7B60A284"/>
    <w:lvl w:ilvl="0">
      <w:numFmt w:val="bullet"/>
      <w:lvlText w:val=""/>
      <w:lvlJc w:val="left"/>
      <w:pPr>
        <w:ind w:left="720" w:hanging="360"/>
      </w:pPr>
      <w:rPr>
        <w:rFonts w:ascii="Symbol" w:eastAsia="Times New Roman"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763C2915"/>
    <w:multiLevelType w:val="multilevel"/>
    <w:tmpl w:val="8A929A44"/>
    <w:lvl w:ilvl="0">
      <w:start w:val="12"/>
      <w:numFmt w:val="bullet"/>
      <w:lvlText w:val="-"/>
      <w:lvlJc w:val="left"/>
      <w:pPr>
        <w:ind w:left="360" w:hanging="360"/>
      </w:pPr>
      <w:rPr>
        <w:rFonts w:ascii="Calibri" w:eastAsia="Times New Roman" w:hAnsi="Calibri" w:cs="Calibri"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0B0"/>
    <w:rsid w:val="00494497"/>
    <w:rsid w:val="00C240B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A8CE44-1875-4978-B081-E09B8D536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rPr>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365F91"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itre4">
    <w:name w:val="heading 4"/>
    <w:basedOn w:val="Normal"/>
    <w:next w:val="Normal"/>
    <w:link w:val="Titre4Car"/>
    <w:qFormat/>
    <w:pPr>
      <w:keepNext/>
      <w:spacing w:after="0" w:line="240" w:lineRule="auto"/>
      <w:jc w:val="center"/>
      <w:outlineLvl w:val="3"/>
    </w:pPr>
    <w:rPr>
      <w:rFonts w:ascii="Arial" w:hAnsi="Arial"/>
      <w:caps/>
      <w:sz w:val="20"/>
      <w:szCs w:val="20"/>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line="240" w:lineRule="auto"/>
    </w:pPr>
    <w:rPr>
      <w:i/>
      <w:iCs/>
      <w:color w:val="1F497D"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Paragraphedeliste">
    <w:name w:val="List Paragraph"/>
    <w:basedOn w:val="Normal"/>
    <w:uiPriority w:val="34"/>
    <w:qFormat/>
    <w:pPr>
      <w:ind w:left="720"/>
      <w:contextualSpacing/>
    </w:pPr>
  </w:style>
  <w:style w:type="character" w:customStyle="1" w:styleId="Titre4Car">
    <w:name w:val="Titre 4 Car"/>
    <w:basedOn w:val="Policepardfaut"/>
    <w:link w:val="Titre4"/>
    <w:rPr>
      <w:rFonts w:ascii="Arial" w:eastAsia="Times New Roman" w:hAnsi="Arial" w:cs="Times New Roman"/>
      <w:caps/>
      <w:sz w:val="20"/>
      <w:szCs w:val="20"/>
    </w:rPr>
  </w:style>
  <w:style w:type="paragraph" w:styleId="Pieddepage">
    <w:name w:val="footer"/>
    <w:basedOn w:val="Normal"/>
    <w:link w:val="PieddepageCar"/>
    <w:uiPriority w:val="99"/>
    <w:pPr>
      <w:pBdr>
        <w:top w:val="single" w:sz="6" w:space="1" w:color="000000"/>
      </w:pBdr>
      <w:tabs>
        <w:tab w:val="center" w:pos="5103"/>
        <w:tab w:val="right" w:pos="9072"/>
      </w:tabs>
      <w:spacing w:after="0" w:line="240" w:lineRule="auto"/>
      <w:jc w:val="center"/>
    </w:pPr>
    <w:rPr>
      <w:rFonts w:ascii="Times New Roman" w:hAnsi="Times New Roman"/>
      <w:i/>
      <w:sz w:val="16"/>
      <w:szCs w:val="16"/>
    </w:rPr>
  </w:style>
  <w:style w:type="character" w:customStyle="1" w:styleId="PieddepageCar">
    <w:name w:val="Pied de page Car"/>
    <w:basedOn w:val="Policepardfaut"/>
    <w:link w:val="Pieddepage"/>
    <w:uiPriority w:val="99"/>
    <w:rPr>
      <w:rFonts w:ascii="Times New Roman" w:eastAsia="Times New Roman" w:hAnsi="Times New Roman" w:cs="Times New Roman"/>
      <w:i/>
      <w:sz w:val="16"/>
      <w:szCs w:val="16"/>
    </w:rPr>
  </w:style>
  <w:style w:type="character" w:styleId="Numrodepage">
    <w:name w:val="page number"/>
    <w:basedOn w:val="Policepardfaut"/>
  </w:style>
  <w:style w:type="character" w:customStyle="1" w:styleId="A0">
    <w:name w:val="A0"/>
    <w:uiPriority w:val="99"/>
    <w:rPr>
      <w:rFonts w:cs="Myriad Pro"/>
      <w:color w:val="000000"/>
      <w:sz w:val="13"/>
      <w:szCs w:val="13"/>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xplorateurdedocuments">
    <w:name w:val="Document Map"/>
    <w:basedOn w:val="Normal"/>
    <w:link w:val="ExplorateurdedocumentsCar"/>
    <w:uiPriority w:val="99"/>
    <w:semiHidden/>
    <w:unhideWhenUse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Pr>
      <w:rFonts w:ascii="Tahoma" w:hAnsi="Tahoma" w:cs="Tahoma"/>
      <w:sz w:val="16"/>
      <w:szCs w:val="16"/>
    </w:rPr>
  </w:style>
  <w:style w:type="table" w:styleId="Grillemoyenne3-Accent4">
    <w:name w:val="Medium Grid 3 Accent 4"/>
    <w:basedOn w:val="TableauNormal"/>
    <w:uiPriority w:val="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tcBorders>
        <w:shd w:val="clear" w:color="auto" w:fill="8064A2" w:themeFill="accent4"/>
      </w:tcPr>
    </w:tblStylePr>
    <w:tblStylePr w:type="lastCol">
      <w:rPr>
        <w:b/>
        <w:bCs/>
        <w:i w:val="0"/>
        <w:iCs w:val="0"/>
        <w:color w:val="FFFFFF" w:themeColor="background1"/>
      </w:rPr>
      <w:tblPr/>
      <w:tcPr>
        <w:tcBorders>
          <w:top w:val="none" w:sz="4" w:space="0" w:color="000000"/>
          <w:left w:val="single" w:sz="24" w:space="0" w:color="FFFFFF" w:themeColor="background1"/>
          <w:bottom w:val="none" w:sz="4" w:space="0" w:color="000000"/>
          <w:right w:val="none" w:sz="4" w:space="0" w:color="000000"/>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BFB1D0" w:themeFill="accent4" w:themeFillTint="7F"/>
      </w:tcPr>
    </w:tblStylePr>
  </w:style>
  <w:style w:type="table" w:styleId="Tramemoyenne1-Accent4">
    <w:name w:val="Medium Shading 1 Accent 4"/>
    <w:basedOn w:val="TableauNormal"/>
    <w:uiPriority w:val="63"/>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tcBorders>
        <w:shd w:val="clear" w:color="auto" w:fill="8064A2" w:themeFill="accent4"/>
      </w:tcPr>
    </w:tblStylePr>
    <w:tblStylePr w:type="lastRow">
      <w:pPr>
        <w:spacing w:before="0" w:after="0" w:line="240" w:lineRule="auto"/>
      </w:pPr>
      <w:rPr>
        <w:b/>
        <w:bCs/>
      </w:rPr>
      <w:tblPr/>
      <w:tcPr>
        <w:tcBorders>
          <w:top w:val="sing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character" w:styleId="Marquedecommentaire">
    <w:name w:val="annotation reference"/>
    <w:basedOn w:val="Policepardfaut"/>
    <w:semiHidden/>
    <w:unhideWhenUsed/>
    <w:rPr>
      <w:sz w:val="16"/>
      <w:szCs w:val="16"/>
    </w:rPr>
  </w:style>
  <w:style w:type="paragraph" w:styleId="Commentaire">
    <w:name w:val="annotation text"/>
    <w:basedOn w:val="Normal"/>
    <w:link w:val="CommentaireCar"/>
    <w:semiHidden/>
    <w:unhideWhenUsed/>
    <w:pPr>
      <w:spacing w:line="240" w:lineRule="auto"/>
    </w:pPr>
    <w:rPr>
      <w:sz w:val="20"/>
      <w:szCs w:val="20"/>
    </w:rPr>
  </w:style>
  <w:style w:type="character" w:customStyle="1" w:styleId="CommentaireCar">
    <w:name w:val="Commentaire Car"/>
    <w:basedOn w:val="Policepardfaut"/>
    <w:link w:val="Commentaire"/>
    <w:uiPriority w:val="99"/>
    <w:semiHidden/>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rPr>
  </w:style>
  <w:style w:type="paragraph" w:customStyle="1" w:styleId="Titrepage">
    <w:name w:val="Titre page"/>
    <w:basedOn w:val="Normal"/>
    <w:pPr>
      <w:spacing w:after="0" w:line="240" w:lineRule="auto"/>
      <w:jc w:val="center"/>
    </w:pPr>
    <w:rPr>
      <w:rFonts w:ascii="Arial" w:hAnsi="Arial"/>
      <w:b/>
      <w:caps/>
      <w:sz w:val="40"/>
      <w:szCs w:val="40"/>
      <w:lang w:eastAsia="ar-SA"/>
    </w:rPr>
  </w:style>
  <w:style w:type="paragraph" w:styleId="En-tte">
    <w:name w:val="header"/>
    <w:basedOn w:val="Normal"/>
    <w:link w:val="En-tteCar"/>
    <w:pPr>
      <w:tabs>
        <w:tab w:val="center" w:pos="4536"/>
        <w:tab w:val="right" w:pos="9072"/>
      </w:tabs>
      <w:spacing w:after="0" w:line="240" w:lineRule="auto"/>
      <w:jc w:val="both"/>
    </w:pPr>
    <w:rPr>
      <w:rFonts w:ascii="EurekaSans-Regular" w:hAnsi="EurekaSans-Regular"/>
      <w:sz w:val="24"/>
      <w:szCs w:val="24"/>
      <w:lang w:eastAsia="ar-SA"/>
    </w:rPr>
  </w:style>
  <w:style w:type="character" w:customStyle="1" w:styleId="En-tteCar">
    <w:name w:val="En-tête Car"/>
    <w:basedOn w:val="Policepardfaut"/>
    <w:link w:val="En-tte"/>
    <w:rPr>
      <w:rFonts w:ascii="EurekaSans-Regular" w:hAnsi="EurekaSans-Regular"/>
      <w:sz w:val="24"/>
      <w:szCs w:val="24"/>
      <w:lang w:eastAsia="ar-SA"/>
    </w:rPr>
  </w:style>
  <w:style w:type="character" w:customStyle="1" w:styleId="CommentaireCar1">
    <w:name w:val="Commentaire Car1"/>
    <w:basedOn w:val="Policepardfaut"/>
    <w:uiPriority w:val="99"/>
    <w:semiHidden/>
    <w:rPr>
      <w:rFonts w:ascii="EurekaSans-Regular" w:hAnsi="EurekaSans-Regular"/>
      <w:lang w:eastAsia="ar-SA"/>
    </w:rPr>
  </w:style>
  <w:style w:type="table" w:styleId="TableauGrille1Clair-Accentuation1">
    <w:name w:val="Grid Table 1 Light Accent 1"/>
    <w:basedOn w:val="TableauNormal"/>
    <w:uiPriority w:val="46"/>
    <w:rPr>
      <w:rFonts w:asciiTheme="minorHAnsi" w:eastAsiaTheme="minorHAnsi" w:hAnsiTheme="minorHAnsi" w:cstheme="minorBidi"/>
      <w:sz w:val="22"/>
      <w:szCs w:val="22"/>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single" w:sz="2" w:space="0" w:color="95B3D7" w:themeColor="accent1" w:themeTint="99"/>
        </w:tcBorders>
      </w:tcPr>
    </w:tblStylePr>
    <w:tblStylePr w:type="firstCol">
      <w:rPr>
        <w:b/>
        <w:bCs/>
      </w:rPr>
    </w:tblStylePr>
    <w:tblStylePr w:type="lastCol">
      <w:rPr>
        <w:b/>
        <w:bCs/>
      </w:rPr>
    </w:tblStylePr>
  </w:style>
  <w:style w:type="table" w:styleId="TableauGrille6Couleur-Accentuation2">
    <w:name w:val="Grid Table 6 Colorful Accent 2"/>
    <w:basedOn w:val="TableauNormal"/>
    <w:uiPriority w:val="51"/>
    <w:rPr>
      <w:rFonts w:asciiTheme="minorHAnsi" w:eastAsiaTheme="minorEastAsia" w:hAnsiTheme="minorHAnsi" w:cstheme="minorBidi"/>
      <w:color w:val="943634" w:themeColor="accent2" w:themeShade="BF"/>
      <w:sz w:val="22"/>
      <w:szCs w:val="22"/>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eauGrille4-Accentuation5">
    <w:name w:val="Grid Table 4 Accent 5"/>
    <w:basedOn w:val="TableauNormal"/>
    <w:uiPriority w:val="4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bCs/>
      </w:rPr>
      <w:tblPr/>
      <w:tcPr>
        <w:tcBorders>
          <w:top w:val="sing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eauListe4-Accentuation3">
    <w:name w:val="List Table 4 Accent 3"/>
    <w:basedOn w:val="TableauNormal"/>
    <w:uiPriority w:val="4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auto" w:fill="9BBB59" w:themeFill="accent3"/>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auListe4-Accentuation2">
    <w:name w:val="List Table 4 Accent 2"/>
    <w:basedOn w:val="TableauNormal"/>
    <w:uiPriority w:val="4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C0504D" w:themeFill="accent2"/>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Default">
    <w:name w:val="Default"/>
    <w:rPr>
      <w:rFonts w:cs="Calibri"/>
      <w:color w:val="000000"/>
      <w:sz w:val="24"/>
      <w:szCs w:val="24"/>
    </w:rPr>
  </w:style>
  <w:style w:type="table" w:styleId="TableauGrille1Clair-Accentuation4">
    <w:name w:val="Grid Table 1 Light Accent 4"/>
    <w:basedOn w:val="TableauNormal"/>
    <w:uiPriority w:val="46"/>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single" w:sz="2" w:space="0" w:color="B2A1C7" w:themeColor="accent4" w:themeTint="99"/>
        </w:tcBorders>
      </w:tcPr>
    </w:tblStylePr>
    <w:tblStylePr w:type="firstCol">
      <w:rPr>
        <w:b/>
        <w:bCs/>
      </w:rPr>
    </w:tblStylePr>
    <w:tblStylePr w:type="lastCol">
      <w:rPr>
        <w:b/>
        <w:bCs/>
      </w:rPr>
    </w:tblStylePr>
  </w:style>
  <w:style w:type="table" w:styleId="TableauListe4-Accentuation6">
    <w:name w:val="List Table 4 Accent 6"/>
    <w:basedOn w:val="TableauNormal"/>
    <w:uiPriority w:val="49"/>
    <w:rPr>
      <w:rFonts w:asciiTheme="minorHAnsi" w:eastAsiaTheme="minorHAnsi" w:hAnsiTheme="minorHAnsi" w:cstheme="minorBidi"/>
      <w:sz w:val="22"/>
      <w:szCs w:val="22"/>
      <w:lang w:eastAsia="en-U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auListe4-Accentuation4">
    <w:name w:val="List Table 4 Accent 4"/>
    <w:basedOn w:val="TableauNormal"/>
    <w:uiPriority w:val="4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auto" w:fill="8064A2" w:themeFill="accent4"/>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Rvision">
    <w:name w:val="Revision"/>
    <w:hidden/>
    <w:uiPriority w:val="99"/>
    <w:semiHidden/>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69B8B-EEA0-45F3-98B4-D08408F5A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940</Words>
  <Characters>5173</Characters>
  <Application>Microsoft Office Word</Application>
  <DocSecurity>0</DocSecurity>
  <Lines>43</Lines>
  <Paragraphs>12</Paragraphs>
  <ScaleCrop>false</ScaleCrop>
  <Company>HP</Company>
  <LinksUpToDate>false</LinksUpToDate>
  <CharactersWithSpaces>6101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hlehericey</dc:creator>
  <cp:keywords/>
  <dc:description/>
  <cp:lastModifiedBy>Jean-François ETANCELIN</cp:lastModifiedBy>
  <cp:revision>7</cp:revision>
  <dcterms:created xsi:type="dcterms:W3CDTF">2025-01-03T10:42:00Z</dcterms:created>
  <dcterms:modified xsi:type="dcterms:W3CDTF">2025-02-03T17:22:00Z</dcterms:modified>
</cp:coreProperties>
</file>