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7D5A5D" w:rsidRDefault="007238C9">
      <w:pPr>
        <w:jc w:val="center"/>
        <w:rPr>
          <w:rFonts w:ascii="Arial" w:hAnsi="Arial" w:cs="Arial"/>
          <w:b/>
          <w:sz w:val="24"/>
          <w:szCs w:val="24"/>
        </w:rPr>
      </w:pPr>
      <w:r>
        <w:rPr>
          <w:noProof/>
        </w:rPr>
        <mc:AlternateContent>
          <mc:Choice Requires="wpg">
            <w:drawing>
              <wp:inline distT="0" distB="0" distL="0" distR="0">
                <wp:extent cx="2476500" cy="1696728"/>
                <wp:effectExtent l="0" t="0" r="0" b="0"/>
                <wp:docPr id="2"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29035" name="Image 3" descr="Une image contenant texte, Police, logo, Graphique&#10;&#10;Description générée automatiquement"/>
                        <pic:cNvPicPr>
                          <a:picLocks noChangeAspect="1"/>
                        </pic:cNvPicPr>
                      </pic:nvPicPr>
                      <pic:blipFill>
                        <a:blip r:embed="rId8"/>
                        <a:stretch/>
                      </pic:blipFill>
                      <pic:spPr bwMode="auto">
                        <a:xfrm>
                          <a:off x="0" y="0"/>
                          <a:ext cx="2492579" cy="1707744"/>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95.00pt;height:133.60pt;mso-wrap-distance-left:0.00pt;mso-wrap-distance-top:0.00pt;mso-wrap-distance-right:0.00pt;mso-wrap-distance-bottom:0.00pt;z-index:1;" stroked="false">
                <v:imagedata r:id="rId12" o:title=""/>
                <o:lock v:ext="edit" rotation="t"/>
              </v:shape>
            </w:pict>
          </mc:Fallback>
        </mc:AlternateContent>
      </w:r>
    </w:p>
    <w:p w:rsidR="007D5A5D" w:rsidRDefault="007D5A5D">
      <w:pPr>
        <w:tabs>
          <w:tab w:val="left" w:pos="2268"/>
          <w:tab w:val="left" w:pos="5131"/>
          <w:tab w:val="left" w:pos="9695"/>
        </w:tabs>
        <w:ind w:right="-1"/>
        <w:jc w:val="both"/>
        <w:rPr>
          <w:rFonts w:ascii="Arial" w:hAnsi="Arial" w:cs="Arial"/>
          <w:b/>
          <w:sz w:val="24"/>
          <w:szCs w:val="24"/>
        </w:rPr>
      </w:pPr>
    </w:p>
    <w:p w:rsidR="007D5A5D" w:rsidRDefault="007D5A5D">
      <w:pPr>
        <w:tabs>
          <w:tab w:val="left" w:pos="2268"/>
          <w:tab w:val="left" w:pos="5131"/>
          <w:tab w:val="left" w:pos="9695"/>
        </w:tabs>
        <w:ind w:right="-1"/>
        <w:jc w:val="both"/>
        <w:rPr>
          <w:rFonts w:ascii="Arial" w:hAnsi="Arial" w:cs="Arial"/>
          <w:b/>
          <w:sz w:val="24"/>
          <w:szCs w:val="24"/>
        </w:rPr>
      </w:pPr>
    </w:p>
    <w:p w:rsidR="007D5A5D" w:rsidRDefault="007D5A5D">
      <w:pPr>
        <w:tabs>
          <w:tab w:val="left" w:pos="2268"/>
          <w:tab w:val="left" w:pos="5131"/>
          <w:tab w:val="left" w:pos="9695"/>
        </w:tabs>
        <w:ind w:right="-1"/>
        <w:jc w:val="center"/>
        <w:rPr>
          <w:rFonts w:ascii="Arial" w:hAnsi="Arial" w:cs="Arial"/>
          <w:b/>
          <w:sz w:val="24"/>
          <w:szCs w:val="24"/>
        </w:rPr>
      </w:pPr>
    </w:p>
    <w:p w:rsidR="007D5A5D" w:rsidRDefault="007238C9">
      <w:pPr>
        <w:pStyle w:val="Titrepage"/>
      </w:pPr>
      <w:r>
        <w:t>agence francaise de lutte contre le dopage</w:t>
      </w:r>
    </w:p>
    <w:p w:rsidR="007D5A5D" w:rsidRDefault="007D5A5D">
      <w:pPr>
        <w:pBdr>
          <w:bottom w:val="single" w:sz="6" w:space="1" w:color="000000"/>
        </w:pBdr>
        <w:tabs>
          <w:tab w:val="left" w:pos="9695"/>
        </w:tabs>
        <w:ind w:right="-1"/>
        <w:jc w:val="center"/>
        <w:rPr>
          <w:rFonts w:ascii="Arial" w:hAnsi="Arial" w:cs="Arial"/>
          <w:b/>
          <w:i/>
          <w:sz w:val="40"/>
          <w:szCs w:val="40"/>
        </w:rPr>
      </w:pPr>
    </w:p>
    <w:p w:rsidR="007D5A5D" w:rsidRDefault="007D5A5D">
      <w:pPr>
        <w:tabs>
          <w:tab w:val="left" w:pos="2268"/>
          <w:tab w:val="left" w:pos="5131"/>
          <w:tab w:val="left" w:pos="9695"/>
        </w:tabs>
        <w:ind w:right="-1"/>
        <w:rPr>
          <w:rFonts w:ascii="Arial" w:hAnsi="Arial" w:cs="Arial"/>
          <w:b/>
          <w:sz w:val="40"/>
          <w:szCs w:val="40"/>
        </w:rPr>
      </w:pPr>
    </w:p>
    <w:p w:rsidR="007D5A5D" w:rsidRDefault="007238C9">
      <w:pPr>
        <w:pStyle w:val="Titre4"/>
        <w:rPr>
          <w:rFonts w:cs="Arial"/>
          <w:b/>
          <w:i/>
          <w:sz w:val="40"/>
          <w:szCs w:val="40"/>
        </w:rPr>
      </w:pPr>
      <w:r>
        <w:rPr>
          <w:rFonts w:cs="Arial"/>
          <w:b/>
          <w:i/>
          <w:sz w:val="40"/>
          <w:szCs w:val="40"/>
        </w:rPr>
        <w:t>CAdre de réponse financier</w:t>
      </w:r>
    </w:p>
    <w:p w:rsidR="007D5A5D" w:rsidRDefault="007D5A5D">
      <w:pPr>
        <w:pStyle w:val="Titre4"/>
        <w:rPr>
          <w:rFonts w:cs="Arial"/>
          <w:b/>
          <w:i/>
          <w:sz w:val="40"/>
          <w:szCs w:val="40"/>
        </w:rPr>
      </w:pPr>
    </w:p>
    <w:p w:rsidR="007D5A5D" w:rsidRDefault="007D5A5D">
      <w:pPr>
        <w:pBdr>
          <w:bottom w:val="single" w:sz="6" w:space="1" w:color="000000"/>
        </w:pBdr>
        <w:rPr>
          <w:rFonts w:ascii="Arial" w:hAnsi="Arial" w:cs="Arial"/>
          <w:b/>
          <w:i/>
          <w:sz w:val="40"/>
          <w:szCs w:val="40"/>
        </w:rPr>
      </w:pPr>
    </w:p>
    <w:p w:rsidR="007D5A5D" w:rsidRDefault="007D5A5D">
      <w:pPr>
        <w:rPr>
          <w:rFonts w:ascii="Arial" w:hAnsi="Arial" w:cs="Arial"/>
          <w:b/>
          <w:sz w:val="40"/>
          <w:szCs w:val="40"/>
        </w:rPr>
      </w:pPr>
    </w:p>
    <w:p w:rsidR="007D5A5D" w:rsidRDefault="007238C9">
      <w:pPr>
        <w:pStyle w:val="En-tte"/>
        <w:jc w:val="center"/>
        <w:rPr>
          <w:rFonts w:asciiTheme="minorHAnsi" w:hAnsiTheme="minorHAnsi" w:cstheme="minorHAnsi"/>
          <w:b/>
          <w:sz w:val="36"/>
          <w:szCs w:val="36"/>
        </w:rPr>
      </w:pPr>
      <w:proofErr w:type="gramStart"/>
      <w:r>
        <w:rPr>
          <w:b/>
          <w:sz w:val="36"/>
          <w:szCs w:val="36"/>
        </w:rPr>
        <w:t>«</w:t>
      </w:r>
      <w:r>
        <w:rPr>
          <w:b/>
          <w:i/>
          <w:sz w:val="36"/>
          <w:szCs w:val="36"/>
        </w:rPr>
        <w:t>Infogérance</w:t>
      </w:r>
      <w:proofErr w:type="gramEnd"/>
      <w:r>
        <w:rPr>
          <w:b/>
          <w:i/>
          <w:sz w:val="36"/>
          <w:szCs w:val="36"/>
        </w:rPr>
        <w:t xml:space="preserve"> &amp; hébergement du système informatique de l’AFLD </w:t>
      </w:r>
      <w:r>
        <w:rPr>
          <w:rFonts w:asciiTheme="minorHAnsi" w:hAnsiTheme="minorHAnsi" w:cstheme="minorHAnsi"/>
          <w:b/>
          <w:sz w:val="36"/>
          <w:szCs w:val="36"/>
        </w:rPr>
        <w:t>»</w:t>
      </w:r>
    </w:p>
    <w:p w:rsidR="007D5A5D" w:rsidRDefault="007D5A5D">
      <w:pPr>
        <w:pStyle w:val="En-tte"/>
        <w:tabs>
          <w:tab w:val="clear" w:pos="4536"/>
          <w:tab w:val="clear" w:pos="9072"/>
        </w:tabs>
        <w:jc w:val="center"/>
        <w:rPr>
          <w:rFonts w:asciiTheme="minorHAnsi" w:hAnsiTheme="minorHAnsi" w:cstheme="minorHAnsi"/>
          <w:b/>
          <w:sz w:val="36"/>
          <w:szCs w:val="36"/>
        </w:rPr>
      </w:pPr>
    </w:p>
    <w:p w:rsidR="007D5A5D" w:rsidRDefault="007238C9">
      <w:pPr>
        <w:pStyle w:val="En-tte"/>
        <w:jc w:val="center"/>
        <w:rPr>
          <w:rFonts w:asciiTheme="minorHAnsi" w:hAnsiTheme="minorHAnsi" w:cstheme="minorHAnsi"/>
          <w:b/>
          <w:sz w:val="36"/>
          <w:szCs w:val="36"/>
        </w:rPr>
      </w:pPr>
      <w:r>
        <w:rPr>
          <w:rFonts w:asciiTheme="minorHAnsi" w:hAnsiTheme="minorHAnsi" w:cstheme="minorHAnsi"/>
          <w:b/>
          <w:sz w:val="36"/>
          <w:szCs w:val="36"/>
        </w:rPr>
        <w:t xml:space="preserve"> </w:t>
      </w:r>
    </w:p>
    <w:p w:rsidR="007D5A5D" w:rsidRDefault="007D5A5D">
      <w:pPr>
        <w:rPr>
          <w:rFonts w:ascii="Arial" w:hAnsi="Arial" w:cs="Arial"/>
          <w:b/>
          <w:bCs/>
          <w:i/>
          <w:iCs/>
          <w:sz w:val="36"/>
          <w:szCs w:val="36"/>
        </w:rPr>
      </w:pPr>
    </w:p>
    <w:p w:rsidR="007D5A5D" w:rsidRDefault="007238C9">
      <w:pPr>
        <w:jc w:val="center"/>
        <w:rPr>
          <w:rFonts w:ascii="Arial" w:hAnsi="Arial" w:cs="Arial"/>
          <w:b/>
          <w:sz w:val="40"/>
          <w:szCs w:val="40"/>
        </w:rPr>
      </w:pPr>
      <w:r>
        <w:rPr>
          <w:rFonts w:ascii="Arial" w:hAnsi="Arial" w:cs="Arial"/>
          <w:b/>
          <w:sz w:val="40"/>
          <w:szCs w:val="40"/>
        </w:rPr>
        <w:t>2025-SG-INFOGEH-01</w:t>
      </w:r>
    </w:p>
    <w:p w:rsidR="007D5A5D" w:rsidRDefault="007D5A5D">
      <w:pPr>
        <w:jc w:val="center"/>
        <w:rPr>
          <w:rFonts w:ascii="Arial" w:hAnsi="Arial" w:cs="Arial"/>
          <w:b/>
          <w:sz w:val="40"/>
          <w:szCs w:val="40"/>
        </w:rPr>
      </w:pPr>
    </w:p>
    <w:p w:rsidR="007D5A5D" w:rsidRDefault="007238C9">
      <w:pPr>
        <w:jc w:val="center"/>
        <w:rPr>
          <w:rFonts w:ascii="Arial" w:hAnsi="Arial" w:cs="Arial"/>
          <w:b/>
          <w:sz w:val="40"/>
          <w:szCs w:val="40"/>
        </w:rPr>
        <w:sectPr w:rsidR="007D5A5D">
          <w:footerReference w:type="even" r:id="rId13"/>
          <w:footerReference w:type="default" r:id="rId14"/>
          <w:pgSz w:w="11906" w:h="16838"/>
          <w:pgMar w:top="1134" w:right="1417" w:bottom="1417" w:left="1417" w:header="708" w:footer="708" w:gutter="0"/>
          <w:cols w:space="708"/>
        </w:sectPr>
      </w:pPr>
      <w:r>
        <w:rPr>
          <w:rFonts w:ascii="Arial" w:hAnsi="Arial" w:cs="Arial"/>
          <w:b/>
          <w:sz w:val="40"/>
          <w:szCs w:val="40"/>
        </w:rPr>
        <w:t>Lot 2 - Hébergement</w:t>
      </w:r>
    </w:p>
    <w:p w:rsidR="007D5A5D" w:rsidRDefault="007238C9">
      <w:pPr>
        <w:pStyle w:val="Paragraphedeliste"/>
        <w:numPr>
          <w:ilvl w:val="0"/>
          <w:numId w:val="1"/>
        </w:numPr>
        <w:jc w:val="both"/>
        <w:rPr>
          <w:b/>
        </w:rPr>
      </w:pPr>
      <w:r>
        <w:rPr>
          <w:b/>
        </w:rPr>
        <w:lastRenderedPageBreak/>
        <w:t>Introduction</w:t>
      </w:r>
    </w:p>
    <w:p w:rsidR="007D5A5D" w:rsidRDefault="007238C9">
      <w:pPr>
        <w:jc w:val="both"/>
      </w:pPr>
      <w:r>
        <w:t>Le présent cadre de répon</w:t>
      </w:r>
      <w:r>
        <w:t>se financier est destiné à permettre aux candidats de présenter leur proposition de prix. Il doit être renseigné et remis par le candidat dans le pli contenant leur offre.</w:t>
      </w:r>
    </w:p>
    <w:p w:rsidR="007D5A5D" w:rsidRDefault="007238C9">
      <w:pPr>
        <w:jc w:val="both"/>
      </w:pPr>
      <w:r>
        <w:t>Ce cadre de réponse financier doit impérativement et strictement être complété par l</w:t>
      </w:r>
      <w:r>
        <w:t>e candidat et fourni en annexe à l’acte d’engagement sous peine de non-conformité de l’offre.</w:t>
      </w:r>
    </w:p>
    <w:p w:rsidR="007D5A5D" w:rsidRDefault="007238C9">
      <w:pPr>
        <w:jc w:val="both"/>
      </w:pPr>
      <w:r>
        <w:t>L’offre financière du candidat est formulée en respectant strictement le présent cadre de réponse.</w:t>
      </w:r>
    </w:p>
    <w:p w:rsidR="007D5A5D" w:rsidRDefault="007238C9">
      <w:pPr>
        <w:jc w:val="both"/>
      </w:pPr>
      <w:r>
        <w:t>Le candidat utilise expressément le présent cadre de réponse et</w:t>
      </w:r>
      <w:r>
        <w:t xml:space="preserve"> répond dans chacune des cases. Il peut apporter les éléments d'explication qu'il souhaite dans un document joint en annexe.</w:t>
      </w:r>
    </w:p>
    <w:p w:rsidR="007D5A5D" w:rsidRDefault="007238C9">
      <w:pPr>
        <w:jc w:val="both"/>
      </w:pPr>
      <w:r>
        <w:t>Les documents joints par le candidat en annexes ne se substituent en aucun cas au présent cadre de réponse qui doit, en tout état d</w:t>
      </w:r>
      <w:r>
        <w:t xml:space="preserve">e cause, être complètement rempli. </w:t>
      </w:r>
    </w:p>
    <w:p w:rsidR="007D5A5D" w:rsidRDefault="007238C9">
      <w:pPr>
        <w:jc w:val="both"/>
      </w:pPr>
      <w:r>
        <w:t>Le candidat ne doit en aucun cas modifier la structure du présent cadre de réponse.</w:t>
      </w:r>
    </w:p>
    <w:p w:rsidR="007D5A5D" w:rsidRDefault="007238C9">
      <w:pPr>
        <w:jc w:val="both"/>
      </w:pPr>
      <w:r>
        <w:t>Tous les frais relatifs aux prestations attendues sont à inclure dans le prix</w:t>
      </w: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238C9">
      <w:pPr>
        <w:pStyle w:val="Paragraphedeliste"/>
        <w:numPr>
          <w:ilvl w:val="0"/>
          <w:numId w:val="1"/>
        </w:numPr>
        <w:rPr>
          <w:b/>
        </w:rPr>
      </w:pPr>
      <w:r>
        <w:rPr>
          <w:b/>
        </w:rPr>
        <w:t>Prestations à prix forfaitaire</w:t>
      </w:r>
    </w:p>
    <w:p w:rsidR="007D5A5D" w:rsidRDefault="007238C9">
      <w:pPr>
        <w:rPr>
          <w:b/>
          <w:color w:val="365F91" w:themeColor="accent1" w:themeShade="BF"/>
        </w:rPr>
      </w:pPr>
      <w:r>
        <w:rPr>
          <w:b/>
          <w:color w:val="365F91" w:themeColor="accent1" w:themeShade="BF"/>
        </w:rPr>
        <w:t>HEBERGEMENT</w:t>
      </w:r>
    </w:p>
    <w:tbl>
      <w:tblPr>
        <w:tblStyle w:val="Grillemoyenne3-Accent4"/>
        <w:tblW w:w="9913" w:type="dxa"/>
        <w:tblLook w:val="04A0" w:firstRow="1" w:lastRow="0" w:firstColumn="1" w:lastColumn="0" w:noHBand="0" w:noVBand="1"/>
      </w:tblPr>
      <w:tblGrid>
        <w:gridCol w:w="5033"/>
        <w:gridCol w:w="2765"/>
        <w:gridCol w:w="2115"/>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7D5A5D" w:rsidRDefault="007238C9">
            <w:pPr>
              <w:jc w:val="center"/>
              <w:rPr>
                <w:sz w:val="16"/>
                <w:szCs w:val="16"/>
              </w:rPr>
            </w:pPr>
            <w:r>
              <w:rPr>
                <w:b w:val="0"/>
                <w:sz w:val="16"/>
                <w:szCs w:val="16"/>
              </w:rPr>
              <w:t>Libellé/Liv</w:t>
            </w:r>
            <w:r>
              <w:rPr>
                <w:b w:val="0"/>
                <w:sz w:val="16"/>
                <w:szCs w:val="16"/>
              </w:rPr>
              <w:t>rables</w:t>
            </w:r>
          </w:p>
        </w:tc>
        <w:tc>
          <w:tcPr>
            <w:tcW w:w="2409"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Profils et charges</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 (</w:t>
            </w:r>
            <w:proofErr w:type="gramStart"/>
            <w:r>
              <w:rPr>
                <w:sz w:val="16"/>
                <w:szCs w:val="16"/>
              </w:rPr>
              <w:t>ex</w:t>
            </w:r>
            <w:proofErr w:type="gramEnd"/>
            <w:r>
              <w:rPr>
                <w:sz w:val="16"/>
                <w:szCs w:val="16"/>
              </w:rPr>
              <w:t> : Consultant senior 50% ; Chef de projet 50%)</w:t>
            </w:r>
          </w:p>
        </w:tc>
        <w:tc>
          <w:tcPr>
            <w:tcW w:w="1843"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7D5A5D" w:rsidRDefault="007238C9">
            <w:pPr>
              <w:pStyle w:val="Titre21"/>
              <w:numPr>
                <w:ilvl w:val="0"/>
                <w:numId w:val="0"/>
              </w:numPr>
              <w:ind w:firstLine="13"/>
              <w:outlineLvl w:val="1"/>
              <w:rPr>
                <w:sz w:val="16"/>
                <w:szCs w:val="16"/>
              </w:rPr>
            </w:pPr>
            <w:r>
              <w:rPr>
                <w:sz w:val="16"/>
                <w:szCs w:val="16"/>
              </w:rPr>
              <w:t>« </w:t>
            </w:r>
            <w:bookmarkStart w:id="1" w:name="_Toc185408732"/>
            <w:r>
              <w:rPr>
                <w:sz w:val="16"/>
                <w:szCs w:val="16"/>
              </w:rPr>
              <w:t xml:space="preserve">Mise en place / Phase de cadrage / Plan de migration &amp; </w:t>
            </w:r>
            <w:r>
              <w:rPr>
                <w:rFonts w:ascii="Calibri" w:eastAsia="Times New Roman" w:hAnsi="Calibri" w:cs="Times New Roman"/>
                <w:sz w:val="16"/>
                <w:szCs w:val="16"/>
                <w:lang w:eastAsia="fr-FR"/>
              </w:rPr>
              <w:t>Migration vers nouvelle infrastructure – prestation forfaitaire F01</w:t>
            </w:r>
            <w:bookmarkEnd w:id="1"/>
            <w:r>
              <w:rPr>
                <w:rFonts w:ascii="Calibri" w:eastAsia="Times New Roman" w:hAnsi="Calibri" w:cs="Times New Roman"/>
                <w:sz w:val="16"/>
                <w:szCs w:val="16"/>
                <w:lang w:eastAsia="fr-FR"/>
              </w:rPr>
              <w:t xml:space="preserve"> HEB » </w:t>
            </w:r>
          </w:p>
          <w:p w:rsidR="007D5A5D" w:rsidRDefault="007238C9">
            <w:pPr>
              <w:pStyle w:val="Titre21"/>
              <w:numPr>
                <w:ilvl w:val="0"/>
                <w:numId w:val="0"/>
              </w:numPr>
              <w:outlineLvl w:val="1"/>
              <w:rPr>
                <w:sz w:val="16"/>
                <w:szCs w:val="16"/>
              </w:rPr>
            </w:pPr>
            <w:r>
              <w:rPr>
                <w:sz w:val="16"/>
                <w:szCs w:val="16"/>
              </w:rPr>
              <w:t xml:space="preserve"> Phase de cadrage du projet et phase de prise en main du système d’information de l’AFLD (récupération des compétences), incluant note de cadrage, PAQ, plan </w:t>
            </w:r>
            <w:proofErr w:type="gramStart"/>
            <w:r>
              <w:rPr>
                <w:sz w:val="16"/>
                <w:szCs w:val="16"/>
              </w:rPr>
              <w:t>et  migration</w:t>
            </w:r>
            <w:proofErr w:type="gramEnd"/>
            <w:r>
              <w:rPr>
                <w:sz w:val="16"/>
                <w:szCs w:val="16"/>
              </w:rPr>
              <w:t xml:space="preserve"> du SI AFLD vers la nouvelle infra hébergeur</w:t>
            </w:r>
          </w:p>
          <w:p w:rsidR="007D5A5D" w:rsidRDefault="007238C9">
            <w:pPr>
              <w:rPr>
                <w:sz w:val="16"/>
                <w:szCs w:val="16"/>
              </w:rPr>
            </w:pPr>
            <w:r>
              <w:rPr>
                <w:sz w:val="16"/>
                <w:szCs w:val="16"/>
              </w:rPr>
              <w:t>Selon conditions paragraphe 5.2 du CCTP</w:t>
            </w:r>
          </w:p>
        </w:tc>
        <w:tc>
          <w:tcPr>
            <w:tcW w:w="2409"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1843"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rPr>
          <w:trHeight w:val="1659"/>
        </w:trPr>
        <w:tc>
          <w:tcPr>
            <w:cnfStyle w:val="001000000000" w:firstRow="0" w:lastRow="0" w:firstColumn="1" w:lastColumn="0" w:oddVBand="0" w:evenVBand="0" w:oddHBand="0" w:evenHBand="0" w:firstRowFirstColumn="0" w:firstRowLastColumn="0" w:lastRowFirstColumn="0" w:lastRowLastColumn="0"/>
            <w:tcW w:w="4385" w:type="dxa"/>
          </w:tcPr>
          <w:p w:rsidR="007D5A5D" w:rsidRDefault="007238C9">
            <w:pPr>
              <w:rPr>
                <w:sz w:val="16"/>
                <w:szCs w:val="16"/>
              </w:rPr>
            </w:pPr>
            <w:r>
              <w:rPr>
                <w:sz w:val="16"/>
                <w:szCs w:val="16"/>
              </w:rPr>
              <w:t xml:space="preserve">« F02 - HEB » - Prix mensuel de l’hébergement global du SI AFLD dans son périmètre initial ; incluant suivi et pilotage, conseils et </w:t>
            </w:r>
            <w:proofErr w:type="spellStart"/>
            <w:r>
              <w:rPr>
                <w:sz w:val="16"/>
                <w:szCs w:val="16"/>
              </w:rPr>
              <w:t>alerting</w:t>
            </w:r>
            <w:proofErr w:type="spellEnd"/>
            <w:r>
              <w:rPr>
                <w:sz w:val="16"/>
                <w:szCs w:val="16"/>
              </w:rPr>
              <w:t>, élaboration du plan de réversibilité ses mises à jour annuelles ; ainsi que celles du PAQ, PAS. Plan de réversi</w:t>
            </w:r>
            <w:r>
              <w:rPr>
                <w:sz w:val="16"/>
                <w:szCs w:val="16"/>
              </w:rPr>
              <w:t>bilité</w:t>
            </w:r>
          </w:p>
          <w:p w:rsidR="007D5A5D" w:rsidRDefault="007238C9">
            <w:pPr>
              <w:rPr>
                <w:sz w:val="16"/>
                <w:szCs w:val="16"/>
              </w:rPr>
            </w:pPr>
            <w:r>
              <w:rPr>
                <w:sz w:val="16"/>
                <w:szCs w:val="16"/>
              </w:rPr>
              <w:t>L’infrastructure mise en place doit répondre aux conditions d’évolutivité et de disponibilité précisées dans le CCTP paragraphe 6</w:t>
            </w:r>
          </w:p>
        </w:tc>
        <w:tc>
          <w:tcPr>
            <w:tcW w:w="2409"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1843"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tcPr>
          <w:p w:rsidR="007D5A5D" w:rsidRDefault="007D5A5D">
            <w:pPr>
              <w:rPr>
                <w:sz w:val="16"/>
                <w:szCs w:val="16"/>
              </w:rPr>
            </w:pPr>
          </w:p>
        </w:tc>
        <w:tc>
          <w:tcPr>
            <w:tcW w:w="2409"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1843"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bl>
    <w:p w:rsidR="007D5A5D" w:rsidRDefault="007D5A5D">
      <w:pPr>
        <w:rPr>
          <w:rFonts w:asciiTheme="minorHAnsi" w:hAnsiTheme="minorHAnsi" w:cstheme="minorHAnsi"/>
          <w:b/>
          <w:bCs/>
          <w:color w:val="FFFFFF" w:themeColor="background1"/>
        </w:rPr>
      </w:pPr>
    </w:p>
    <w:p w:rsidR="007D5A5D" w:rsidRDefault="007D5A5D">
      <w:pPr>
        <w:rPr>
          <w:rFonts w:asciiTheme="minorHAnsi" w:hAnsiTheme="minorHAnsi" w:cstheme="minorHAnsi"/>
          <w:b/>
          <w:bCs/>
          <w:color w:val="FFFFFF" w:themeColor="background1"/>
        </w:rPr>
      </w:pPr>
    </w:p>
    <w:p w:rsidR="007D5A5D" w:rsidRDefault="007D5A5D"/>
    <w:p w:rsidR="007D5A5D" w:rsidRDefault="007238C9">
      <w:pPr>
        <w:rPr>
          <w:b/>
          <w:color w:val="365F91" w:themeColor="accent1" w:themeShade="BF"/>
        </w:rPr>
      </w:pPr>
      <w:r>
        <w:rPr>
          <w:b/>
          <w:color w:val="365F91" w:themeColor="accent1" w:themeShade="BF"/>
        </w:rPr>
        <w:t>LIGNES DE COMMUNICATION, LIENS, DISPOSITIFS PAREFEU ET ACCES NOMADES</w:t>
      </w:r>
    </w:p>
    <w:p w:rsidR="007D5A5D" w:rsidRDefault="007238C9">
      <w:pPr>
        <w:rPr>
          <w:b/>
          <w:color w:val="365F91" w:themeColor="accent1" w:themeShade="BF"/>
        </w:rPr>
      </w:pPr>
      <w:r>
        <w:rPr>
          <w:b/>
          <w:color w:val="365F91" w:themeColor="accent1" w:themeShade="BF"/>
        </w:rPr>
        <w:t xml:space="preserve">OFFRE DE BASE </w:t>
      </w:r>
    </w:p>
    <w:p w:rsidR="007D5A5D" w:rsidRDefault="007238C9">
      <w:pPr>
        <w:spacing w:after="0" w:line="240" w:lineRule="auto"/>
      </w:pPr>
      <w:r>
        <w:t>A remplir obligatoirement</w:t>
      </w:r>
    </w:p>
    <w:p w:rsidR="007D5A5D" w:rsidRDefault="007D5A5D">
      <w:pPr>
        <w:spacing w:after="0" w:line="240" w:lineRule="auto"/>
      </w:pPr>
    </w:p>
    <w:tbl>
      <w:tblPr>
        <w:tblStyle w:val="Grillemoyenne3-Accent4"/>
        <w:tblW w:w="9346" w:type="dxa"/>
        <w:tblLook w:val="04A0" w:firstRow="1" w:lastRow="0" w:firstColumn="1" w:lastColumn="0" w:noHBand="0" w:noVBand="1"/>
      </w:tblPr>
      <w:tblGrid>
        <w:gridCol w:w="4667"/>
        <w:gridCol w:w="2674"/>
        <w:gridCol w:w="2005"/>
      </w:tblGrid>
      <w:tr w:rsidR="007D5A5D" w:rsidTr="007D5A5D">
        <w:trPr>
          <w:cnfStyle w:val="100000000000" w:firstRow="1" w:lastRow="0" w:firstColumn="0" w:lastColumn="0" w:oddVBand="0" w:evenVBand="0" w:oddHBand="0"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jc w:val="center"/>
              <w:rPr>
                <w:sz w:val="16"/>
                <w:szCs w:val="16"/>
              </w:rPr>
            </w:pPr>
            <w:r>
              <w:rPr>
                <w:b w:val="0"/>
                <w:sz w:val="16"/>
                <w:szCs w:val="16"/>
              </w:rPr>
              <w:t>Libellé/Livrables</w:t>
            </w:r>
          </w:p>
        </w:tc>
        <w:tc>
          <w:tcPr>
            <w:tcW w:w="2268"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Profils et charges</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 (</w:t>
            </w:r>
            <w:proofErr w:type="gramStart"/>
            <w:r>
              <w:rPr>
                <w:sz w:val="16"/>
                <w:szCs w:val="16"/>
              </w:rPr>
              <w:t>ex</w:t>
            </w:r>
            <w:proofErr w:type="gramEnd"/>
            <w:r>
              <w:rPr>
                <w:sz w:val="16"/>
                <w:szCs w:val="16"/>
              </w:rPr>
              <w:t> : Consultant senior 50% ; Chef de projet 50%)</w:t>
            </w:r>
          </w:p>
        </w:tc>
        <w:tc>
          <w:tcPr>
            <w:tcW w:w="1701"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r>
      <w:tr w:rsidR="007D5A5D" w:rsidTr="007D5A5D">
        <w:trPr>
          <w:cnfStyle w:val="000000100000" w:firstRow="0" w:lastRow="0" w:firstColumn="0" w:lastColumn="0" w:oddVBand="0" w:evenVBand="0" w:oddHBand="1" w:evenHBand="0" w:firstRowFirstColumn="0" w:firstRowLastColumn="0" w:lastRowFirstColumn="0" w:lastRowLastColumn="0"/>
          <w:trHeight w:val="1751"/>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rPr>
                <w:sz w:val="16"/>
                <w:szCs w:val="16"/>
              </w:rPr>
            </w:pPr>
            <w:r>
              <w:rPr>
                <w:sz w:val="16"/>
                <w:szCs w:val="16"/>
              </w:rPr>
              <w:t xml:space="preserve">« F03 – COMM-INSTALL » Installation des lignes et des dispositifs (routeurs, </w:t>
            </w:r>
            <w:proofErr w:type="spellStart"/>
            <w:r>
              <w:rPr>
                <w:sz w:val="16"/>
                <w:szCs w:val="16"/>
              </w:rPr>
              <w:t>parefeu</w:t>
            </w:r>
            <w:proofErr w:type="spellEnd"/>
            <w:r>
              <w:rPr>
                <w:sz w:val="16"/>
                <w:szCs w:val="16"/>
              </w:rPr>
              <w:t xml:space="preserve">, </w:t>
            </w:r>
            <w:proofErr w:type="spellStart"/>
            <w:r>
              <w:rPr>
                <w:sz w:val="16"/>
                <w:szCs w:val="16"/>
              </w:rPr>
              <w:t>vpn</w:t>
            </w:r>
            <w:proofErr w:type="spellEnd"/>
            <w:r>
              <w:rPr>
                <w:sz w:val="16"/>
                <w:szCs w:val="16"/>
              </w:rPr>
              <w:t xml:space="preserve">) de communication nécessaire entre l’AFLD et les datacenter hébergés (en France) : </w:t>
            </w:r>
          </w:p>
          <w:p w:rsidR="007D5A5D" w:rsidRDefault="007238C9">
            <w:pPr>
              <w:rPr>
                <w:sz w:val="16"/>
                <w:szCs w:val="16"/>
              </w:rPr>
            </w:pPr>
            <w:r>
              <w:rPr>
                <w:sz w:val="16"/>
                <w:szCs w:val="16"/>
              </w:rPr>
              <w:t xml:space="preserve">-lien principal, accès internet, pool IP </w:t>
            </w:r>
            <w:proofErr w:type="spellStart"/>
            <w:r>
              <w:rPr>
                <w:sz w:val="16"/>
                <w:szCs w:val="16"/>
              </w:rPr>
              <w:t>address</w:t>
            </w:r>
            <w:proofErr w:type="spellEnd"/>
          </w:p>
          <w:p w:rsidR="007D5A5D" w:rsidRDefault="007238C9">
            <w:pPr>
              <w:rPr>
                <w:sz w:val="16"/>
                <w:szCs w:val="16"/>
              </w:rPr>
            </w:pPr>
            <w:r>
              <w:rPr>
                <w:sz w:val="16"/>
                <w:szCs w:val="16"/>
              </w:rPr>
              <w:t>CCTP 5.1.2</w:t>
            </w:r>
          </w:p>
        </w:tc>
        <w:tc>
          <w:tcPr>
            <w:tcW w:w="2268"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1701"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rPr>
          <w:trHeight w:val="1751"/>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rPr>
                <w:sz w:val="16"/>
                <w:szCs w:val="16"/>
              </w:rPr>
            </w:pPr>
            <w:r>
              <w:rPr>
                <w:sz w:val="16"/>
                <w:szCs w:val="16"/>
              </w:rPr>
              <w:t>« F04 – COMM-ABONN » Cout mensuel relatif au MCO des lignes et des dispositifs de communication entre l’AFLD</w:t>
            </w:r>
            <w:r>
              <w:rPr>
                <w:sz w:val="16"/>
                <w:szCs w:val="16"/>
              </w:rPr>
              <w:t xml:space="preserve"> PARIS et le site hébergement (en France), incluant les accès nomades, la sécurité, la haute disponibilité des dispositifs et la sortie internet </w:t>
            </w:r>
          </w:p>
          <w:p w:rsidR="007D5A5D" w:rsidRDefault="007238C9">
            <w:pPr>
              <w:rPr>
                <w:sz w:val="16"/>
                <w:szCs w:val="16"/>
              </w:rPr>
            </w:pPr>
            <w:r>
              <w:rPr>
                <w:sz w:val="16"/>
                <w:szCs w:val="16"/>
              </w:rPr>
              <w:t>CCTP 5.12 à 5.1.6</w:t>
            </w:r>
          </w:p>
        </w:tc>
        <w:tc>
          <w:tcPr>
            <w:tcW w:w="2268"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1701"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r>
    </w:tbl>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238C9">
      <w:pPr>
        <w:rPr>
          <w:b/>
          <w:color w:val="365F91" w:themeColor="accent1" w:themeShade="BF"/>
        </w:rPr>
      </w:pPr>
      <w:r>
        <w:rPr>
          <w:b/>
          <w:color w:val="365F91" w:themeColor="accent1" w:themeShade="BF"/>
        </w:rPr>
        <w:t>LIGNES DE COMMUNICATION, LIENS, DISPOSITIFS PAREFEU ET ACCES NOMADES</w:t>
      </w:r>
    </w:p>
    <w:p w:rsidR="007D5A5D" w:rsidRDefault="007238C9">
      <w:pPr>
        <w:rPr>
          <w:b/>
          <w:color w:val="365F91" w:themeColor="accent1" w:themeShade="BF"/>
        </w:rPr>
      </w:pPr>
      <w:r>
        <w:rPr>
          <w:b/>
          <w:color w:val="365F91" w:themeColor="accent1" w:themeShade="BF"/>
        </w:rPr>
        <w:t>CHOIX DE LA VARIANTE</w:t>
      </w:r>
    </w:p>
    <w:p w:rsidR="007D5A5D" w:rsidRDefault="007238C9">
      <w:pPr>
        <w:spacing w:after="0" w:line="240" w:lineRule="auto"/>
      </w:pPr>
      <w:r>
        <w:rPr>
          <w:b/>
          <w:bCs/>
        </w:rPr>
        <w:t>A remplir uniquement si le candidat</w:t>
      </w:r>
      <w:r>
        <w:t xml:space="preserve"> choisit de mettre en œuvre la variante exposée au CCTP</w:t>
      </w:r>
    </w:p>
    <w:p w:rsidR="007D5A5D" w:rsidRDefault="007D5A5D">
      <w:pPr>
        <w:spacing w:after="0" w:line="240" w:lineRule="auto"/>
      </w:pPr>
    </w:p>
    <w:tbl>
      <w:tblPr>
        <w:tblStyle w:val="Grillemoyenne3-Accent4"/>
        <w:tblW w:w="9346" w:type="dxa"/>
        <w:tblLook w:val="04A0" w:firstRow="1" w:lastRow="0" w:firstColumn="1" w:lastColumn="0" w:noHBand="0" w:noVBand="1"/>
      </w:tblPr>
      <w:tblGrid>
        <w:gridCol w:w="4667"/>
        <w:gridCol w:w="2674"/>
        <w:gridCol w:w="2005"/>
      </w:tblGrid>
      <w:tr w:rsidR="007D5A5D" w:rsidTr="007D5A5D">
        <w:trPr>
          <w:cnfStyle w:val="100000000000" w:firstRow="1" w:lastRow="0" w:firstColumn="0" w:lastColumn="0" w:oddVBand="0" w:evenVBand="0" w:oddHBand="0"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jc w:val="center"/>
              <w:rPr>
                <w:sz w:val="16"/>
                <w:szCs w:val="16"/>
              </w:rPr>
            </w:pPr>
            <w:r>
              <w:rPr>
                <w:b w:val="0"/>
                <w:sz w:val="16"/>
                <w:szCs w:val="16"/>
              </w:rPr>
              <w:t>Libellé/Livrables</w:t>
            </w:r>
          </w:p>
        </w:tc>
        <w:tc>
          <w:tcPr>
            <w:tcW w:w="2268"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Profils et charges</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 (</w:t>
            </w:r>
            <w:proofErr w:type="gramStart"/>
            <w:r>
              <w:rPr>
                <w:sz w:val="16"/>
                <w:szCs w:val="16"/>
              </w:rPr>
              <w:t>ex</w:t>
            </w:r>
            <w:proofErr w:type="gramEnd"/>
            <w:r>
              <w:rPr>
                <w:sz w:val="16"/>
                <w:szCs w:val="16"/>
              </w:rPr>
              <w:t> : Consultant senior 50% ; Chef de projet 50%)</w:t>
            </w:r>
          </w:p>
        </w:tc>
        <w:tc>
          <w:tcPr>
            <w:tcW w:w="1701"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r>
      <w:tr w:rsidR="007D5A5D" w:rsidTr="007D5A5D">
        <w:trPr>
          <w:cnfStyle w:val="000000100000" w:firstRow="0" w:lastRow="0" w:firstColumn="0" w:lastColumn="0" w:oddVBand="0" w:evenVBand="0" w:oddHBand="1" w:evenHBand="0" w:firstRowFirstColumn="0" w:firstRowLastColumn="0" w:lastRowFirstColumn="0" w:lastRowLastColumn="0"/>
          <w:trHeight w:val="1751"/>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rPr>
                <w:sz w:val="16"/>
                <w:szCs w:val="16"/>
              </w:rPr>
            </w:pPr>
            <w:r>
              <w:rPr>
                <w:sz w:val="16"/>
                <w:szCs w:val="16"/>
              </w:rPr>
              <w:t xml:space="preserve">« F03 – COMM-INSTALL » Installation des lignes et des dispositifs (routeurs, </w:t>
            </w:r>
            <w:proofErr w:type="spellStart"/>
            <w:r>
              <w:rPr>
                <w:sz w:val="16"/>
                <w:szCs w:val="16"/>
              </w:rPr>
              <w:t>parefeu</w:t>
            </w:r>
            <w:proofErr w:type="spellEnd"/>
            <w:r>
              <w:rPr>
                <w:sz w:val="16"/>
                <w:szCs w:val="16"/>
              </w:rPr>
              <w:t xml:space="preserve">, </w:t>
            </w:r>
            <w:proofErr w:type="spellStart"/>
            <w:r>
              <w:rPr>
                <w:sz w:val="16"/>
                <w:szCs w:val="16"/>
              </w:rPr>
              <w:t>vpn</w:t>
            </w:r>
            <w:proofErr w:type="spellEnd"/>
            <w:r>
              <w:rPr>
                <w:sz w:val="16"/>
                <w:szCs w:val="16"/>
              </w:rPr>
              <w:t xml:space="preserve">) de communication nécessaire entre l’AFLD et les datacenter hébergés (en France) : </w:t>
            </w:r>
          </w:p>
          <w:p w:rsidR="007D5A5D" w:rsidRDefault="007238C9">
            <w:pPr>
              <w:rPr>
                <w:sz w:val="16"/>
                <w:szCs w:val="16"/>
              </w:rPr>
            </w:pPr>
            <w:r>
              <w:rPr>
                <w:sz w:val="16"/>
                <w:szCs w:val="16"/>
              </w:rPr>
              <w:t>-lien pri</w:t>
            </w:r>
            <w:r>
              <w:rPr>
                <w:sz w:val="16"/>
                <w:szCs w:val="16"/>
              </w:rPr>
              <w:t xml:space="preserve">ncipal, accès internet, pool IP </w:t>
            </w:r>
            <w:proofErr w:type="spellStart"/>
            <w:r>
              <w:rPr>
                <w:sz w:val="16"/>
                <w:szCs w:val="16"/>
              </w:rPr>
              <w:t>address</w:t>
            </w:r>
            <w:proofErr w:type="spellEnd"/>
          </w:p>
          <w:p w:rsidR="007D5A5D" w:rsidRDefault="007238C9">
            <w:pPr>
              <w:rPr>
                <w:sz w:val="16"/>
                <w:szCs w:val="16"/>
              </w:rPr>
            </w:pPr>
            <w:r>
              <w:rPr>
                <w:sz w:val="16"/>
                <w:szCs w:val="16"/>
              </w:rPr>
              <w:t>CCTP 5.1.2</w:t>
            </w:r>
          </w:p>
        </w:tc>
        <w:tc>
          <w:tcPr>
            <w:tcW w:w="2268"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1701"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rPr>
          <w:trHeight w:val="1751"/>
        </w:trPr>
        <w:tc>
          <w:tcPr>
            <w:cnfStyle w:val="001000000000" w:firstRow="0" w:lastRow="0" w:firstColumn="1" w:lastColumn="0" w:oddVBand="0" w:evenVBand="0" w:oddHBand="0" w:evenHBand="0" w:firstRowFirstColumn="0" w:firstRowLastColumn="0" w:lastRowFirstColumn="0" w:lastRowLastColumn="0"/>
            <w:tcW w:w="3959" w:type="dxa"/>
          </w:tcPr>
          <w:p w:rsidR="007D5A5D" w:rsidRDefault="007238C9">
            <w:pPr>
              <w:rPr>
                <w:sz w:val="16"/>
                <w:szCs w:val="16"/>
              </w:rPr>
            </w:pPr>
            <w:r>
              <w:rPr>
                <w:sz w:val="16"/>
                <w:szCs w:val="16"/>
              </w:rPr>
              <w:t xml:space="preserve">« F04 – COMM-ABONN » Cout mensuel relatif au MCO des lignes et des dispositifs de communication entre l’AFLD PARIS et le site hébergement (en France), incluant les accès nomades, la sécurité, la haute disponibilité des dispositifs et la sortie internet </w:t>
            </w:r>
          </w:p>
          <w:p w:rsidR="007D5A5D" w:rsidRDefault="007238C9">
            <w:pPr>
              <w:rPr>
                <w:sz w:val="16"/>
                <w:szCs w:val="16"/>
              </w:rPr>
            </w:pPr>
            <w:r>
              <w:rPr>
                <w:sz w:val="16"/>
                <w:szCs w:val="16"/>
              </w:rPr>
              <w:t>CC</w:t>
            </w:r>
            <w:r>
              <w:rPr>
                <w:sz w:val="16"/>
                <w:szCs w:val="16"/>
              </w:rPr>
              <w:t>TP 5.12 à 5.1.6</w:t>
            </w:r>
          </w:p>
        </w:tc>
        <w:tc>
          <w:tcPr>
            <w:tcW w:w="2268"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c>
          <w:tcPr>
            <w:tcW w:w="1701"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r>
    </w:tbl>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D5A5D">
      <w:pPr>
        <w:spacing w:after="0" w:line="240" w:lineRule="auto"/>
      </w:pPr>
    </w:p>
    <w:p w:rsidR="007D5A5D" w:rsidRDefault="007238C9">
      <w:pPr>
        <w:pStyle w:val="Paragraphedeliste"/>
        <w:numPr>
          <w:ilvl w:val="0"/>
          <w:numId w:val="1"/>
        </w:numPr>
        <w:rPr>
          <w:b/>
        </w:rPr>
      </w:pPr>
      <w:r>
        <w:rPr>
          <w:b/>
        </w:rPr>
        <w:lastRenderedPageBreak/>
        <w:t>Prix des unités d’œuvre</w:t>
      </w:r>
    </w:p>
    <w:p w:rsidR="007D5A5D" w:rsidRDefault="007238C9">
      <w:pPr>
        <w:jc w:val="both"/>
        <w:rPr>
          <w:b/>
          <w:color w:val="365F91" w:themeColor="accent1" w:themeShade="BF"/>
        </w:rPr>
      </w:pPr>
      <w:r>
        <w:rPr>
          <w:b/>
          <w:color w:val="365F91" w:themeColor="accent1" w:themeShade="BF"/>
        </w:rPr>
        <w:t>EVOLUTION DU SI AFLD ET PRISE EN CHARGE DE L’HEBERGEMENT DE NOUVELLES MACHINES</w:t>
      </w:r>
    </w:p>
    <w:p w:rsidR="007D5A5D" w:rsidRDefault="007238C9">
      <w:pPr>
        <w:jc w:val="both"/>
        <w:rPr>
          <w:color w:val="F79646" w:themeColor="accent6"/>
          <w:u w:val="single"/>
        </w:rPr>
      </w:pPr>
      <w:r>
        <w:rPr>
          <w:color w:val="F79646" w:themeColor="accent6"/>
          <w:u w:val="single"/>
        </w:rPr>
        <w:t>Pour Windows :</w:t>
      </w:r>
    </w:p>
    <w:tbl>
      <w:tblPr>
        <w:tblStyle w:val="TableauGrille4-Accentuation5"/>
        <w:tblW w:w="0" w:type="auto"/>
        <w:tblLayout w:type="fixed"/>
        <w:tblLook w:val="04A0" w:firstRow="1" w:lastRow="0" w:firstColumn="1" w:lastColumn="0" w:noHBand="0" w:noVBand="1"/>
      </w:tblPr>
      <w:tblGrid>
        <w:gridCol w:w="988"/>
        <w:gridCol w:w="817"/>
        <w:gridCol w:w="992"/>
        <w:gridCol w:w="1564"/>
        <w:gridCol w:w="851"/>
        <w:gridCol w:w="3576"/>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UO REFERENCE</w:t>
            </w:r>
          </w:p>
        </w:tc>
        <w:tc>
          <w:tcPr>
            <w:tcW w:w="817"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RAM (Go)</w:t>
            </w:r>
          </w:p>
        </w:tc>
        <w:tc>
          <w:tcPr>
            <w:tcW w:w="992"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proofErr w:type="spellStart"/>
            <w:proofErr w:type="gramStart"/>
            <w:r>
              <w:rPr>
                <w:sz w:val="16"/>
                <w:szCs w:val="16"/>
              </w:rPr>
              <w:t>vCPU</w:t>
            </w:r>
            <w:proofErr w:type="spellEnd"/>
            <w:proofErr w:type="gramEnd"/>
            <w:r>
              <w:rPr>
                <w:sz w:val="16"/>
                <w:szCs w:val="16"/>
              </w:rPr>
              <w:t xml:space="preserve"> (Nb)</w:t>
            </w:r>
          </w:p>
        </w:tc>
        <w:tc>
          <w:tcPr>
            <w:tcW w:w="1564"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DISK (Go)</w:t>
            </w:r>
          </w:p>
        </w:tc>
        <w:tc>
          <w:tcPr>
            <w:tcW w:w="851"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Disk Type</w:t>
            </w:r>
          </w:p>
        </w:tc>
        <w:tc>
          <w:tcPr>
            <w:tcW w:w="3576"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Cout mensuel € HT tout inclus (</w:t>
            </w:r>
            <w:r>
              <w:rPr>
                <w:sz w:val="16"/>
                <w:szCs w:val="16"/>
              </w:rPr>
              <w:t>réservation de puissance, construction et run, licence os, antivirus)</w:t>
            </w: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W_MAC-1</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HDD</w:t>
            </w:r>
          </w:p>
        </w:tc>
        <w:tc>
          <w:tcPr>
            <w:tcW w:w="3576"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W_MAC-2</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HDD</w:t>
            </w:r>
          </w:p>
        </w:tc>
        <w:tc>
          <w:tcPr>
            <w:tcW w:w="3576"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W_MAC-3</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16 </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1000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HDD</w:t>
            </w:r>
          </w:p>
        </w:tc>
        <w:tc>
          <w:tcPr>
            <w:tcW w:w="3576"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W_MAC-4</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3576"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W_MAC-5</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12</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4</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200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SSD</w:t>
            </w:r>
          </w:p>
        </w:tc>
        <w:tc>
          <w:tcPr>
            <w:tcW w:w="3576"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W_MAC-6</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3576"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bl>
    <w:p w:rsidR="007D5A5D" w:rsidRDefault="007D5A5D">
      <w:pPr>
        <w:jc w:val="both"/>
      </w:pPr>
    </w:p>
    <w:tbl>
      <w:tblPr>
        <w:tblStyle w:val="TableauGrille4-Accentuation5"/>
        <w:tblW w:w="0" w:type="auto"/>
        <w:tblLayout w:type="fixed"/>
        <w:tblLook w:val="04A0" w:firstRow="1" w:lastRow="0" w:firstColumn="1" w:lastColumn="0" w:noHBand="0" w:noVBand="1"/>
      </w:tblPr>
      <w:tblGrid>
        <w:gridCol w:w="988"/>
        <w:gridCol w:w="2917"/>
        <w:gridCol w:w="910"/>
        <w:gridCol w:w="3973"/>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UO REFERENCE</w:t>
            </w:r>
          </w:p>
        </w:tc>
        <w:tc>
          <w:tcPr>
            <w:tcW w:w="2917"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Ajout de ressource</w:t>
            </w:r>
          </w:p>
        </w:tc>
        <w:tc>
          <w:tcPr>
            <w:tcW w:w="910"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Quantité</w:t>
            </w:r>
          </w:p>
        </w:tc>
        <w:tc>
          <w:tcPr>
            <w:tcW w:w="3973"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Cout mensuel €HT (tout inclus, réservation de la puissance, attribution)</w:t>
            </w: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W-RESS-1</w:t>
            </w:r>
          </w:p>
        </w:tc>
        <w:tc>
          <w:tcPr>
            <w:tcW w:w="29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roofErr w:type="spellStart"/>
            <w:proofErr w:type="gramStart"/>
            <w:r>
              <w:rPr>
                <w:rFonts w:asciiTheme="minorHAnsi" w:hAnsiTheme="minorHAnsi" w:cstheme="minorHAnsi"/>
                <w:sz w:val="16"/>
                <w:szCs w:val="16"/>
              </w:rPr>
              <w:t>vCPU</w:t>
            </w:r>
            <w:proofErr w:type="spellEnd"/>
            <w:proofErr w:type="gramEnd"/>
            <w:r>
              <w:rPr>
                <w:rFonts w:asciiTheme="minorHAnsi" w:hAnsiTheme="minorHAnsi" w:cstheme="minorHAnsi"/>
                <w:sz w:val="16"/>
                <w:szCs w:val="16"/>
              </w:rPr>
              <w:t xml:space="preserve"> (Nombre)</w:t>
            </w: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w:t>
            </w:r>
          </w:p>
        </w:tc>
        <w:tc>
          <w:tcPr>
            <w:tcW w:w="3973"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W-RESS-2</w:t>
            </w:r>
          </w:p>
        </w:tc>
        <w:tc>
          <w:tcPr>
            <w:tcW w:w="29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RAM (Go)</w:t>
            </w: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2</w:t>
            </w:r>
          </w:p>
        </w:tc>
        <w:tc>
          <w:tcPr>
            <w:tcW w:w="3973"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W-RESS-3</w:t>
            </w:r>
          </w:p>
        </w:tc>
        <w:tc>
          <w:tcPr>
            <w:tcW w:w="29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Disque HDD (Go)</w:t>
            </w: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w:t>
            </w:r>
          </w:p>
        </w:tc>
        <w:tc>
          <w:tcPr>
            <w:tcW w:w="3973"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W-RESS-4</w:t>
            </w:r>
          </w:p>
        </w:tc>
        <w:tc>
          <w:tcPr>
            <w:tcW w:w="2917"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500</w:t>
            </w:r>
          </w:p>
        </w:tc>
        <w:tc>
          <w:tcPr>
            <w:tcW w:w="3973"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W-RESS-5</w:t>
            </w:r>
          </w:p>
        </w:tc>
        <w:tc>
          <w:tcPr>
            <w:tcW w:w="2917"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1000</w:t>
            </w:r>
          </w:p>
        </w:tc>
        <w:tc>
          <w:tcPr>
            <w:tcW w:w="3973"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W-RESS-6</w:t>
            </w:r>
          </w:p>
        </w:tc>
        <w:tc>
          <w:tcPr>
            <w:tcW w:w="29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Disque SSD (Go)</w:t>
            </w: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w:t>
            </w:r>
          </w:p>
        </w:tc>
        <w:tc>
          <w:tcPr>
            <w:tcW w:w="3973"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W-RESS-7</w:t>
            </w:r>
          </w:p>
        </w:tc>
        <w:tc>
          <w:tcPr>
            <w:tcW w:w="2917"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300</w:t>
            </w:r>
          </w:p>
        </w:tc>
        <w:tc>
          <w:tcPr>
            <w:tcW w:w="3973"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W-RESS-8</w:t>
            </w:r>
          </w:p>
        </w:tc>
        <w:tc>
          <w:tcPr>
            <w:tcW w:w="2917"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500</w:t>
            </w:r>
          </w:p>
        </w:tc>
        <w:tc>
          <w:tcPr>
            <w:tcW w:w="3973"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bl>
    <w:p w:rsidR="007D5A5D" w:rsidRDefault="007238C9">
      <w:pPr>
        <w:jc w:val="both"/>
        <w:rPr>
          <w:color w:val="F79646" w:themeColor="accent6"/>
          <w:u w:val="single"/>
        </w:rPr>
      </w:pPr>
      <w:r>
        <w:rPr>
          <w:color w:val="F79646" w:themeColor="accent6"/>
          <w:u w:val="single"/>
        </w:rPr>
        <w:t>Pour Linux :</w:t>
      </w:r>
    </w:p>
    <w:p w:rsidR="007D5A5D" w:rsidRDefault="007238C9">
      <w:pPr>
        <w:jc w:val="both"/>
      </w:pPr>
      <w:r>
        <w:t>La démarche attendue est identique à celle exposée pour Windows.</w:t>
      </w:r>
    </w:p>
    <w:tbl>
      <w:tblPr>
        <w:tblStyle w:val="TableauGrille4-Accentuation5"/>
        <w:tblW w:w="0" w:type="auto"/>
        <w:tblLayout w:type="fixed"/>
        <w:tblLook w:val="04A0" w:firstRow="1" w:lastRow="0" w:firstColumn="1" w:lastColumn="0" w:noHBand="0" w:noVBand="1"/>
      </w:tblPr>
      <w:tblGrid>
        <w:gridCol w:w="988"/>
        <w:gridCol w:w="817"/>
        <w:gridCol w:w="992"/>
        <w:gridCol w:w="1564"/>
        <w:gridCol w:w="851"/>
        <w:gridCol w:w="4001"/>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UO REFERENCE</w:t>
            </w:r>
          </w:p>
        </w:tc>
        <w:tc>
          <w:tcPr>
            <w:tcW w:w="817"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RAM (Go)</w:t>
            </w:r>
          </w:p>
        </w:tc>
        <w:tc>
          <w:tcPr>
            <w:tcW w:w="992"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proofErr w:type="spellStart"/>
            <w:proofErr w:type="gramStart"/>
            <w:r>
              <w:rPr>
                <w:sz w:val="16"/>
                <w:szCs w:val="16"/>
              </w:rPr>
              <w:t>vCPU</w:t>
            </w:r>
            <w:proofErr w:type="spellEnd"/>
            <w:proofErr w:type="gramEnd"/>
            <w:r>
              <w:rPr>
                <w:sz w:val="16"/>
                <w:szCs w:val="16"/>
              </w:rPr>
              <w:t xml:space="preserve"> (Nb)</w:t>
            </w:r>
          </w:p>
        </w:tc>
        <w:tc>
          <w:tcPr>
            <w:tcW w:w="1564"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DISK (Go)</w:t>
            </w:r>
          </w:p>
        </w:tc>
        <w:tc>
          <w:tcPr>
            <w:tcW w:w="851"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Disk Type</w:t>
            </w:r>
          </w:p>
        </w:tc>
        <w:tc>
          <w:tcPr>
            <w:tcW w:w="4001"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Cout mensuel € HT tout inclus (réservation de puissance, construction et run, licence os, antivirus)</w:t>
            </w: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L_MAC-1</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HDD</w:t>
            </w:r>
          </w:p>
        </w:tc>
        <w:tc>
          <w:tcPr>
            <w:tcW w:w="4001"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L_MAC-2</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HDD</w:t>
            </w:r>
          </w:p>
        </w:tc>
        <w:tc>
          <w:tcPr>
            <w:tcW w:w="4001"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L_MAC-3</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16 </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1000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HDD</w:t>
            </w:r>
          </w:p>
        </w:tc>
        <w:tc>
          <w:tcPr>
            <w:tcW w:w="4001"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L_MAC-4</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4001"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L_MAC-5</w:t>
            </w:r>
          </w:p>
        </w:tc>
        <w:tc>
          <w:tcPr>
            <w:tcW w:w="8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12</w:t>
            </w:r>
          </w:p>
        </w:tc>
        <w:tc>
          <w:tcPr>
            <w:tcW w:w="992"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4</w:t>
            </w:r>
          </w:p>
        </w:tc>
        <w:tc>
          <w:tcPr>
            <w:tcW w:w="1564"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200</w:t>
            </w:r>
          </w:p>
        </w:tc>
        <w:tc>
          <w:tcPr>
            <w:tcW w:w="851"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SSD</w:t>
            </w:r>
          </w:p>
        </w:tc>
        <w:tc>
          <w:tcPr>
            <w:tcW w:w="4001"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sz w:val="16"/>
                <w:szCs w:val="16"/>
              </w:rPr>
            </w:pPr>
            <w:r>
              <w:rPr>
                <w:sz w:val="16"/>
                <w:szCs w:val="16"/>
              </w:rPr>
              <w:t>L_MAC-6</w:t>
            </w:r>
          </w:p>
        </w:tc>
        <w:tc>
          <w:tcPr>
            <w:tcW w:w="8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w:t>
            </w:r>
          </w:p>
        </w:tc>
        <w:tc>
          <w:tcPr>
            <w:tcW w:w="992"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p>
        </w:tc>
        <w:tc>
          <w:tcPr>
            <w:tcW w:w="1564"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500</w:t>
            </w:r>
          </w:p>
        </w:tc>
        <w:tc>
          <w:tcPr>
            <w:tcW w:w="851"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4001"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sz w:val="16"/>
                <w:szCs w:val="16"/>
              </w:rPr>
            </w:pPr>
          </w:p>
        </w:tc>
      </w:tr>
    </w:tbl>
    <w:p w:rsidR="007D5A5D" w:rsidRDefault="007D5A5D">
      <w:pPr>
        <w:jc w:val="both"/>
      </w:pPr>
    </w:p>
    <w:p w:rsidR="007D5A5D" w:rsidRDefault="007D5A5D">
      <w:pPr>
        <w:jc w:val="both"/>
      </w:pPr>
    </w:p>
    <w:tbl>
      <w:tblPr>
        <w:tblStyle w:val="TableauGrille4-Accentuation5"/>
        <w:tblW w:w="0" w:type="auto"/>
        <w:tblLayout w:type="fixed"/>
        <w:tblLook w:val="04A0" w:firstRow="1" w:lastRow="0" w:firstColumn="1" w:lastColumn="0" w:noHBand="0" w:noVBand="1"/>
      </w:tblPr>
      <w:tblGrid>
        <w:gridCol w:w="988"/>
        <w:gridCol w:w="2917"/>
        <w:gridCol w:w="910"/>
        <w:gridCol w:w="4398"/>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UO REFERENCE</w:t>
            </w:r>
          </w:p>
        </w:tc>
        <w:tc>
          <w:tcPr>
            <w:tcW w:w="2917"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Ajout de ressource</w:t>
            </w:r>
          </w:p>
        </w:tc>
        <w:tc>
          <w:tcPr>
            <w:tcW w:w="910"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Quantité</w:t>
            </w:r>
          </w:p>
        </w:tc>
        <w:tc>
          <w:tcPr>
            <w:tcW w:w="4398" w:type="dxa"/>
          </w:tcPr>
          <w:p w:rsidR="007D5A5D" w:rsidRDefault="007238C9">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Cout mensuel €HT (tout inclus, réservation de la puissance, attribution)</w:t>
            </w: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L-RESS-1</w:t>
            </w:r>
          </w:p>
        </w:tc>
        <w:tc>
          <w:tcPr>
            <w:tcW w:w="29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roofErr w:type="spellStart"/>
            <w:proofErr w:type="gramStart"/>
            <w:r>
              <w:rPr>
                <w:rFonts w:asciiTheme="minorHAnsi" w:hAnsiTheme="minorHAnsi" w:cstheme="minorHAnsi"/>
                <w:sz w:val="16"/>
                <w:szCs w:val="16"/>
              </w:rPr>
              <w:t>vCPU</w:t>
            </w:r>
            <w:proofErr w:type="spellEnd"/>
            <w:proofErr w:type="gramEnd"/>
            <w:r>
              <w:rPr>
                <w:rFonts w:asciiTheme="minorHAnsi" w:hAnsiTheme="minorHAnsi" w:cstheme="minorHAnsi"/>
                <w:sz w:val="16"/>
                <w:szCs w:val="16"/>
              </w:rPr>
              <w:t xml:space="preserve"> (Nombre)</w:t>
            </w: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w:t>
            </w:r>
          </w:p>
        </w:tc>
        <w:tc>
          <w:tcPr>
            <w:tcW w:w="439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L-RESS-2</w:t>
            </w:r>
          </w:p>
        </w:tc>
        <w:tc>
          <w:tcPr>
            <w:tcW w:w="29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RAM (Go)</w:t>
            </w: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2</w:t>
            </w:r>
          </w:p>
        </w:tc>
        <w:tc>
          <w:tcPr>
            <w:tcW w:w="439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L-RESS-3</w:t>
            </w:r>
          </w:p>
        </w:tc>
        <w:tc>
          <w:tcPr>
            <w:tcW w:w="2917"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Disque HDD (Go)</w:t>
            </w: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w:t>
            </w:r>
          </w:p>
        </w:tc>
        <w:tc>
          <w:tcPr>
            <w:tcW w:w="439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L-RESS-4</w:t>
            </w:r>
          </w:p>
        </w:tc>
        <w:tc>
          <w:tcPr>
            <w:tcW w:w="2917"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500</w:t>
            </w:r>
          </w:p>
        </w:tc>
        <w:tc>
          <w:tcPr>
            <w:tcW w:w="439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L-RESS-5</w:t>
            </w:r>
          </w:p>
        </w:tc>
        <w:tc>
          <w:tcPr>
            <w:tcW w:w="2917"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1000</w:t>
            </w:r>
          </w:p>
        </w:tc>
        <w:tc>
          <w:tcPr>
            <w:tcW w:w="439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L-RESS-6</w:t>
            </w:r>
          </w:p>
        </w:tc>
        <w:tc>
          <w:tcPr>
            <w:tcW w:w="2917"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Disque SSD (Go)</w:t>
            </w: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100</w:t>
            </w:r>
          </w:p>
        </w:tc>
        <w:tc>
          <w:tcPr>
            <w:tcW w:w="439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L-RESS-7</w:t>
            </w:r>
          </w:p>
        </w:tc>
        <w:tc>
          <w:tcPr>
            <w:tcW w:w="2917"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300</w:t>
            </w:r>
          </w:p>
        </w:tc>
        <w:tc>
          <w:tcPr>
            <w:tcW w:w="439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988" w:type="dxa"/>
          </w:tcPr>
          <w:p w:rsidR="007D5A5D" w:rsidRDefault="007238C9">
            <w:pPr>
              <w:jc w:val="both"/>
              <w:rPr>
                <w:rFonts w:asciiTheme="minorHAnsi" w:hAnsiTheme="minorHAnsi" w:cstheme="minorHAnsi"/>
                <w:sz w:val="16"/>
                <w:szCs w:val="16"/>
              </w:rPr>
            </w:pPr>
            <w:r>
              <w:rPr>
                <w:rFonts w:asciiTheme="minorHAnsi" w:hAnsiTheme="minorHAnsi" w:cstheme="minorHAnsi"/>
                <w:sz w:val="16"/>
                <w:szCs w:val="16"/>
              </w:rPr>
              <w:t>L-RESS-8</w:t>
            </w:r>
          </w:p>
        </w:tc>
        <w:tc>
          <w:tcPr>
            <w:tcW w:w="2917"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1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500</w:t>
            </w:r>
          </w:p>
        </w:tc>
        <w:tc>
          <w:tcPr>
            <w:tcW w:w="439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bl>
    <w:p w:rsidR="007D5A5D" w:rsidRDefault="007D5A5D">
      <w:pPr>
        <w:jc w:val="both"/>
      </w:pPr>
    </w:p>
    <w:p w:rsidR="007D5A5D" w:rsidRDefault="007238C9">
      <w:pPr>
        <w:jc w:val="both"/>
        <w:rPr>
          <w:b/>
          <w:color w:val="365F91" w:themeColor="accent1" w:themeShade="BF"/>
        </w:rPr>
      </w:pPr>
      <w:r>
        <w:rPr>
          <w:b/>
          <w:color w:val="365F91" w:themeColor="accent1" w:themeShade="BF"/>
        </w:rPr>
        <w:t xml:space="preserve">AUGMENTATION DES DEBITS DES LIENS DE COMMUNICATION – MODIFICATION DU POOL </w:t>
      </w:r>
      <w:proofErr w:type="spellStart"/>
      <w:r>
        <w:rPr>
          <w:b/>
          <w:color w:val="365F91" w:themeColor="accent1" w:themeShade="BF"/>
        </w:rPr>
        <w:t>IPs</w:t>
      </w:r>
      <w:proofErr w:type="spellEnd"/>
    </w:p>
    <w:p w:rsidR="007D5A5D" w:rsidRDefault="007D5A5D">
      <w:pPr>
        <w:jc w:val="both"/>
        <w:rPr>
          <w:b/>
          <w:color w:val="365F91" w:themeColor="accent1" w:themeShade="BF"/>
        </w:rPr>
      </w:pPr>
    </w:p>
    <w:tbl>
      <w:tblPr>
        <w:tblStyle w:val="TableauGrille6Couleur-Accentuation2"/>
        <w:tblW w:w="10060" w:type="dxa"/>
        <w:tblLook w:val="04A0" w:firstRow="1" w:lastRow="0" w:firstColumn="1" w:lastColumn="0" w:noHBand="0" w:noVBand="1"/>
      </w:tblPr>
      <w:tblGrid>
        <w:gridCol w:w="1944"/>
        <w:gridCol w:w="4676"/>
        <w:gridCol w:w="1733"/>
        <w:gridCol w:w="1707"/>
      </w:tblGrid>
      <w:tr w:rsidR="007D5A5D" w:rsidTr="007D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center"/>
              <w:rPr>
                <w:rFonts w:cstheme="minorHAnsi"/>
                <w:color w:val="000000"/>
                <w:sz w:val="16"/>
                <w:szCs w:val="16"/>
              </w:rPr>
            </w:pPr>
            <w:r>
              <w:rPr>
                <w:rFonts w:cstheme="minorHAnsi"/>
                <w:color w:val="000000"/>
                <w:sz w:val="16"/>
                <w:szCs w:val="16"/>
              </w:rPr>
              <w:t>Référence de l'unité d'œuvre</w:t>
            </w:r>
          </w:p>
          <w:p w:rsidR="007D5A5D" w:rsidRDefault="007D5A5D">
            <w:pPr>
              <w:jc w:val="center"/>
              <w:rPr>
                <w:rFonts w:cstheme="minorHAnsi"/>
                <w:sz w:val="16"/>
                <w:szCs w:val="16"/>
              </w:rPr>
            </w:pPr>
          </w:p>
        </w:tc>
        <w:tc>
          <w:tcPr>
            <w:tcW w:w="3885"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Libellé de l'unité d'œuvre</w:t>
            </w:r>
          </w:p>
          <w:p w:rsidR="007D5A5D" w:rsidRDefault="007D5A5D">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p>
        </w:tc>
        <w:tc>
          <w:tcPr>
            <w:tcW w:w="1440"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Conditions</w:t>
            </w:r>
          </w:p>
          <w:p w:rsidR="007D5A5D" w:rsidRDefault="007D5A5D">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p>
        </w:tc>
        <w:tc>
          <w:tcPr>
            <w:tcW w:w="1418"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Prix unitaire en € HT</w:t>
            </w:r>
          </w:p>
          <w:p w:rsidR="007D5A5D" w:rsidRDefault="007D5A5D">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both"/>
              <w:rPr>
                <w:rFonts w:cstheme="minorHAnsi"/>
                <w:color w:val="000000"/>
                <w:sz w:val="16"/>
                <w:szCs w:val="16"/>
              </w:rPr>
            </w:pPr>
            <w:r>
              <w:rPr>
                <w:rFonts w:cstheme="minorHAnsi"/>
                <w:color w:val="000000"/>
                <w:sz w:val="16"/>
                <w:szCs w:val="16"/>
              </w:rPr>
              <w:t>BP-PRINC</w:t>
            </w:r>
          </w:p>
          <w:p w:rsidR="007D5A5D" w:rsidRDefault="007D5A5D">
            <w:pPr>
              <w:jc w:val="both"/>
              <w:rPr>
                <w:rFonts w:cstheme="minorHAnsi"/>
                <w:sz w:val="16"/>
                <w:szCs w:val="16"/>
              </w:rPr>
            </w:pPr>
          </w:p>
        </w:tc>
        <w:tc>
          <w:tcPr>
            <w:tcW w:w="3885"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Augmentation de la bande passante de la ligne AFLD-DC – Frais de mise en service</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4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Tranche de 100 Mbs-1</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1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both"/>
              <w:rPr>
                <w:rFonts w:cstheme="minorHAnsi"/>
                <w:color w:val="000000"/>
                <w:sz w:val="16"/>
                <w:szCs w:val="16"/>
              </w:rPr>
            </w:pPr>
            <w:r>
              <w:rPr>
                <w:rFonts w:cstheme="minorHAnsi"/>
                <w:color w:val="000000"/>
                <w:sz w:val="16"/>
                <w:szCs w:val="16"/>
              </w:rPr>
              <w:t>BP-INTERNET</w:t>
            </w:r>
          </w:p>
          <w:p w:rsidR="007D5A5D" w:rsidRDefault="007D5A5D">
            <w:pPr>
              <w:jc w:val="both"/>
              <w:rPr>
                <w:rFonts w:cstheme="minorHAnsi"/>
                <w:sz w:val="16"/>
                <w:szCs w:val="16"/>
              </w:rPr>
            </w:pPr>
          </w:p>
        </w:tc>
        <w:tc>
          <w:tcPr>
            <w:tcW w:w="3885"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Augmentation de la bande passante de la ligne internet pour AFLD PARIS-DC – Frais de mise en service</w:t>
            </w:r>
          </w:p>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44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Tranche de 100 Mbs-1</w:t>
            </w:r>
          </w:p>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41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both"/>
              <w:rPr>
                <w:rFonts w:cstheme="minorHAnsi"/>
                <w:color w:val="000000"/>
                <w:sz w:val="16"/>
                <w:szCs w:val="16"/>
              </w:rPr>
            </w:pPr>
            <w:r>
              <w:rPr>
                <w:rFonts w:cstheme="minorHAnsi"/>
                <w:color w:val="000000"/>
                <w:sz w:val="16"/>
                <w:szCs w:val="16"/>
              </w:rPr>
              <w:t>IP-ADRESS-5</w:t>
            </w:r>
          </w:p>
          <w:p w:rsidR="007D5A5D" w:rsidRDefault="007D5A5D">
            <w:pPr>
              <w:jc w:val="both"/>
              <w:rPr>
                <w:rFonts w:cstheme="minorHAnsi"/>
                <w:sz w:val="16"/>
                <w:szCs w:val="16"/>
              </w:rPr>
            </w:pPr>
          </w:p>
        </w:tc>
        <w:tc>
          <w:tcPr>
            <w:tcW w:w="3885"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Ajout d'IP publique dans le pool</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4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5 IP publiques supplémentaires</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1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r>
      <w:tr w:rsidR="007D5A5D" w:rsidTr="007D5A5D">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both"/>
              <w:rPr>
                <w:rFonts w:cstheme="minorHAnsi"/>
                <w:color w:val="000000"/>
                <w:sz w:val="16"/>
                <w:szCs w:val="16"/>
              </w:rPr>
            </w:pPr>
            <w:r>
              <w:rPr>
                <w:rFonts w:cstheme="minorHAnsi"/>
                <w:color w:val="000000"/>
                <w:sz w:val="16"/>
                <w:szCs w:val="16"/>
              </w:rPr>
              <w:t>BP-PRINC_ABONN</w:t>
            </w:r>
          </w:p>
          <w:p w:rsidR="007D5A5D" w:rsidRDefault="007D5A5D">
            <w:pPr>
              <w:jc w:val="both"/>
              <w:rPr>
                <w:rFonts w:cstheme="minorHAnsi"/>
                <w:sz w:val="16"/>
                <w:szCs w:val="16"/>
              </w:rPr>
            </w:pPr>
          </w:p>
        </w:tc>
        <w:tc>
          <w:tcPr>
            <w:tcW w:w="3885"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Cout supplémentaire mensuel sur l'abonnement (1</w:t>
            </w:r>
            <w:proofErr w:type="gramStart"/>
            <w:r>
              <w:rPr>
                <w:rFonts w:cstheme="minorHAnsi"/>
                <w:color w:val="000000"/>
                <w:sz w:val="16"/>
                <w:szCs w:val="16"/>
              </w:rPr>
              <w:t>)  en</w:t>
            </w:r>
            <w:proofErr w:type="gramEnd"/>
            <w:r>
              <w:rPr>
                <w:rFonts w:cstheme="minorHAnsi"/>
                <w:color w:val="000000"/>
                <w:sz w:val="16"/>
                <w:szCs w:val="16"/>
              </w:rPr>
              <w:t xml:space="preserve"> raison de l'augmentation de la bande passante de la ligne AFLD PARIS-DC</w:t>
            </w:r>
          </w:p>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440" w:type="dxa"/>
          </w:tcPr>
          <w:p w:rsidR="007D5A5D" w:rsidRDefault="007238C9">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Pr>
                <w:rFonts w:cstheme="minorHAnsi"/>
                <w:color w:val="000000"/>
                <w:sz w:val="16"/>
                <w:szCs w:val="16"/>
              </w:rPr>
              <w:t>Tranche de 100 Mbs-1</w:t>
            </w:r>
          </w:p>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418" w:type="dxa"/>
          </w:tcPr>
          <w:p w:rsidR="007D5A5D" w:rsidRDefault="007D5A5D">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rsidR="007D5A5D" w:rsidRDefault="007238C9">
            <w:pPr>
              <w:jc w:val="both"/>
              <w:rPr>
                <w:rFonts w:cstheme="minorHAnsi"/>
                <w:color w:val="000000"/>
                <w:sz w:val="16"/>
                <w:szCs w:val="16"/>
              </w:rPr>
            </w:pPr>
            <w:r>
              <w:rPr>
                <w:rFonts w:cstheme="minorHAnsi"/>
                <w:color w:val="000000"/>
                <w:sz w:val="16"/>
                <w:szCs w:val="16"/>
              </w:rPr>
              <w:t>BP-INTERNET_ABONN</w:t>
            </w:r>
          </w:p>
          <w:p w:rsidR="007D5A5D" w:rsidRDefault="007D5A5D">
            <w:pPr>
              <w:jc w:val="both"/>
              <w:rPr>
                <w:rFonts w:cstheme="minorHAnsi"/>
                <w:sz w:val="16"/>
                <w:szCs w:val="16"/>
              </w:rPr>
            </w:pPr>
          </w:p>
        </w:tc>
        <w:tc>
          <w:tcPr>
            <w:tcW w:w="3885"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Cout supplémentaire mensuel sur l'abonnement (1</w:t>
            </w:r>
            <w:proofErr w:type="gramStart"/>
            <w:r>
              <w:rPr>
                <w:rFonts w:cstheme="minorHAnsi"/>
                <w:color w:val="000000"/>
                <w:sz w:val="16"/>
                <w:szCs w:val="16"/>
              </w:rPr>
              <w:t>)  en</w:t>
            </w:r>
            <w:proofErr w:type="gramEnd"/>
            <w:r>
              <w:rPr>
                <w:rFonts w:cstheme="minorHAnsi"/>
                <w:color w:val="000000"/>
                <w:sz w:val="16"/>
                <w:szCs w:val="16"/>
              </w:rPr>
              <w:t xml:space="preserve"> raison de l'augmentation de la ban</w:t>
            </w:r>
            <w:r>
              <w:rPr>
                <w:rFonts w:cstheme="minorHAnsi"/>
                <w:color w:val="000000"/>
                <w:sz w:val="16"/>
                <w:szCs w:val="16"/>
              </w:rPr>
              <w:t xml:space="preserve">de passante de la ligne internet </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40" w:type="dxa"/>
          </w:tcPr>
          <w:p w:rsidR="007D5A5D" w:rsidRDefault="007238C9">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Pr>
                <w:rFonts w:cstheme="minorHAnsi"/>
                <w:color w:val="000000"/>
                <w:sz w:val="16"/>
                <w:szCs w:val="16"/>
              </w:rPr>
              <w:t>Tranche de 100 Mbs-1</w:t>
            </w:r>
          </w:p>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c>
          <w:tcPr>
            <w:tcW w:w="1418" w:type="dxa"/>
          </w:tcPr>
          <w:p w:rsidR="007D5A5D" w:rsidRDefault="007D5A5D">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rPr>
            </w:pPr>
          </w:p>
        </w:tc>
      </w:tr>
    </w:tbl>
    <w:p w:rsidR="007D5A5D" w:rsidRDefault="007D5A5D">
      <w:pPr>
        <w:jc w:val="both"/>
      </w:pPr>
    </w:p>
    <w:p w:rsidR="007D5A5D" w:rsidRDefault="007D5A5D">
      <w:pPr>
        <w:jc w:val="both"/>
      </w:pPr>
    </w:p>
    <w:p w:rsidR="007D5A5D" w:rsidRDefault="007D5A5D">
      <w:pPr>
        <w:jc w:val="both"/>
      </w:pPr>
    </w:p>
    <w:p w:rsidR="007D5A5D" w:rsidRDefault="007238C9">
      <w:pPr>
        <w:jc w:val="both"/>
        <w:rPr>
          <w:b/>
          <w:color w:val="365F91" w:themeColor="accent1" w:themeShade="BF"/>
        </w:rPr>
      </w:pPr>
      <w:r>
        <w:rPr>
          <w:b/>
          <w:color w:val="365F91" w:themeColor="accent1" w:themeShade="BF"/>
        </w:rPr>
        <w:lastRenderedPageBreak/>
        <w:t>PRESTATIONS ANNEXES</w:t>
      </w:r>
    </w:p>
    <w:p w:rsidR="007D5A5D" w:rsidRDefault="007238C9">
      <w:pPr>
        <w:jc w:val="both"/>
      </w:pPr>
      <w:r>
        <w:t xml:space="preserve">Le candidat indique dans le tableau ci-dessous le prix unitaire de chaque unité d’œuvre. Le tableau doit être renseigné intégralement. </w:t>
      </w:r>
    </w:p>
    <w:tbl>
      <w:tblPr>
        <w:tblStyle w:val="TableauListe4-Accentuation3"/>
        <w:tblW w:w="9062" w:type="dxa"/>
        <w:tblLook w:val="04A0" w:firstRow="1" w:lastRow="0" w:firstColumn="1" w:lastColumn="0" w:noHBand="0" w:noVBand="1"/>
      </w:tblPr>
      <w:tblGrid>
        <w:gridCol w:w="1080"/>
        <w:gridCol w:w="3525"/>
        <w:gridCol w:w="1507"/>
        <w:gridCol w:w="1836"/>
        <w:gridCol w:w="1114"/>
      </w:tblGrid>
      <w:tr w:rsidR="007D5A5D" w:rsidTr="007D5A5D">
        <w:trPr>
          <w:cnfStyle w:val="100000000000" w:firstRow="1" w:lastRow="0" w:firstColumn="0" w:lastColumn="0" w:oddVBand="0" w:evenVBand="0" w:oddHBand="0"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962" w:type="dxa"/>
          </w:tcPr>
          <w:p w:rsidR="007D5A5D" w:rsidRDefault="007238C9">
            <w:pPr>
              <w:jc w:val="center"/>
              <w:rPr>
                <w:sz w:val="16"/>
                <w:szCs w:val="16"/>
              </w:rPr>
            </w:pPr>
            <w:r>
              <w:rPr>
                <w:b w:val="0"/>
                <w:sz w:val="16"/>
                <w:szCs w:val="16"/>
              </w:rPr>
              <w:t>Référence UO</w:t>
            </w:r>
          </w:p>
        </w:tc>
        <w:tc>
          <w:tcPr>
            <w:tcW w:w="3139"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Libellé de l’UO, exemples à titre indicatif</w:t>
            </w:r>
          </w:p>
        </w:tc>
        <w:tc>
          <w:tcPr>
            <w:tcW w:w="1342"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Durée de la prestation à titre indicatif</w:t>
            </w:r>
          </w:p>
        </w:tc>
        <w:tc>
          <w:tcPr>
            <w:tcW w:w="1635"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Profils et charges</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 (</w:t>
            </w:r>
            <w:proofErr w:type="gramStart"/>
            <w:r>
              <w:rPr>
                <w:sz w:val="16"/>
                <w:szCs w:val="16"/>
              </w:rPr>
              <w:t>ex</w:t>
            </w:r>
            <w:proofErr w:type="gramEnd"/>
            <w:r>
              <w:rPr>
                <w:sz w:val="16"/>
                <w:szCs w:val="16"/>
              </w:rPr>
              <w:t> : formateur 20%, Consultant senior 50% ; Chef de projet 30%)</w:t>
            </w:r>
          </w:p>
        </w:tc>
        <w:tc>
          <w:tcPr>
            <w:tcW w:w="992"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sz w:val="16"/>
                <w:szCs w:val="16"/>
              </w:rPr>
            </w:pPr>
            <w:r>
              <w:rPr>
                <w:b w:val="0"/>
                <w:sz w:val="16"/>
                <w:szCs w:val="16"/>
              </w:rPr>
              <w:t>Prix forfaitaire en € HT</w:t>
            </w:r>
          </w:p>
        </w:tc>
      </w:tr>
      <w:tr w:rsidR="007D5A5D" w:rsidTr="007D5A5D">
        <w:trPr>
          <w:cnfStyle w:val="000000100000" w:firstRow="0" w:lastRow="0" w:firstColumn="0" w:lastColumn="0" w:oddVBand="0" w:evenVBand="0" w:oddHBand="1" w:evenHBand="0" w:firstRowFirstColumn="0" w:firstRowLastColumn="0" w:lastRowFirstColumn="0" w:lastRowLastColumn="0"/>
          <w:trHeight w:val="999"/>
        </w:trPr>
        <w:tc>
          <w:tcPr>
            <w:cnfStyle w:val="001000000000" w:firstRow="0" w:lastRow="0" w:firstColumn="1" w:lastColumn="0" w:oddVBand="0" w:evenVBand="0" w:oddHBand="0" w:evenHBand="0" w:firstRowFirstColumn="0" w:firstRowLastColumn="0" w:lastRowFirstColumn="0" w:lastRowLastColumn="0"/>
            <w:tcW w:w="962" w:type="dxa"/>
          </w:tcPr>
          <w:p w:rsidR="007D5A5D" w:rsidRDefault="007238C9">
            <w:pPr>
              <w:rPr>
                <w:sz w:val="16"/>
                <w:szCs w:val="16"/>
              </w:rPr>
            </w:pPr>
            <w:r>
              <w:rPr>
                <w:sz w:val="16"/>
                <w:szCs w:val="16"/>
              </w:rPr>
              <w:t>PRAN-1</w:t>
            </w:r>
          </w:p>
          <w:p w:rsidR="007D5A5D" w:rsidRDefault="007D5A5D">
            <w:pPr>
              <w:rPr>
                <w:sz w:val="16"/>
                <w:szCs w:val="16"/>
              </w:rPr>
            </w:pPr>
          </w:p>
        </w:tc>
        <w:tc>
          <w:tcPr>
            <w:tcW w:w="3139" w:type="dxa"/>
          </w:tcPr>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Prestations annexes simples</w:t>
            </w:r>
          </w:p>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Exemple : copie de données sur NAS à la demande AFLD ;</w:t>
            </w:r>
          </w:p>
        </w:tc>
        <w:tc>
          <w:tcPr>
            <w:tcW w:w="1342" w:type="dxa"/>
          </w:tcPr>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1 heure </w:t>
            </w:r>
          </w:p>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1635"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992"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rPr>
          <w:trHeight w:val="518"/>
        </w:trPr>
        <w:tc>
          <w:tcPr>
            <w:cnfStyle w:val="001000000000" w:firstRow="0" w:lastRow="0" w:firstColumn="1" w:lastColumn="0" w:oddVBand="0" w:evenVBand="0" w:oddHBand="0" w:evenHBand="0" w:firstRowFirstColumn="0" w:firstRowLastColumn="0" w:lastRowFirstColumn="0" w:lastRowLastColumn="0"/>
            <w:tcW w:w="962" w:type="dxa"/>
          </w:tcPr>
          <w:p w:rsidR="007D5A5D" w:rsidRDefault="007238C9">
            <w:pPr>
              <w:rPr>
                <w:sz w:val="16"/>
                <w:szCs w:val="16"/>
              </w:rPr>
            </w:pPr>
            <w:r>
              <w:rPr>
                <w:sz w:val="16"/>
                <w:szCs w:val="16"/>
              </w:rPr>
              <w:t>PRAN-2</w:t>
            </w:r>
          </w:p>
        </w:tc>
        <w:tc>
          <w:tcPr>
            <w:tcW w:w="3139"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Prestations annexes moyennes</w:t>
            </w:r>
          </w:p>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Exemple : transfert d’équipement d’un site vers un autre (déménagement AFLD)</w:t>
            </w:r>
          </w:p>
        </w:tc>
        <w:tc>
          <w:tcPr>
            <w:tcW w:w="1342"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proofErr w:type="gramStart"/>
            <w:r>
              <w:rPr>
                <w:sz w:val="16"/>
                <w:szCs w:val="16"/>
              </w:rPr>
              <w:t>½</w:t>
            </w:r>
            <w:proofErr w:type="gramEnd"/>
            <w:r>
              <w:rPr>
                <w:sz w:val="16"/>
                <w:szCs w:val="16"/>
              </w:rPr>
              <w:t xml:space="preserve"> </w:t>
            </w:r>
            <w:proofErr w:type="spellStart"/>
            <w:r>
              <w:rPr>
                <w:sz w:val="16"/>
                <w:szCs w:val="16"/>
              </w:rPr>
              <w:t>jh</w:t>
            </w:r>
            <w:proofErr w:type="spellEnd"/>
          </w:p>
        </w:tc>
        <w:tc>
          <w:tcPr>
            <w:tcW w:w="1635"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962" w:type="dxa"/>
          </w:tcPr>
          <w:p w:rsidR="007D5A5D" w:rsidRDefault="007238C9">
            <w:pPr>
              <w:rPr>
                <w:sz w:val="16"/>
                <w:szCs w:val="16"/>
              </w:rPr>
            </w:pPr>
            <w:r>
              <w:rPr>
                <w:sz w:val="16"/>
                <w:szCs w:val="16"/>
              </w:rPr>
              <w:t>PRAN-3</w:t>
            </w:r>
          </w:p>
        </w:tc>
        <w:tc>
          <w:tcPr>
            <w:tcW w:w="3139" w:type="dxa"/>
          </w:tcPr>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Prestations annexes complexes</w:t>
            </w:r>
          </w:p>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Exemple : travaux d’études et de réalisations spécifiques dans le cadre d’une évolution majeure du SI AFLD</w:t>
            </w:r>
          </w:p>
        </w:tc>
        <w:tc>
          <w:tcPr>
            <w:tcW w:w="1342" w:type="dxa"/>
          </w:tcPr>
          <w:p w:rsidR="007D5A5D" w:rsidRDefault="007238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1jh</w:t>
            </w:r>
          </w:p>
        </w:tc>
        <w:tc>
          <w:tcPr>
            <w:tcW w:w="1635"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c>
          <w:tcPr>
            <w:tcW w:w="992" w:type="dxa"/>
          </w:tcPr>
          <w:p w:rsidR="007D5A5D" w:rsidRDefault="007D5A5D">
            <w:pPr>
              <w:cnfStyle w:val="000000100000" w:firstRow="0" w:lastRow="0" w:firstColumn="0" w:lastColumn="0" w:oddVBand="0" w:evenVBand="0" w:oddHBand="1" w:evenHBand="0" w:firstRowFirstColumn="0" w:firstRowLastColumn="0" w:lastRowFirstColumn="0" w:lastRowLastColumn="0"/>
              <w:rPr>
                <w:sz w:val="16"/>
                <w:szCs w:val="16"/>
              </w:rPr>
            </w:pPr>
          </w:p>
        </w:tc>
      </w:tr>
      <w:tr w:rsidR="007D5A5D" w:rsidTr="007D5A5D">
        <w:trPr>
          <w:trHeight w:val="499"/>
        </w:trPr>
        <w:tc>
          <w:tcPr>
            <w:cnfStyle w:val="001000000000" w:firstRow="0" w:lastRow="0" w:firstColumn="1" w:lastColumn="0" w:oddVBand="0" w:evenVBand="0" w:oddHBand="0" w:evenHBand="0" w:firstRowFirstColumn="0" w:firstRowLastColumn="0" w:lastRowFirstColumn="0" w:lastRowLastColumn="0"/>
            <w:tcW w:w="962" w:type="dxa"/>
          </w:tcPr>
          <w:p w:rsidR="007D5A5D" w:rsidRDefault="007238C9">
            <w:pPr>
              <w:rPr>
                <w:sz w:val="16"/>
                <w:szCs w:val="16"/>
              </w:rPr>
            </w:pPr>
            <w:r>
              <w:rPr>
                <w:sz w:val="16"/>
                <w:szCs w:val="16"/>
              </w:rPr>
              <w:t>REVERS</w:t>
            </w:r>
          </w:p>
        </w:tc>
        <w:tc>
          <w:tcPr>
            <w:tcW w:w="3139"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Mise en œuvre du plan de réversibilité – le plan est forfaitaire et a été validé en amont</w:t>
            </w:r>
          </w:p>
        </w:tc>
        <w:tc>
          <w:tcPr>
            <w:tcW w:w="1342" w:type="dxa"/>
          </w:tcPr>
          <w:p w:rsidR="007D5A5D" w:rsidRDefault="007238C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Cf CCTP</w:t>
            </w:r>
          </w:p>
        </w:tc>
        <w:tc>
          <w:tcPr>
            <w:tcW w:w="1635"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7D5A5D" w:rsidRDefault="007D5A5D">
            <w:pPr>
              <w:cnfStyle w:val="000000000000" w:firstRow="0" w:lastRow="0" w:firstColumn="0" w:lastColumn="0" w:oddVBand="0" w:evenVBand="0" w:oddHBand="0" w:evenHBand="0" w:firstRowFirstColumn="0" w:firstRowLastColumn="0" w:lastRowFirstColumn="0" w:lastRowLastColumn="0"/>
              <w:rPr>
                <w:sz w:val="16"/>
                <w:szCs w:val="16"/>
              </w:rPr>
            </w:pPr>
          </w:p>
        </w:tc>
      </w:tr>
    </w:tbl>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238C9">
      <w:pPr>
        <w:pStyle w:val="Paragraphedeliste"/>
        <w:numPr>
          <w:ilvl w:val="0"/>
          <w:numId w:val="1"/>
        </w:numPr>
        <w:rPr>
          <w:b/>
        </w:rPr>
      </w:pPr>
      <w:r>
        <w:rPr>
          <w:b/>
        </w:rPr>
        <w:lastRenderedPageBreak/>
        <w:t>Chiffrage d’une simulation projet</w:t>
      </w:r>
    </w:p>
    <w:p w:rsidR="007D5A5D" w:rsidRDefault="007238C9">
      <w:pPr>
        <w:ind w:left="360"/>
        <w:jc w:val="both"/>
      </w:pPr>
      <w:r>
        <w:t xml:space="preserve">Le candidat renseigne obligatoirement le tableau intitulé « simulation financière » et annexé au présent cadre de réponse. </w:t>
      </w:r>
    </w:p>
    <w:p w:rsidR="007D5A5D" w:rsidRDefault="007238C9">
      <w:pPr>
        <w:ind w:left="360"/>
        <w:jc w:val="both"/>
      </w:pPr>
      <w:r>
        <w:t>Les informations contenues dans le tableau de simulation ne sont pas contractuelles. Elles reflète</w:t>
      </w:r>
      <w:r>
        <w:t>nt une projection du coût initial du projet et des commandes susceptibles d’être passées par l’AFLD. Les quantités d’unités d’œuvre indiquées et le montant total de cette simulation ne préjugent donc en rien des quantités et du montant des commandes que l’</w:t>
      </w:r>
      <w:r>
        <w:t>AFLD passera effectivement dans le cadre du présent marché.</w:t>
      </w:r>
    </w:p>
    <w:p w:rsidR="007D5A5D" w:rsidRDefault="007238C9">
      <w:pPr>
        <w:jc w:val="both"/>
      </w:pPr>
      <w:r>
        <w:t>OFFRE DE BASE</w:t>
      </w:r>
    </w:p>
    <w:tbl>
      <w:tblPr>
        <w:tblStyle w:val="TableauListe4-Accentuation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1181"/>
        <w:gridCol w:w="1282"/>
        <w:gridCol w:w="1745"/>
        <w:gridCol w:w="2761"/>
      </w:tblGrid>
      <w:tr w:rsidR="007D5A5D" w:rsidTr="007D5A5D">
        <w:trPr>
          <w:cnfStyle w:val="100000000000" w:firstRow="1" w:lastRow="0" w:firstColumn="0" w:lastColumn="0" w:oddVBand="0" w:evenVBand="0" w:oddHBand="0" w:evenHBand="0" w:firstRowFirstColumn="0" w:firstRowLastColumn="0" w:lastRowFirstColumn="0" w:lastRowLastColumn="0"/>
          <w:trHeight w:val="1059"/>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jc w:val="center"/>
              <w:rPr>
                <w:rFonts w:asciiTheme="minorHAnsi" w:hAnsiTheme="minorHAnsi" w:cstheme="minorHAnsi"/>
                <w:sz w:val="16"/>
                <w:szCs w:val="16"/>
              </w:rPr>
            </w:pPr>
            <w:r>
              <w:rPr>
                <w:rFonts w:asciiTheme="minorHAnsi" w:hAnsiTheme="minorHAnsi" w:cstheme="minorHAnsi"/>
                <w:sz w:val="16"/>
                <w:szCs w:val="16"/>
              </w:rPr>
              <w:t>Libellé des prestations</w:t>
            </w:r>
          </w:p>
        </w:tc>
        <w:tc>
          <w:tcPr>
            <w:tcW w:w="1275"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Quantité</w:t>
            </w:r>
          </w:p>
        </w:tc>
        <w:tc>
          <w:tcPr>
            <w:tcW w:w="1418"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 unitaire €HT</w:t>
            </w:r>
          </w:p>
        </w:tc>
        <w:tc>
          <w:tcPr>
            <w:tcW w:w="1984"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roofErr w:type="gramStart"/>
            <w:r>
              <w:rPr>
                <w:rFonts w:asciiTheme="minorHAnsi" w:hAnsiTheme="minorHAnsi" w:cstheme="minorHAnsi"/>
                <w:sz w:val="16"/>
                <w:szCs w:val="16"/>
              </w:rPr>
              <w:t>montant</w:t>
            </w:r>
            <w:proofErr w:type="gramEnd"/>
            <w:r>
              <w:rPr>
                <w:rFonts w:asciiTheme="minorHAnsi" w:hAnsiTheme="minorHAnsi" w:cstheme="minorHAnsi"/>
                <w:sz w:val="16"/>
                <w:szCs w:val="16"/>
              </w:rPr>
              <w:t xml:space="preserve"> en € HT</w:t>
            </w:r>
          </w:p>
        </w:tc>
        <w:tc>
          <w:tcPr>
            <w:tcW w:w="1985" w:type="dxa"/>
          </w:tcPr>
          <w:p w:rsidR="007D5A5D" w:rsidRDefault="007238C9">
            <w:pPr>
              <w:ind w:right="164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Prix/montant</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roofErr w:type="gramStart"/>
            <w:r>
              <w:rPr>
                <w:rFonts w:asciiTheme="minorHAnsi" w:hAnsiTheme="minorHAnsi" w:cstheme="minorHAnsi"/>
                <w:sz w:val="16"/>
                <w:szCs w:val="16"/>
              </w:rPr>
              <w:t>en</w:t>
            </w:r>
            <w:proofErr w:type="gramEnd"/>
            <w:r>
              <w:rPr>
                <w:rFonts w:asciiTheme="minorHAnsi" w:hAnsiTheme="minorHAnsi" w:cstheme="minorHAnsi"/>
                <w:sz w:val="16"/>
                <w:szCs w:val="16"/>
              </w:rPr>
              <w:t xml:space="preserve"> € TTC</w:t>
            </w:r>
          </w:p>
        </w:tc>
      </w:tr>
      <w:tr w:rsidR="007D5A5D" w:rsidTr="007D5A5D">
        <w:trPr>
          <w:cnfStyle w:val="000000100000" w:firstRow="0" w:lastRow="0" w:firstColumn="0" w:lastColumn="0" w:oddVBand="0" w:evenVBand="0" w:oddHBand="1"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pStyle w:val="Titre21"/>
              <w:numPr>
                <w:ilvl w:val="0"/>
                <w:numId w:val="0"/>
              </w:numPr>
              <w:ind w:left="589" w:hanging="576"/>
              <w:outlineLvl w:val="1"/>
              <w:rPr>
                <w:sz w:val="16"/>
                <w:szCs w:val="16"/>
              </w:rPr>
            </w:pPr>
            <w:r>
              <w:rPr>
                <w:sz w:val="16"/>
                <w:szCs w:val="16"/>
              </w:rPr>
              <w:t xml:space="preserve">« Mise en place / Phase de cadrage / Plan de migration &amp; </w:t>
            </w:r>
            <w:r>
              <w:rPr>
                <w:rFonts w:ascii="Calibri" w:eastAsia="Times New Roman" w:hAnsi="Calibri" w:cs="Times New Roman"/>
                <w:sz w:val="16"/>
                <w:szCs w:val="16"/>
                <w:lang w:eastAsia="fr-FR"/>
              </w:rPr>
              <w:t xml:space="preserve">Migration vers nouvelle infrastructure – prestation forfaitaire F01 HEB » </w:t>
            </w:r>
          </w:p>
          <w:p w:rsidR="007D5A5D" w:rsidRDefault="007D5A5D">
            <w:pPr>
              <w:rPr>
                <w:rFonts w:asciiTheme="minorHAnsi" w:hAnsiTheme="minorHAnsi" w:cstheme="minorHAnsi"/>
                <w:sz w:val="16"/>
                <w:szCs w:val="16"/>
              </w:rPr>
            </w:pP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NA</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color w:val="FFFFFF" w:themeColor="background1"/>
                <w:sz w:val="16"/>
                <w:szCs w:val="16"/>
              </w:rPr>
            </w:pPr>
            <w:r>
              <w:rPr>
                <w:sz w:val="16"/>
                <w:szCs w:val="16"/>
              </w:rPr>
              <w:t xml:space="preserve">« F02 - HEB » - Prix mensuel de l’hébergement global du SI AFLD dans son périmètre initial ; incluant suivi et pilotage, conseils et </w:t>
            </w:r>
            <w:proofErr w:type="spellStart"/>
            <w:r>
              <w:rPr>
                <w:sz w:val="16"/>
                <w:szCs w:val="16"/>
              </w:rPr>
              <w:t>alerting</w:t>
            </w:r>
            <w:proofErr w:type="spellEnd"/>
            <w:r>
              <w:rPr>
                <w:sz w:val="16"/>
                <w:szCs w:val="16"/>
              </w:rPr>
              <w:t>, l’élaboration du plan de réversibilité ses mises à jour annuelles ; ainsi que celles du PAQ, PAS. Plan de réversibilité</w:t>
            </w:r>
          </w:p>
          <w:p w:rsidR="007D5A5D" w:rsidRDefault="007D5A5D">
            <w:pPr>
              <w:rPr>
                <w:rFonts w:asciiTheme="minorHAnsi" w:hAnsiTheme="minorHAnsi" w:cstheme="minorHAnsi"/>
                <w:sz w:val="16"/>
                <w:szCs w:val="16"/>
              </w:rPr>
            </w:pP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48 mois (sur la durée du marché)</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 xml:space="preserve">« F03 – COMM-INSTALL » Installation des lignes et des dispositifs (routeurs, </w:t>
            </w:r>
            <w:proofErr w:type="spellStart"/>
            <w:r>
              <w:rPr>
                <w:sz w:val="16"/>
                <w:szCs w:val="16"/>
              </w:rPr>
              <w:t>parefeu</w:t>
            </w:r>
            <w:proofErr w:type="spellEnd"/>
            <w:r>
              <w:rPr>
                <w:sz w:val="16"/>
                <w:szCs w:val="16"/>
              </w:rPr>
              <w:t xml:space="preserve">, </w:t>
            </w:r>
            <w:proofErr w:type="spellStart"/>
            <w:r>
              <w:rPr>
                <w:sz w:val="16"/>
                <w:szCs w:val="16"/>
              </w:rPr>
              <w:t>vpn</w:t>
            </w:r>
            <w:proofErr w:type="spellEnd"/>
            <w:r>
              <w:rPr>
                <w:sz w:val="16"/>
                <w:szCs w:val="16"/>
              </w:rPr>
              <w:t xml:space="preserve">) de communication nécessaire entre l’AFLD et les datacenter hébergement (en France) : </w:t>
            </w:r>
          </w:p>
          <w:p w:rsidR="007D5A5D" w:rsidRDefault="007238C9">
            <w:pPr>
              <w:rPr>
                <w:sz w:val="16"/>
                <w:szCs w:val="16"/>
              </w:rPr>
            </w:pPr>
            <w:r>
              <w:rPr>
                <w:sz w:val="16"/>
                <w:szCs w:val="16"/>
              </w:rPr>
              <w:t xml:space="preserve">-lien principal, accès internet, pool IP </w:t>
            </w:r>
            <w:proofErr w:type="spellStart"/>
            <w:r>
              <w:rPr>
                <w:sz w:val="16"/>
                <w:szCs w:val="16"/>
              </w:rPr>
              <w:t>address</w:t>
            </w:r>
            <w:proofErr w:type="spellEnd"/>
          </w:p>
          <w:p w:rsidR="007D5A5D" w:rsidRDefault="007238C9">
            <w:pPr>
              <w:rPr>
                <w:sz w:val="16"/>
                <w:szCs w:val="16"/>
              </w:rPr>
            </w:pPr>
            <w:r>
              <w:rPr>
                <w:sz w:val="16"/>
                <w:szCs w:val="16"/>
              </w:rPr>
              <w:t>CCTP 5.1.2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NA</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color w:val="FFFFFF" w:themeColor="background1"/>
                <w:sz w:val="16"/>
                <w:szCs w:val="16"/>
              </w:rPr>
            </w:pPr>
            <w:r>
              <w:rPr>
                <w:sz w:val="16"/>
                <w:szCs w:val="16"/>
              </w:rPr>
              <w:t>« F04 – COMM-ABONN » Cout mensuel relatif au MCO des lignes et des dispositifs de communication entre</w:t>
            </w:r>
            <w:r>
              <w:rPr>
                <w:sz w:val="16"/>
                <w:szCs w:val="16"/>
              </w:rPr>
              <w:t xml:space="preserve"> l’AFLD PARIS et le site hébergement (en France), incluant les accès nomades, la sécurité, la haute disponibilité des dispositifs et la sortie internet </w:t>
            </w:r>
          </w:p>
          <w:p w:rsidR="007D5A5D" w:rsidRDefault="007238C9">
            <w:pPr>
              <w:rPr>
                <w:sz w:val="16"/>
                <w:szCs w:val="16"/>
              </w:rPr>
            </w:pPr>
            <w:r>
              <w:rPr>
                <w:sz w:val="16"/>
                <w:szCs w:val="16"/>
              </w:rPr>
              <w:t>CCTP 5.12 à 5.1.6</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0" w:type="auto"/>
          </w:tcPr>
          <w:p w:rsidR="007D5A5D" w:rsidRDefault="007238C9">
            <w:pPr>
              <w:rPr>
                <w:sz w:val="16"/>
                <w:szCs w:val="16"/>
              </w:rPr>
            </w:pPr>
            <w:r>
              <w:rPr>
                <w:sz w:val="16"/>
                <w:szCs w:val="16"/>
              </w:rPr>
              <w:t>W-MAC-1</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W-MAC-2</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lastRenderedPageBreak/>
              <w:t>W-MAC-6</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7"/>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W-RESS-1</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9"/>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W-RESS-6</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W-RESS-7</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6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W-RESS-8</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L-MAC-5</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727"/>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PRAN-1</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PRAN-3</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REVERS</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Total GENERAL de la SIMULATION</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NA</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r>
    </w:tbl>
    <w:p w:rsidR="007D5A5D" w:rsidRDefault="007D5A5D"/>
    <w:p w:rsidR="007D5A5D" w:rsidRDefault="007238C9">
      <w:pPr>
        <w:rPr>
          <w:b/>
          <w:bCs/>
          <w:color w:val="4F81BD" w:themeColor="accent1"/>
        </w:rPr>
      </w:pPr>
      <w:r>
        <w:rPr>
          <w:b/>
          <w:bCs/>
          <w:color w:val="4F81BD" w:themeColor="accent1"/>
        </w:rPr>
        <w:t>CHOIX DE LA VARIANTE</w:t>
      </w:r>
    </w:p>
    <w:p w:rsidR="007D5A5D" w:rsidRDefault="007238C9">
      <w:pPr>
        <w:ind w:left="360"/>
        <w:jc w:val="both"/>
        <w:rPr>
          <w:b/>
          <w:bCs/>
        </w:rPr>
      </w:pPr>
      <w:r>
        <w:rPr>
          <w:b/>
          <w:bCs/>
        </w:rPr>
        <w:t xml:space="preserve">Le candidat renseigne le tableau intitulé « simulation financière » ci-dessous uniquement s’il a fait le choix de la mise en œuvre de la variante présentée dans le cahier des charges. </w:t>
      </w:r>
    </w:p>
    <w:p w:rsidR="007D5A5D" w:rsidRDefault="007238C9">
      <w:pPr>
        <w:ind w:left="360"/>
        <w:jc w:val="both"/>
      </w:pPr>
      <w:r>
        <w:t>Les informations contenues dans le tableau de simulation ne sont pas co</w:t>
      </w:r>
      <w:r>
        <w:t>ntractuelles. Elles reflètent une projection du coût initial du projet et des commandes susceptibles d’être passées par l’AFLD. Les quantités d’unités d’œuvre indiquées et le montant total de cette simulation ne préjugent donc en rien des quantités et du m</w:t>
      </w:r>
      <w:r>
        <w:t>ontant des commandes que l’AFLD passera effectivement dans le cadre du présent marché.</w:t>
      </w: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D5A5D">
      <w:pPr>
        <w:jc w:val="both"/>
      </w:pPr>
    </w:p>
    <w:p w:rsidR="007D5A5D" w:rsidRDefault="007238C9">
      <w:pPr>
        <w:jc w:val="both"/>
      </w:pPr>
      <w:r>
        <w:t>OFFRE DE BASE</w:t>
      </w:r>
    </w:p>
    <w:p w:rsidR="007D5A5D" w:rsidRDefault="007D5A5D">
      <w:pPr>
        <w:ind w:left="360"/>
        <w:jc w:val="both"/>
      </w:pPr>
    </w:p>
    <w:tbl>
      <w:tblPr>
        <w:tblStyle w:val="TableauListe4-Accentuation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1181"/>
        <w:gridCol w:w="1282"/>
        <w:gridCol w:w="1745"/>
        <w:gridCol w:w="2761"/>
      </w:tblGrid>
      <w:tr w:rsidR="007D5A5D" w:rsidTr="007D5A5D">
        <w:trPr>
          <w:cnfStyle w:val="100000000000" w:firstRow="1" w:lastRow="0" w:firstColumn="0" w:lastColumn="0" w:oddVBand="0" w:evenVBand="0" w:oddHBand="0" w:evenHBand="0" w:firstRowFirstColumn="0" w:firstRowLastColumn="0" w:lastRowFirstColumn="0" w:lastRowLastColumn="0"/>
          <w:trHeight w:val="1059"/>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jc w:val="center"/>
              <w:rPr>
                <w:rFonts w:asciiTheme="minorHAnsi" w:hAnsiTheme="minorHAnsi" w:cstheme="minorHAnsi"/>
                <w:sz w:val="16"/>
                <w:szCs w:val="16"/>
              </w:rPr>
            </w:pPr>
            <w:r>
              <w:rPr>
                <w:rFonts w:asciiTheme="minorHAnsi" w:hAnsiTheme="minorHAnsi" w:cstheme="minorHAnsi"/>
                <w:sz w:val="16"/>
                <w:szCs w:val="16"/>
              </w:rPr>
              <w:t>Libellé des prestations</w:t>
            </w:r>
          </w:p>
        </w:tc>
        <w:tc>
          <w:tcPr>
            <w:tcW w:w="1275"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Quantité</w:t>
            </w:r>
          </w:p>
        </w:tc>
        <w:tc>
          <w:tcPr>
            <w:tcW w:w="1418"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 unitaire €HT</w:t>
            </w:r>
          </w:p>
        </w:tc>
        <w:tc>
          <w:tcPr>
            <w:tcW w:w="1984" w:type="dxa"/>
          </w:tcPr>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roofErr w:type="gramStart"/>
            <w:r>
              <w:rPr>
                <w:rFonts w:asciiTheme="minorHAnsi" w:hAnsiTheme="minorHAnsi" w:cstheme="minorHAnsi"/>
                <w:sz w:val="16"/>
                <w:szCs w:val="16"/>
              </w:rPr>
              <w:t>montant</w:t>
            </w:r>
            <w:proofErr w:type="gramEnd"/>
            <w:r>
              <w:rPr>
                <w:rFonts w:asciiTheme="minorHAnsi" w:hAnsiTheme="minorHAnsi" w:cstheme="minorHAnsi"/>
                <w:sz w:val="16"/>
                <w:szCs w:val="16"/>
              </w:rPr>
              <w:t xml:space="preserve"> en € HT</w:t>
            </w:r>
          </w:p>
        </w:tc>
        <w:tc>
          <w:tcPr>
            <w:tcW w:w="1985" w:type="dxa"/>
          </w:tcPr>
          <w:p w:rsidR="007D5A5D" w:rsidRDefault="007238C9">
            <w:pPr>
              <w:ind w:right="164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Prix/montant</w:t>
            </w:r>
          </w:p>
          <w:p w:rsidR="007D5A5D" w:rsidRDefault="007238C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roofErr w:type="gramStart"/>
            <w:r>
              <w:rPr>
                <w:rFonts w:asciiTheme="minorHAnsi" w:hAnsiTheme="minorHAnsi" w:cstheme="minorHAnsi"/>
                <w:sz w:val="16"/>
                <w:szCs w:val="16"/>
              </w:rPr>
              <w:t>en</w:t>
            </w:r>
            <w:proofErr w:type="gramEnd"/>
            <w:r>
              <w:rPr>
                <w:rFonts w:asciiTheme="minorHAnsi" w:hAnsiTheme="minorHAnsi" w:cstheme="minorHAnsi"/>
                <w:sz w:val="16"/>
                <w:szCs w:val="16"/>
              </w:rPr>
              <w:t xml:space="preserve"> € TTC</w:t>
            </w:r>
          </w:p>
        </w:tc>
      </w:tr>
      <w:tr w:rsidR="007D5A5D" w:rsidTr="007D5A5D">
        <w:trPr>
          <w:cnfStyle w:val="000000100000" w:firstRow="0" w:lastRow="0" w:firstColumn="0" w:lastColumn="0" w:oddVBand="0" w:evenVBand="0" w:oddHBand="1"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pStyle w:val="Titre21"/>
              <w:numPr>
                <w:ilvl w:val="0"/>
                <w:numId w:val="0"/>
              </w:numPr>
              <w:ind w:left="589" w:hanging="576"/>
              <w:outlineLvl w:val="1"/>
              <w:rPr>
                <w:sz w:val="16"/>
                <w:szCs w:val="16"/>
              </w:rPr>
            </w:pPr>
            <w:r>
              <w:rPr>
                <w:sz w:val="16"/>
                <w:szCs w:val="16"/>
              </w:rPr>
              <w:t xml:space="preserve">« Mise en place / Phase de cadrage / Plan de migration &amp; </w:t>
            </w:r>
            <w:r>
              <w:rPr>
                <w:rFonts w:ascii="Calibri" w:eastAsia="Times New Roman" w:hAnsi="Calibri" w:cs="Times New Roman"/>
                <w:sz w:val="16"/>
                <w:szCs w:val="16"/>
                <w:lang w:eastAsia="fr-FR"/>
              </w:rPr>
              <w:t xml:space="preserve">Migration vers nouvelle infrastructure – prestation forfaitaire F01 HEB » </w:t>
            </w:r>
          </w:p>
          <w:p w:rsidR="007D5A5D" w:rsidRDefault="007D5A5D">
            <w:pPr>
              <w:rPr>
                <w:rFonts w:asciiTheme="minorHAnsi" w:hAnsiTheme="minorHAnsi" w:cstheme="minorHAnsi"/>
                <w:sz w:val="16"/>
                <w:szCs w:val="16"/>
              </w:rPr>
            </w:pP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NA</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color w:val="FFFFFF" w:themeColor="background1"/>
                <w:sz w:val="16"/>
                <w:szCs w:val="16"/>
              </w:rPr>
            </w:pPr>
            <w:r>
              <w:rPr>
                <w:sz w:val="16"/>
                <w:szCs w:val="16"/>
              </w:rPr>
              <w:t xml:space="preserve">« F02 - HEB » - Prix mensuel de l’hébergement global du SI AFLD dans son périmètre initial ; incluant suivi et pilotage, conseils et </w:t>
            </w:r>
            <w:proofErr w:type="spellStart"/>
            <w:r>
              <w:rPr>
                <w:sz w:val="16"/>
                <w:szCs w:val="16"/>
              </w:rPr>
              <w:t>alerting</w:t>
            </w:r>
            <w:proofErr w:type="spellEnd"/>
            <w:r>
              <w:rPr>
                <w:sz w:val="16"/>
                <w:szCs w:val="16"/>
              </w:rPr>
              <w:t>, l’élaboration du plan de réversibilité ses mises à jour annuelles ; ainsi que celles du PAQ, PAS. Plan de réversibilité</w:t>
            </w:r>
          </w:p>
          <w:p w:rsidR="007D5A5D" w:rsidRDefault="007D5A5D">
            <w:pPr>
              <w:rPr>
                <w:rFonts w:asciiTheme="minorHAnsi" w:hAnsiTheme="minorHAnsi" w:cstheme="minorHAnsi"/>
                <w:sz w:val="16"/>
                <w:szCs w:val="16"/>
              </w:rPr>
            </w:pP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48 mois (sur la durée du marché)</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 xml:space="preserve">« F03 – COMM-INSTALL » Installation des lignes et des dispositifs (routeurs, </w:t>
            </w:r>
            <w:proofErr w:type="spellStart"/>
            <w:r>
              <w:rPr>
                <w:sz w:val="16"/>
                <w:szCs w:val="16"/>
              </w:rPr>
              <w:t>parefeu</w:t>
            </w:r>
            <w:proofErr w:type="spellEnd"/>
            <w:r>
              <w:rPr>
                <w:sz w:val="16"/>
                <w:szCs w:val="16"/>
              </w:rPr>
              <w:t xml:space="preserve">, </w:t>
            </w:r>
            <w:proofErr w:type="spellStart"/>
            <w:r>
              <w:rPr>
                <w:sz w:val="16"/>
                <w:szCs w:val="16"/>
              </w:rPr>
              <w:t>vpn</w:t>
            </w:r>
            <w:proofErr w:type="spellEnd"/>
            <w:r>
              <w:rPr>
                <w:sz w:val="16"/>
                <w:szCs w:val="16"/>
              </w:rPr>
              <w:t xml:space="preserve">) de communication nécessaire entre l’AFLD et les datacenter hébergement (en France) : </w:t>
            </w:r>
          </w:p>
          <w:p w:rsidR="007D5A5D" w:rsidRDefault="007238C9">
            <w:pPr>
              <w:rPr>
                <w:sz w:val="16"/>
                <w:szCs w:val="16"/>
              </w:rPr>
            </w:pPr>
            <w:r>
              <w:rPr>
                <w:sz w:val="16"/>
                <w:szCs w:val="16"/>
              </w:rPr>
              <w:t xml:space="preserve">-lien principal, accès internet, pool IP </w:t>
            </w:r>
            <w:proofErr w:type="spellStart"/>
            <w:r>
              <w:rPr>
                <w:sz w:val="16"/>
                <w:szCs w:val="16"/>
              </w:rPr>
              <w:t>address</w:t>
            </w:r>
            <w:proofErr w:type="spellEnd"/>
          </w:p>
          <w:p w:rsidR="007D5A5D" w:rsidRDefault="007238C9">
            <w:pPr>
              <w:rPr>
                <w:sz w:val="16"/>
                <w:szCs w:val="16"/>
              </w:rPr>
            </w:pPr>
            <w:r>
              <w:rPr>
                <w:sz w:val="16"/>
                <w:szCs w:val="16"/>
              </w:rPr>
              <w:t>CCTP 5.1.2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NA</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1370"/>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color w:val="FFFFFF" w:themeColor="background1"/>
                <w:sz w:val="16"/>
                <w:szCs w:val="16"/>
              </w:rPr>
            </w:pPr>
            <w:r>
              <w:rPr>
                <w:sz w:val="16"/>
                <w:szCs w:val="16"/>
              </w:rPr>
              <w:t>« F04 – COMM-ABONN » Cout mensuel relatif au MCO des lignes et des dispositifs de communication entre</w:t>
            </w:r>
            <w:r>
              <w:rPr>
                <w:sz w:val="16"/>
                <w:szCs w:val="16"/>
              </w:rPr>
              <w:t xml:space="preserve"> l’AFLD PARIS et le site hébergement (en France), incluant les accès nomades, la sécurité, la haute disponibilité des dispositifs et la sortie internet </w:t>
            </w:r>
          </w:p>
          <w:p w:rsidR="007D5A5D" w:rsidRDefault="007238C9">
            <w:pPr>
              <w:rPr>
                <w:sz w:val="16"/>
                <w:szCs w:val="16"/>
              </w:rPr>
            </w:pPr>
            <w:r>
              <w:rPr>
                <w:sz w:val="16"/>
                <w:szCs w:val="16"/>
              </w:rPr>
              <w:t>CCTP 5.12 à 5.1.6</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0" w:type="auto"/>
          </w:tcPr>
          <w:p w:rsidR="007D5A5D" w:rsidRDefault="007238C9">
            <w:pPr>
              <w:rPr>
                <w:sz w:val="16"/>
                <w:szCs w:val="16"/>
              </w:rPr>
            </w:pPr>
            <w:r>
              <w:rPr>
                <w:sz w:val="16"/>
                <w:szCs w:val="16"/>
              </w:rPr>
              <w:t>W-MAC-1</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W-MAC-2</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W-MAC-6</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7"/>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W-RESS-1</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59"/>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W-RESS-6</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W-RESS-7</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56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lastRenderedPageBreak/>
              <w:t>W-RESS-8</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sz w:val="16"/>
                <w:szCs w:val="16"/>
              </w:rPr>
            </w:pPr>
            <w:r>
              <w:rPr>
                <w:sz w:val="16"/>
                <w:szCs w:val="16"/>
              </w:rPr>
              <w:t>L-MAC-5</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12 mois</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727"/>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PRAN-1</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PRAN-2</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PRAN-3</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3</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7D5A5D" w:rsidTr="007D5A5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sz w:val="16"/>
                <w:szCs w:val="16"/>
              </w:rPr>
            </w:pPr>
            <w:r>
              <w:rPr>
                <w:rFonts w:asciiTheme="minorHAnsi" w:hAnsiTheme="minorHAnsi" w:cstheme="minorHAnsi"/>
                <w:sz w:val="16"/>
                <w:szCs w:val="16"/>
              </w:rPr>
              <w:t>REVERS</w:t>
            </w:r>
          </w:p>
        </w:tc>
        <w:tc>
          <w:tcPr>
            <w:tcW w:w="1275" w:type="dxa"/>
          </w:tcPr>
          <w:p w:rsidR="007D5A5D" w:rsidRDefault="007238C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1</w:t>
            </w:r>
          </w:p>
        </w:tc>
        <w:tc>
          <w:tcPr>
            <w:tcW w:w="1418"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4"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985" w:type="dxa"/>
          </w:tcPr>
          <w:p w:rsidR="007D5A5D" w:rsidRDefault="007D5A5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7D5A5D" w:rsidTr="007D5A5D">
        <w:trPr>
          <w:trHeight w:val="635"/>
        </w:trPr>
        <w:tc>
          <w:tcPr>
            <w:cnfStyle w:val="001000000000" w:firstRow="0" w:lastRow="0" w:firstColumn="1" w:lastColumn="0" w:oddVBand="0" w:evenVBand="0" w:oddHBand="0" w:evenHBand="0" w:firstRowFirstColumn="0" w:firstRowLastColumn="0" w:lastRowFirstColumn="0" w:lastRowLastColumn="0"/>
            <w:tcW w:w="3256" w:type="dxa"/>
          </w:tcPr>
          <w:p w:rsidR="007D5A5D" w:rsidRDefault="007238C9">
            <w:pPr>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Total GENERAL de la SIMULATION</w:t>
            </w:r>
          </w:p>
        </w:tc>
        <w:tc>
          <w:tcPr>
            <w:tcW w:w="1275" w:type="dxa"/>
          </w:tcPr>
          <w:p w:rsidR="007D5A5D" w:rsidRDefault="007238C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r>
              <w:rPr>
                <w:rFonts w:asciiTheme="minorHAnsi" w:hAnsiTheme="minorHAnsi" w:cstheme="minorHAnsi"/>
                <w:color w:val="E36C0A" w:themeColor="accent6" w:themeShade="BF"/>
                <w:sz w:val="16"/>
                <w:szCs w:val="16"/>
              </w:rPr>
              <w:t>NA</w:t>
            </w:r>
          </w:p>
        </w:tc>
        <w:tc>
          <w:tcPr>
            <w:tcW w:w="1418"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984"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c>
          <w:tcPr>
            <w:tcW w:w="1985" w:type="dxa"/>
          </w:tcPr>
          <w:p w:rsidR="007D5A5D" w:rsidRDefault="007D5A5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36C0A" w:themeColor="accent6" w:themeShade="BF"/>
                <w:sz w:val="16"/>
                <w:szCs w:val="16"/>
              </w:rPr>
            </w:pPr>
          </w:p>
        </w:tc>
      </w:tr>
    </w:tbl>
    <w:p w:rsidR="007D5A5D" w:rsidRDefault="007D5A5D"/>
    <w:p w:rsidR="007D5A5D" w:rsidRDefault="007D5A5D"/>
    <w:p w:rsidR="007D5A5D" w:rsidRDefault="007D5A5D"/>
    <w:p w:rsidR="007D5A5D" w:rsidRDefault="007D5A5D"/>
    <w:p w:rsidR="007D5A5D" w:rsidRDefault="007D5A5D"/>
    <w:p w:rsidR="007D5A5D" w:rsidRDefault="007D5A5D"/>
    <w:p w:rsidR="007D5A5D" w:rsidRDefault="007D5A5D"/>
    <w:p w:rsidR="007D5A5D" w:rsidRDefault="007D5A5D"/>
    <w:sectPr w:rsidR="007D5A5D">
      <w:pgSz w:w="11906" w:h="16838"/>
      <w:pgMar w:top="113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A5D" w:rsidRDefault="007238C9">
      <w:pPr>
        <w:spacing w:after="0" w:line="240" w:lineRule="auto"/>
      </w:pPr>
      <w:r>
        <w:separator/>
      </w:r>
    </w:p>
  </w:endnote>
  <w:endnote w:type="continuationSeparator" w:id="0">
    <w:p w:rsidR="007D5A5D" w:rsidRDefault="0072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default"/>
  </w:font>
  <w:font w:name="Tahoma">
    <w:panose1 w:val="020B0604030504040204"/>
    <w:charset w:val="00"/>
    <w:family w:val="swiss"/>
    <w:pitch w:val="variable"/>
    <w:sig w:usb0="E1002EFF" w:usb1="C000605B" w:usb2="00000029" w:usb3="00000000" w:csb0="000101FF" w:csb1="00000000"/>
  </w:font>
  <w:font w:name="EurekaSans-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A5D" w:rsidRDefault="007238C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D5A5D" w:rsidRDefault="007D5A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250" w:type="dxa"/>
      <w:tblLook w:val="00A0" w:firstRow="1" w:lastRow="0" w:firstColumn="1" w:lastColumn="0" w:noHBand="0" w:noVBand="0"/>
    </w:tblPr>
    <w:tblGrid>
      <w:gridCol w:w="3119"/>
      <w:gridCol w:w="3543"/>
      <w:gridCol w:w="2410"/>
    </w:tblGrid>
    <w:tr w:rsidR="007D5A5D">
      <w:trPr>
        <w:trHeight w:val="318"/>
      </w:trPr>
      <w:tc>
        <w:tcPr>
          <w:tcW w:w="3119" w:type="dxa"/>
          <w:tcBorders>
            <w:right w:val="single" w:sz="4" w:space="0" w:color="auto"/>
          </w:tcBorders>
        </w:tcPr>
        <w:p w:rsidR="007D5A5D" w:rsidRDefault="007238C9">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7D5A5D" w:rsidRDefault="007238C9">
          <w:pPr>
            <w:pStyle w:val="Pieddepage"/>
            <w:ind w:left="-108"/>
            <w:rPr>
              <w:rFonts w:ascii="Arial" w:hAnsi="Arial"/>
              <w:sz w:val="13"/>
            </w:rPr>
          </w:pPr>
          <w:r>
            <w:rPr>
              <w:rFonts w:ascii="Arial" w:hAnsi="Arial"/>
              <w:sz w:val="13"/>
            </w:rPr>
            <w:t>CRF HEBERGEMENT 25</w:t>
          </w:r>
        </w:p>
      </w:tc>
      <w:tc>
        <w:tcPr>
          <w:tcW w:w="3543" w:type="dxa"/>
          <w:tcBorders>
            <w:left w:val="single" w:sz="4" w:space="0" w:color="auto"/>
            <w:right w:val="single" w:sz="4" w:space="0" w:color="auto"/>
          </w:tcBorders>
        </w:tcPr>
        <w:p w:rsidR="007D5A5D" w:rsidRDefault="007238C9">
          <w:pPr>
            <w:pStyle w:val="Pieddepage"/>
            <w:rPr>
              <w:rFonts w:ascii="Arial" w:hAnsi="Arial"/>
              <w:sz w:val="13"/>
            </w:rPr>
          </w:pPr>
          <w:r>
            <w:rPr>
              <w:rFonts w:ascii="Arial" w:hAnsi="Arial"/>
              <w:sz w:val="13"/>
            </w:rPr>
            <w:t>8 rue Auber, 75009 Paris</w:t>
          </w:r>
        </w:p>
        <w:p w:rsidR="007D5A5D" w:rsidRDefault="007238C9">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7D5A5D" w:rsidRDefault="007238C9">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1"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7D5A5D" w:rsidRDefault="007D5A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A5D" w:rsidRDefault="007238C9">
      <w:pPr>
        <w:spacing w:after="0" w:line="240" w:lineRule="auto"/>
      </w:pPr>
      <w:r>
        <w:separator/>
      </w:r>
    </w:p>
  </w:footnote>
  <w:footnote w:type="continuationSeparator" w:id="0">
    <w:p w:rsidR="007D5A5D" w:rsidRDefault="0072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11D46"/>
    <w:multiLevelType w:val="multilevel"/>
    <w:tmpl w:val="6AACC13A"/>
    <w:lvl w:ilvl="0">
      <w:numFmt w:val="bullet"/>
      <w:lvlText w:val=""/>
      <w:lvlJc w:val="left"/>
      <w:pPr>
        <w:ind w:left="720"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2FE7918"/>
    <w:multiLevelType w:val="multilevel"/>
    <w:tmpl w:val="D02CB08E"/>
    <w:lvl w:ilvl="0">
      <w:start w:val="1"/>
      <w:numFmt w:val="decimal"/>
      <w:pStyle w:val="Titre11"/>
      <w:lvlText w:val="%1"/>
      <w:lvlJc w:val="left"/>
      <w:pPr>
        <w:ind w:left="432"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4F81BD" w:themeColor="accent1"/>
      </w:rPr>
    </w:lvl>
    <w:lvl w:ilvl="3">
      <w:start w:val="1"/>
      <w:numFmt w:val="decimal"/>
      <w:pStyle w:val="Titre41"/>
      <w:lvlText w:val="%1.%2.%3.%4"/>
      <w:lvlJc w:val="left"/>
      <w:pPr>
        <w:ind w:left="864" w:hanging="864"/>
      </w:pPr>
      <w:rPr>
        <w:color w:val="943634" w:themeColor="accent2" w:themeShade="BF"/>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2" w15:restartNumberingAfterBreak="0">
    <w:nsid w:val="45627C10"/>
    <w:multiLevelType w:val="multilevel"/>
    <w:tmpl w:val="7FEE7524"/>
    <w:lvl w:ilvl="0">
      <w:start w:val="5"/>
      <w:numFmt w:val="bullet"/>
      <w:lvlText w:val="-"/>
      <w:lvlJc w:val="left"/>
      <w:pPr>
        <w:ind w:left="420" w:hanging="360"/>
      </w:pPr>
      <w:rPr>
        <w:rFonts w:ascii="Arial" w:eastAsia="Calibri"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abstractNum w:abstractNumId="3" w15:restartNumberingAfterBreak="0">
    <w:nsid w:val="572C77F4"/>
    <w:multiLevelType w:val="multilevel"/>
    <w:tmpl w:val="176E19D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C394490"/>
    <w:multiLevelType w:val="multilevel"/>
    <w:tmpl w:val="0BFE6C78"/>
    <w:lvl w:ilvl="0">
      <w:numFmt w:val="bullet"/>
      <w:lvlText w:val=""/>
      <w:lvlJc w:val="left"/>
      <w:pPr>
        <w:ind w:left="720"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5D"/>
    <w:rsid w:val="007238C9"/>
    <w:rsid w:val="007D5A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8CE44-1875-4978-B081-E09B8D536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qFormat/>
    <w:pPr>
      <w:keepNext/>
      <w:spacing w:after="0" w:line="240" w:lineRule="auto"/>
      <w:jc w:val="center"/>
      <w:outlineLvl w:val="3"/>
    </w:pPr>
    <w:rPr>
      <w:rFonts w:ascii="Arial" w:hAnsi="Arial"/>
      <w:caps/>
      <w:sz w:val="20"/>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customStyle="1" w:styleId="Titre4Car">
    <w:name w:val="Titre 4 Car"/>
    <w:basedOn w:val="Policepardfaut"/>
    <w:link w:val="Titre4"/>
    <w:rPr>
      <w:rFonts w:ascii="Arial" w:eastAsia="Times New Roman" w:hAnsi="Arial" w:cs="Times New Roman"/>
      <w:caps/>
      <w:sz w:val="20"/>
      <w:szCs w:val="20"/>
    </w:rPr>
  </w:style>
  <w:style w:type="paragraph" w:styleId="Pieddepage">
    <w:name w:val="footer"/>
    <w:basedOn w:val="Normal"/>
    <w:link w:val="PieddepageCar"/>
    <w:uiPriority w:val="99"/>
    <w:pPr>
      <w:pBdr>
        <w:top w:val="single" w:sz="6" w:space="1" w:color="000000"/>
      </w:pBdr>
      <w:tabs>
        <w:tab w:val="center" w:pos="5103"/>
        <w:tab w:val="right" w:pos="9072"/>
      </w:tabs>
      <w:spacing w:after="0" w:line="240" w:lineRule="auto"/>
      <w:jc w:val="center"/>
    </w:pPr>
    <w:rPr>
      <w:rFonts w:ascii="Times New Roman" w:hAnsi="Times New Roman"/>
      <w:i/>
      <w:sz w:val="16"/>
      <w:szCs w:val="16"/>
    </w:rPr>
  </w:style>
  <w:style w:type="character" w:customStyle="1" w:styleId="PieddepageCar">
    <w:name w:val="Pied de page Car"/>
    <w:basedOn w:val="Policepardfaut"/>
    <w:link w:val="Pieddepage"/>
    <w:uiPriority w:val="99"/>
    <w:rPr>
      <w:rFonts w:ascii="Times New Roman" w:eastAsia="Times New Roman" w:hAnsi="Times New Roman" w:cs="Times New Roman"/>
      <w:i/>
      <w:sz w:val="16"/>
      <w:szCs w:val="16"/>
    </w:rPr>
  </w:style>
  <w:style w:type="character" w:styleId="Numrodepage">
    <w:name w:val="page number"/>
    <w:basedOn w:val="Policepardfaut"/>
  </w:style>
  <w:style w:type="character" w:customStyle="1" w:styleId="A0">
    <w:name w:val="A0"/>
    <w:uiPriority w:val="99"/>
    <w:rPr>
      <w:rFonts w:cs="Myriad Pro"/>
      <w:color w:val="000000"/>
      <w:sz w:val="13"/>
      <w:szCs w:val="13"/>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xplorateurdedocuments">
    <w:name w:val="Document Map"/>
    <w:basedOn w:val="Normal"/>
    <w:link w:val="ExplorateurdedocumentsCar"/>
    <w:uiPriority w:val="99"/>
    <w:semiHidden/>
    <w:unhideWhenUse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Pr>
      <w:rFonts w:ascii="Tahoma" w:hAnsi="Tahoma" w:cs="Tahoma"/>
      <w:sz w:val="16"/>
      <w:szCs w:val="16"/>
    </w:rPr>
  </w:style>
  <w:style w:type="table" w:styleId="Grillemoyenne3-Accent4">
    <w:name w:val="Medium Grid 3 Accent 4"/>
    <w:basedOn w:val="TableauNorma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tcBorders>
        <w:shd w:val="clear" w:color="auto" w:fill="8064A2" w:themeFill="accent4"/>
      </w:tcPr>
    </w:tblStylePr>
    <w:tblStylePr w:type="lastCol">
      <w:rPr>
        <w:b/>
        <w:bCs/>
        <w:i w:val="0"/>
        <w:iCs w:val="0"/>
        <w:color w:val="FFFFFF" w:themeColor="background1"/>
      </w:rPr>
      <w:tblPr/>
      <w:tcPr>
        <w:tcBorders>
          <w:top w:val="none" w:sz="4" w:space="0" w:color="000000"/>
          <w:left w:val="single" w:sz="24" w:space="0" w:color="FFFFFF" w:themeColor="background1"/>
          <w:bottom w:val="none" w:sz="4" w:space="0" w:color="000000"/>
          <w:right w:val="none" w:sz="4" w:space="0" w:color="000000"/>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BFB1D0" w:themeFill="accent4" w:themeFillTint="7F"/>
      </w:tcPr>
    </w:tblStylePr>
  </w:style>
  <w:style w:type="table" w:styleId="Tramemoyenne1-Accent4">
    <w:name w:val="Medium Shading 1 Accent 4"/>
    <w:basedOn w:val="TableauNormal"/>
    <w:uiPriority w:val="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8064A2" w:themeFill="accent4"/>
      </w:tcPr>
    </w:tblStylePr>
    <w:tblStylePr w:type="lastRow">
      <w:pPr>
        <w:spacing w:before="0" w:after="0" w:line="240" w:lineRule="auto"/>
      </w:pPr>
      <w:rPr>
        <w:b/>
        <w:bCs/>
      </w:rPr>
      <w:tblPr/>
      <w:tcPr>
        <w:tcBorders>
          <w:top w:val="sing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pPr>
      <w:spacing w:line="240" w:lineRule="auto"/>
    </w:pPr>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rPr>
  </w:style>
  <w:style w:type="paragraph" w:customStyle="1" w:styleId="Titrepage">
    <w:name w:val="Titre page"/>
    <w:basedOn w:val="Normal"/>
    <w:pPr>
      <w:spacing w:after="0" w:line="240" w:lineRule="auto"/>
      <w:jc w:val="center"/>
    </w:pPr>
    <w:rPr>
      <w:rFonts w:ascii="Arial" w:hAnsi="Arial"/>
      <w:b/>
      <w:caps/>
      <w:sz w:val="40"/>
      <w:szCs w:val="40"/>
      <w:lang w:eastAsia="ar-SA"/>
    </w:rPr>
  </w:style>
  <w:style w:type="paragraph" w:styleId="En-tte">
    <w:name w:val="header"/>
    <w:basedOn w:val="Normal"/>
    <w:link w:val="En-tteCar"/>
    <w:pPr>
      <w:tabs>
        <w:tab w:val="center" w:pos="4536"/>
        <w:tab w:val="right" w:pos="9072"/>
      </w:tabs>
      <w:spacing w:after="0" w:line="240" w:lineRule="auto"/>
      <w:jc w:val="both"/>
    </w:pPr>
    <w:rPr>
      <w:rFonts w:ascii="EurekaSans-Regular" w:hAnsi="EurekaSans-Regular"/>
      <w:sz w:val="24"/>
      <w:szCs w:val="24"/>
      <w:lang w:eastAsia="ar-SA"/>
    </w:rPr>
  </w:style>
  <w:style w:type="character" w:customStyle="1" w:styleId="En-tteCar">
    <w:name w:val="En-tête Car"/>
    <w:basedOn w:val="Policepardfaut"/>
    <w:link w:val="En-tte"/>
    <w:rPr>
      <w:rFonts w:ascii="EurekaSans-Regular" w:hAnsi="EurekaSans-Regular"/>
      <w:sz w:val="24"/>
      <w:szCs w:val="24"/>
      <w:lang w:eastAsia="ar-SA"/>
    </w:rPr>
  </w:style>
  <w:style w:type="character" w:customStyle="1" w:styleId="CommentaireCar1">
    <w:name w:val="Commentaire Car1"/>
    <w:basedOn w:val="Policepardfaut"/>
    <w:uiPriority w:val="99"/>
    <w:semiHidden/>
    <w:rPr>
      <w:rFonts w:ascii="EurekaSans-Regular" w:hAnsi="EurekaSans-Regular"/>
      <w:lang w:eastAsia="ar-SA"/>
    </w:rPr>
  </w:style>
  <w:style w:type="table" w:styleId="TableauGrille1Clair-Accentuation1">
    <w:name w:val="Grid Table 1 Light Accent 1"/>
    <w:basedOn w:val="TableauNormal"/>
    <w:uiPriority w:val="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single" w:sz="2" w:space="0" w:color="95B3D7" w:themeColor="accent1" w:themeTint="99"/>
        </w:tcBorders>
      </w:tcPr>
    </w:tblStylePr>
    <w:tblStylePr w:type="firstCol">
      <w:rPr>
        <w:b/>
        <w:bCs/>
      </w:rPr>
    </w:tblStylePr>
    <w:tblStylePr w:type="lastCol">
      <w:rPr>
        <w:b/>
        <w:bCs/>
      </w:rPr>
    </w:tblStylePr>
  </w:style>
  <w:style w:type="table" w:styleId="TableauGrille6Couleur-Accentuation2">
    <w:name w:val="Grid Table 6 Colorful Accent 2"/>
    <w:basedOn w:val="TableauNormal"/>
    <w:uiPriority w:val="51"/>
    <w:rPr>
      <w:rFonts w:asciiTheme="minorHAnsi" w:eastAsiaTheme="minorEastAsia" w:hAnsiTheme="minorHAnsi" w:cstheme="minorBidi"/>
      <w:color w:val="943634" w:themeColor="accent2" w:themeShade="BF"/>
      <w:sz w:val="22"/>
      <w:szCs w:val="22"/>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auGrille4-Accentuation5">
    <w:name w:val="Grid Table 4 Accent 5"/>
    <w:basedOn w:val="TableauNormal"/>
    <w:uiPriority w:val="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bCs/>
      </w:rPr>
      <w:tblPr/>
      <w:tcPr>
        <w:tcBorders>
          <w:top w:val="sing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Liste4-Accentuation3">
    <w:name w:val="List Table 4 Accent 3"/>
    <w:basedOn w:val="TableauNormal"/>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2">
    <w:name w:val="List Table 4 Accent 2"/>
    <w:basedOn w:val="TableauNormal"/>
    <w:uiPriority w:val="4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Default">
    <w:name w:val="Default"/>
    <w:rPr>
      <w:rFonts w:cs="Calibri"/>
      <w:color w:val="000000"/>
      <w:sz w:val="24"/>
      <w:szCs w:val="24"/>
    </w:rPr>
  </w:style>
  <w:style w:type="table" w:styleId="TableauGrille1Clair-Accentuation4">
    <w:name w:val="Grid Table 1 Light Accent 4"/>
    <w:basedOn w:val="TableauNormal"/>
    <w:uiPriority w:val="46"/>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single" w:sz="2" w:space="0" w:color="B2A1C7" w:themeColor="accent4" w:themeTint="99"/>
        </w:tcBorders>
      </w:tcPr>
    </w:tblStylePr>
    <w:tblStylePr w:type="firstCol">
      <w:rPr>
        <w:b/>
        <w:bCs/>
      </w:rPr>
    </w:tblStylePr>
    <w:tblStylePr w:type="lastCol">
      <w:rPr>
        <w:b/>
        <w:bCs/>
      </w:rPr>
    </w:tblStylePr>
  </w:style>
  <w:style w:type="table" w:styleId="TableauListe4-Accentuation6">
    <w:name w:val="List Table 4 Accent 6"/>
    <w:basedOn w:val="TableauNormal"/>
    <w:uiPriority w:val="49"/>
    <w:rPr>
      <w:rFonts w:asciiTheme="minorHAnsi" w:eastAsiaTheme="minorHAnsi" w:hAnsiTheme="minorHAnsi" w:cstheme="minorBidi"/>
      <w:sz w:val="22"/>
      <w:szCs w:val="22"/>
      <w:lang w:eastAsia="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Titre11">
    <w:name w:val="Titre 11"/>
    <w:basedOn w:val="Normal"/>
    <w:pPr>
      <w:numPr>
        <w:numId w:val="5"/>
      </w:numPr>
      <w:spacing w:after="160" w:line="259" w:lineRule="auto"/>
    </w:pPr>
    <w:rPr>
      <w:rFonts w:asciiTheme="minorHAnsi" w:eastAsiaTheme="minorHAnsi" w:hAnsiTheme="minorHAnsi" w:cstheme="minorBidi"/>
      <w:lang w:eastAsia="en-US"/>
    </w:rPr>
  </w:style>
  <w:style w:type="paragraph" w:customStyle="1" w:styleId="Titre21">
    <w:name w:val="Titre 21"/>
    <w:basedOn w:val="Normal"/>
    <w:pPr>
      <w:numPr>
        <w:ilvl w:val="1"/>
        <w:numId w:val="5"/>
      </w:numPr>
      <w:spacing w:after="160" w:line="259" w:lineRule="auto"/>
    </w:pPr>
    <w:rPr>
      <w:rFonts w:asciiTheme="minorHAnsi" w:eastAsiaTheme="minorHAnsi" w:hAnsiTheme="minorHAnsi" w:cstheme="minorBidi"/>
      <w:lang w:eastAsia="en-US"/>
    </w:rPr>
  </w:style>
  <w:style w:type="paragraph" w:customStyle="1" w:styleId="Titre31">
    <w:name w:val="Titre 31"/>
    <w:basedOn w:val="Normal"/>
    <w:pPr>
      <w:numPr>
        <w:ilvl w:val="2"/>
        <w:numId w:val="5"/>
      </w:numPr>
      <w:spacing w:after="160" w:line="259" w:lineRule="auto"/>
    </w:pPr>
    <w:rPr>
      <w:rFonts w:asciiTheme="minorHAnsi" w:eastAsiaTheme="minorHAnsi" w:hAnsiTheme="minorHAnsi" w:cstheme="minorBidi"/>
      <w:lang w:eastAsia="en-US"/>
    </w:rPr>
  </w:style>
  <w:style w:type="paragraph" w:customStyle="1" w:styleId="Titre41">
    <w:name w:val="Titre 41"/>
    <w:basedOn w:val="Normal"/>
    <w:pPr>
      <w:numPr>
        <w:ilvl w:val="3"/>
        <w:numId w:val="5"/>
      </w:numPr>
      <w:spacing w:after="160" w:line="259" w:lineRule="auto"/>
    </w:pPr>
    <w:rPr>
      <w:rFonts w:asciiTheme="minorHAnsi" w:eastAsiaTheme="minorHAnsi" w:hAnsiTheme="minorHAnsi" w:cstheme="minorBidi"/>
      <w:lang w:eastAsia="en-US"/>
    </w:rPr>
  </w:style>
  <w:style w:type="paragraph" w:customStyle="1" w:styleId="Titre51">
    <w:name w:val="Titre 51"/>
    <w:basedOn w:val="Normal"/>
    <w:pPr>
      <w:numPr>
        <w:ilvl w:val="4"/>
        <w:numId w:val="5"/>
      </w:numPr>
      <w:spacing w:after="160" w:line="259" w:lineRule="auto"/>
    </w:pPr>
    <w:rPr>
      <w:rFonts w:asciiTheme="minorHAnsi" w:eastAsiaTheme="minorHAnsi" w:hAnsiTheme="minorHAnsi" w:cstheme="minorBidi"/>
      <w:lang w:eastAsia="en-US"/>
    </w:rPr>
  </w:style>
  <w:style w:type="paragraph" w:customStyle="1" w:styleId="Titre61">
    <w:name w:val="Titre 61"/>
    <w:basedOn w:val="Normal"/>
    <w:pPr>
      <w:numPr>
        <w:ilvl w:val="5"/>
        <w:numId w:val="5"/>
      </w:numPr>
      <w:spacing w:after="160" w:line="259" w:lineRule="auto"/>
    </w:pPr>
    <w:rPr>
      <w:rFonts w:asciiTheme="minorHAnsi" w:eastAsiaTheme="minorHAnsi" w:hAnsiTheme="minorHAnsi" w:cstheme="minorBidi"/>
      <w:lang w:eastAsia="en-US"/>
    </w:rPr>
  </w:style>
  <w:style w:type="paragraph" w:customStyle="1" w:styleId="Titre71">
    <w:name w:val="Titre 71"/>
    <w:basedOn w:val="Normal"/>
    <w:pPr>
      <w:numPr>
        <w:ilvl w:val="6"/>
        <w:numId w:val="5"/>
      </w:numPr>
      <w:spacing w:after="160" w:line="259" w:lineRule="auto"/>
    </w:pPr>
    <w:rPr>
      <w:rFonts w:asciiTheme="minorHAnsi" w:eastAsiaTheme="minorHAnsi" w:hAnsiTheme="minorHAnsi" w:cstheme="minorBidi"/>
      <w:lang w:eastAsia="en-US"/>
    </w:rPr>
  </w:style>
  <w:style w:type="paragraph" w:customStyle="1" w:styleId="Titre81">
    <w:name w:val="Titre 81"/>
    <w:basedOn w:val="Normal"/>
    <w:pPr>
      <w:numPr>
        <w:ilvl w:val="7"/>
        <w:numId w:val="5"/>
      </w:numPr>
      <w:spacing w:after="160" w:line="259" w:lineRule="auto"/>
    </w:pPr>
    <w:rPr>
      <w:rFonts w:asciiTheme="minorHAnsi" w:eastAsiaTheme="minorHAnsi" w:hAnsiTheme="minorHAnsi" w:cstheme="minorBidi"/>
      <w:lang w:eastAsia="en-US"/>
    </w:rPr>
  </w:style>
  <w:style w:type="paragraph" w:customStyle="1" w:styleId="Titre91">
    <w:name w:val="Titre 91"/>
    <w:basedOn w:val="Normal"/>
    <w:pPr>
      <w:numPr>
        <w:ilvl w:val="8"/>
        <w:numId w:val="5"/>
      </w:numPr>
      <w:spacing w:after="160" w:line="259" w:lineRule="auto"/>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38743-D8EB-42CE-9A88-12FB6C64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1649</Words>
  <Characters>9072</Characters>
  <Application>Microsoft Office Word</Application>
  <DocSecurity>0</DocSecurity>
  <Lines>75</Lines>
  <Paragraphs>21</Paragraphs>
  <ScaleCrop>false</ScaleCrop>
  <Company>HP</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hlehericey</dc:creator>
  <cp:lastModifiedBy>Jean-François ETANCELIN</cp:lastModifiedBy>
  <cp:revision>9</cp:revision>
  <dcterms:created xsi:type="dcterms:W3CDTF">2024-12-20T08:54:00Z</dcterms:created>
  <dcterms:modified xsi:type="dcterms:W3CDTF">2025-02-03T17:21:00Z</dcterms:modified>
</cp:coreProperties>
</file>