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69" w:rsidRDefault="00754A69" w:rsidP="00E915EF">
      <w:pPr>
        <w:rPr>
          <w:b/>
          <w:sz w:val="28"/>
          <w:szCs w:val="28"/>
          <w:vertAlign w:val="superscript"/>
        </w:rPr>
      </w:pPr>
    </w:p>
    <w:p w:rsidR="00E915EF" w:rsidRPr="001B302A" w:rsidRDefault="00E915EF" w:rsidP="00E915EF">
      <w:pPr>
        <w:rPr>
          <w:b/>
          <w:sz w:val="28"/>
          <w:szCs w:val="28"/>
          <w:vertAlign w:val="superscript"/>
        </w:rPr>
      </w:pPr>
      <w:r w:rsidRPr="001B302A">
        <w:rPr>
          <w:b/>
          <w:sz w:val="28"/>
          <w:szCs w:val="28"/>
          <w:vertAlign w:val="superscript"/>
        </w:rPr>
        <w:t>PRESTATAIRE :</w:t>
      </w:r>
      <w:bookmarkStart w:id="0" w:name="_GoBack"/>
      <w:bookmarkEnd w:id="0"/>
    </w:p>
    <w:p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:rsidR="00E915EF" w:rsidRPr="001B302A" w:rsidRDefault="00E915EF" w:rsidP="00E915EF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E915EF" w:rsidRPr="00A06D17" w:rsidRDefault="00E915EF" w:rsidP="00E915EF">
      <w:pPr>
        <w:autoSpaceDE w:val="0"/>
        <w:autoSpaceDN w:val="0"/>
        <w:adjustRightInd w:val="0"/>
        <w:spacing w:before="60"/>
        <w:jc w:val="both"/>
      </w:pPr>
    </w:p>
    <w:sectPr w:rsidR="00E915EF" w:rsidRPr="00A06D17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79" w:rsidRDefault="00A76779" w:rsidP="00E915EF">
      <w:r>
        <w:separator/>
      </w:r>
    </w:p>
  </w:endnote>
  <w:endnote w:type="continuationSeparator" w:id="0">
    <w:p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E80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4421D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1D272E">
    <w:pPr>
      <w:pStyle w:val="Pieddepage"/>
      <w:ind w:right="360"/>
    </w:pPr>
  </w:p>
  <w:p w:rsidR="004E2E80" w:rsidRDefault="001D27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79" w:rsidRDefault="00A76779" w:rsidP="00E915EF">
      <w:r>
        <w:separator/>
      </w:r>
    </w:p>
  </w:footnote>
  <w:footnote w:type="continuationSeparator" w:id="0">
    <w:p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:rsidR="00754A69" w:rsidRDefault="005F5F8F" w:rsidP="00754A69">
    <w:pPr>
      <w:pStyle w:val="ServiceInfo-header"/>
      <w:spacing w:after="120"/>
      <w:rPr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1" layoutInCell="1" allowOverlap="0" wp14:anchorId="25C934D1" wp14:editId="32FC0A85">
          <wp:simplePos x="0" y="0"/>
          <wp:positionH relativeFrom="column">
            <wp:posOffset>0</wp:posOffset>
          </wp:positionH>
          <wp:positionV relativeFrom="page">
            <wp:posOffset>452755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:rsidR="00A06D17" w:rsidRPr="001B302A" w:rsidRDefault="00DE2C88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</w:t>
    </w:r>
    <w:r w:rsidR="005F5F8F">
      <w:rPr>
        <w:rFonts w:asciiTheme="minorHAnsi" w:hAnsiTheme="minorHAnsi" w:cstheme="minorHAnsi"/>
        <w:sz w:val="28"/>
        <w:szCs w:val="28"/>
      </w:rPr>
      <w:t>4</w:t>
    </w:r>
    <w:r w:rsidR="00D02D1D" w:rsidRPr="001B302A">
      <w:rPr>
        <w:rFonts w:asciiTheme="minorHAnsi" w:hAnsiTheme="minorHAnsi" w:cstheme="minorHAnsi"/>
        <w:sz w:val="28"/>
        <w:szCs w:val="28"/>
      </w:rPr>
      <w:t>_BAM_</w:t>
    </w:r>
    <w:r w:rsidR="005F5F8F">
      <w:rPr>
        <w:rFonts w:asciiTheme="minorHAnsi" w:hAnsiTheme="minorHAnsi" w:cstheme="minorHAnsi"/>
        <w:sz w:val="28"/>
        <w:szCs w:val="28"/>
      </w:rPr>
      <w:t>736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1D272E">
      <w:rPr>
        <w:rFonts w:asciiTheme="minorHAnsi" w:hAnsiTheme="minorHAnsi" w:cstheme="minorHAnsi"/>
        <w:sz w:val="28"/>
        <w:szCs w:val="28"/>
      </w:rPr>
      <w:t xml:space="preserve"> 2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:rsidR="00275B4D" w:rsidRPr="003D0F4F" w:rsidRDefault="00517BC9" w:rsidP="00517BC9">
    <w:pPr>
      <w:pStyle w:val="En-tte"/>
      <w:jc w:val="center"/>
      <w:rPr>
        <w:rFonts w:ascii="Marianne" w:hAnsi="Marianne" w:cs="Arial"/>
        <w:b/>
        <w:sz w:val="28"/>
        <w:szCs w:val="28"/>
      </w:rPr>
    </w:pPr>
    <w:r w:rsidRPr="00517BC9">
      <w:rPr>
        <w:rFonts w:ascii="Marianne" w:hAnsi="Marianne"/>
        <w:b/>
      </w:rPr>
      <w:t>Simulation de scénarios macroéconomiques pour l’exercice de prospective métiers et qualifications (PMQ)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5EF"/>
    <w:rsid w:val="00006C41"/>
    <w:rsid w:val="00064406"/>
    <w:rsid w:val="00065C2F"/>
    <w:rsid w:val="001B302A"/>
    <w:rsid w:val="001D272E"/>
    <w:rsid w:val="00275B4D"/>
    <w:rsid w:val="002929D6"/>
    <w:rsid w:val="003D0F4F"/>
    <w:rsid w:val="0044421D"/>
    <w:rsid w:val="00517BC9"/>
    <w:rsid w:val="0056077E"/>
    <w:rsid w:val="005F5F8F"/>
    <w:rsid w:val="00677404"/>
    <w:rsid w:val="006B464D"/>
    <w:rsid w:val="00754A69"/>
    <w:rsid w:val="007912B3"/>
    <w:rsid w:val="007B6454"/>
    <w:rsid w:val="00800C34"/>
    <w:rsid w:val="008247E1"/>
    <w:rsid w:val="008B7B53"/>
    <w:rsid w:val="008E126E"/>
    <w:rsid w:val="00916E22"/>
    <w:rsid w:val="009F2838"/>
    <w:rsid w:val="00A1298E"/>
    <w:rsid w:val="00A13092"/>
    <w:rsid w:val="00A76779"/>
    <w:rsid w:val="00C02028"/>
    <w:rsid w:val="00C92BE7"/>
    <w:rsid w:val="00C9487A"/>
    <w:rsid w:val="00D02D1D"/>
    <w:rsid w:val="00D5184A"/>
    <w:rsid w:val="00D5637E"/>
    <w:rsid w:val="00DE2C88"/>
    <w:rsid w:val="00DE5A71"/>
    <w:rsid w:val="00E10BCB"/>
    <w:rsid w:val="00E915EF"/>
    <w:rsid w:val="00EE0CFA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BE5BCDC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PARVEAU Matthias</cp:lastModifiedBy>
  <cp:revision>22</cp:revision>
  <dcterms:created xsi:type="dcterms:W3CDTF">2021-06-18T12:49:00Z</dcterms:created>
  <dcterms:modified xsi:type="dcterms:W3CDTF">2025-01-27T16:08:00Z</dcterms:modified>
</cp:coreProperties>
</file>