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ACE04" w14:textId="77777777" w:rsidR="00DE446C" w:rsidRDefault="00DE446C" w:rsidP="00DE446C">
      <w:bookmarkStart w:id="0" w:name="_Toc526153388"/>
      <w:bookmarkStart w:id="1" w:name="_Toc526153317"/>
      <w:bookmarkStart w:id="2" w:name="_Toc526153361"/>
      <w:bookmarkEnd w:id="0"/>
      <w:bookmarkEnd w:id="1"/>
      <w:bookmarkEnd w:id="2"/>
    </w:p>
    <w:p w14:paraId="31EE1A8A" w14:textId="77777777" w:rsidR="00DE446C" w:rsidRDefault="00DE446C" w:rsidP="00DE446C">
      <w:pPr>
        <w:pStyle w:val="RedaliaNormal"/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DE446C" w14:paraId="5BE4C38A" w14:textId="77777777" w:rsidTr="004B07DE">
        <w:tc>
          <w:tcPr>
            <w:tcW w:w="46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CE49F" w14:textId="77777777" w:rsidR="00DE446C" w:rsidRDefault="00DE446C" w:rsidP="004B07DE">
            <w:pPr>
              <w:pStyle w:val="RedaliaNormal"/>
            </w:pPr>
            <w:r>
              <w:rPr>
                <w:rFonts w:cs="Calibri"/>
                <w:noProof/>
              </w:rPr>
              <w:drawing>
                <wp:inline distT="0" distB="0" distL="0" distR="0" wp14:anchorId="13C2D3B0" wp14:editId="7E6A8B3A">
                  <wp:extent cx="1285920" cy="1162110"/>
                  <wp:effectExtent l="0" t="0" r="9480" b="0"/>
                  <wp:docPr id="414777389" name="Image 6" descr="Une image contenant texte, Police, logo, Graphique&#10;&#10;Description générée automatiquemen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777389" name="Image 6" descr="Une image contenant texte, Police, logo, Graphique&#10;&#10;Description générée automatiquement"/>
                          <pic:cNvPicPr/>
                        </pic:nvPicPr>
                        <pic:blipFill>
                          <a:blip r:embed="rId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920" cy="116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B5BFC" w14:textId="77777777" w:rsidR="00DE446C" w:rsidRDefault="00DE446C" w:rsidP="004B07DE">
            <w:pPr>
              <w:pStyle w:val="RedaliaNormal"/>
              <w:jc w:val="right"/>
            </w:pPr>
            <w:r>
              <w:rPr>
                <w:rFonts w:cs="Calibri"/>
                <w:noProof/>
              </w:rPr>
              <w:drawing>
                <wp:inline distT="0" distB="0" distL="0" distR="0" wp14:anchorId="0C831ED0" wp14:editId="1D41BFDF">
                  <wp:extent cx="1123889" cy="1276228"/>
                  <wp:effectExtent l="0" t="0" r="61" b="122"/>
                  <wp:docPr id="1236788412" name="Image 7" descr="Accueil - Agence de la transition écologiqu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889" cy="1276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2E5BAC" w14:textId="77777777" w:rsidR="00DE446C" w:rsidRDefault="00DE446C" w:rsidP="00DE446C">
      <w:pPr>
        <w:pStyle w:val="RedaliaNormal"/>
      </w:pPr>
    </w:p>
    <w:p w14:paraId="777FCDD1" w14:textId="77777777" w:rsidR="00DE446C" w:rsidRDefault="00DE446C" w:rsidP="00DE446C">
      <w:pPr>
        <w:pStyle w:val="RedaliaNormal"/>
      </w:pPr>
    </w:p>
    <w:p w14:paraId="7D07C056" w14:textId="77777777" w:rsidR="00DE446C" w:rsidRDefault="00DE446C" w:rsidP="00DE446C">
      <w:pPr>
        <w:pStyle w:val="RedaliaNormal"/>
      </w:pPr>
    </w:p>
    <w:p w14:paraId="2D6A955C" w14:textId="77777777" w:rsidR="00DE446C" w:rsidRDefault="00DE446C" w:rsidP="00DE446C">
      <w:pPr>
        <w:pStyle w:val="RedaliaNormal"/>
        <w:jc w:val="right"/>
      </w:pPr>
      <w:r>
        <w:t>Numéro de la consultation : 2025000113</w:t>
      </w:r>
    </w:p>
    <w:p w14:paraId="6CF0B679" w14:textId="77777777" w:rsidR="00DE446C" w:rsidRDefault="00DE446C" w:rsidP="00DE446C">
      <w:pPr>
        <w:pStyle w:val="RedaliaNormal"/>
        <w:jc w:val="right"/>
      </w:pPr>
      <w:r>
        <w:t>Numéro de contrat 2025AC000012</w:t>
      </w:r>
    </w:p>
    <w:p w14:paraId="699527CE" w14:textId="77777777" w:rsidR="00DE446C" w:rsidRDefault="00DE446C" w:rsidP="00DE446C">
      <w:pPr>
        <w:pStyle w:val="RedaliaNormal"/>
        <w:jc w:val="right"/>
      </w:pPr>
    </w:p>
    <w:p w14:paraId="1A2500C0" w14:textId="77777777" w:rsidR="00DE446C" w:rsidRDefault="00DE446C" w:rsidP="00DE446C">
      <w:pPr>
        <w:pStyle w:val="RedaliaNormal"/>
        <w:jc w:val="right"/>
      </w:pPr>
      <w:r>
        <w:t>Direction Economie Circulaire</w:t>
      </w:r>
    </w:p>
    <w:p w14:paraId="189A8358" w14:textId="77777777" w:rsidR="00DE446C" w:rsidRDefault="00DE446C" w:rsidP="00DE446C">
      <w:pPr>
        <w:pStyle w:val="RedaliaNormal"/>
        <w:jc w:val="right"/>
      </w:pPr>
      <w:r>
        <w:t>Service : 06 - Service Valorisation Déchets</w:t>
      </w:r>
    </w:p>
    <w:p w14:paraId="7AAD8648" w14:textId="77777777" w:rsidR="00DE446C" w:rsidRDefault="00DE446C" w:rsidP="00DE446C">
      <w:pPr>
        <w:pStyle w:val="RedaliaNormal"/>
        <w:jc w:val="right"/>
      </w:pPr>
    </w:p>
    <w:p w14:paraId="6E0564A6" w14:textId="77777777" w:rsidR="00DE446C" w:rsidRDefault="00DE446C" w:rsidP="00DE446C">
      <w:pPr>
        <w:pStyle w:val="RedaliaNormal"/>
      </w:pPr>
    </w:p>
    <w:p w14:paraId="5FF3351B" w14:textId="77777777" w:rsidR="00DE446C" w:rsidRDefault="00DE446C" w:rsidP="00DE446C">
      <w:pPr>
        <w:pStyle w:val="RedaliaNormal"/>
      </w:pPr>
    </w:p>
    <w:p w14:paraId="10492FF1" w14:textId="77777777" w:rsidR="00DE446C" w:rsidRDefault="00DE446C" w:rsidP="00DE446C">
      <w:pPr>
        <w:pStyle w:val="RedaliaNormal"/>
      </w:pPr>
    </w:p>
    <w:p w14:paraId="62C0EFF0" w14:textId="77777777" w:rsidR="00DE446C" w:rsidRDefault="00DE446C" w:rsidP="00DE446C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</w:pPr>
    </w:p>
    <w:p w14:paraId="1EC1BDA8" w14:textId="4221C3EA" w:rsidR="00DE446C" w:rsidRDefault="00DE446C" w:rsidP="00DE446C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CADRE DE DECOMPOSITION DES PRIX (CDP)</w:t>
      </w:r>
    </w:p>
    <w:p w14:paraId="099585FD" w14:textId="77777777" w:rsidR="00DE446C" w:rsidRDefault="00DE446C" w:rsidP="00DE446C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</w:p>
    <w:p w14:paraId="4841F7FA" w14:textId="77777777" w:rsidR="00DE446C" w:rsidRDefault="00DE446C" w:rsidP="00DE446C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Animation, accompagnement et évaluation des Contrats de Performance des Déchets Ménagers et Assimilés (CPDMA)</w:t>
      </w:r>
    </w:p>
    <w:p w14:paraId="25D30D16" w14:textId="77777777" w:rsidR="00DE446C" w:rsidRDefault="00DE446C" w:rsidP="00DE446C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</w:pPr>
    </w:p>
    <w:p w14:paraId="2CA9C19C" w14:textId="77777777" w:rsidR="00DE446C" w:rsidRDefault="00DE446C" w:rsidP="00DE446C">
      <w:pPr>
        <w:pStyle w:val="RedaliaNormal"/>
      </w:pPr>
    </w:p>
    <w:p w14:paraId="0775557E" w14:textId="77777777" w:rsidR="00DE446C" w:rsidRDefault="00DE446C" w:rsidP="00DE446C"/>
    <w:p w14:paraId="0E15EFCC" w14:textId="77777777" w:rsidR="00DE446C" w:rsidRDefault="00DE446C" w:rsidP="00DE446C">
      <w:pPr>
        <w:widowControl/>
        <w:suppressAutoHyphens w:val="0"/>
        <w:autoSpaceDN/>
        <w:spacing w:after="160" w:line="259" w:lineRule="auto"/>
      </w:pPr>
      <w:r>
        <w:t>Les prix sont les tarifs qui seront applicables pendant toute la durée du contrat. Ces prix sont fermes, définitifs et non révisables</w:t>
      </w:r>
    </w:p>
    <w:p w14:paraId="6648B35D" w14:textId="77777777" w:rsidR="00DE446C" w:rsidRDefault="00DE446C" w:rsidP="00DE446C"/>
    <w:p w14:paraId="0AE1CEAF" w14:textId="77777777" w:rsidR="00DE446C" w:rsidRDefault="00DE446C" w:rsidP="00DE446C">
      <w:pPr>
        <w:pStyle w:val="RedaliaNormal"/>
      </w:pPr>
    </w:p>
    <w:p w14:paraId="4B42D43B" w14:textId="77777777" w:rsidR="00DE446C" w:rsidRDefault="00DE446C">
      <w:pPr>
        <w:rPr>
          <w:b/>
          <w:bCs/>
          <w:sz w:val="20"/>
          <w:u w:val="single"/>
        </w:rPr>
        <w:sectPr w:rsidR="00DE446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D916EC4" w14:textId="5164B228" w:rsidR="00990323" w:rsidRDefault="007D29B1">
      <w:pPr>
        <w:rPr>
          <w:b/>
          <w:bCs/>
          <w:sz w:val="20"/>
          <w:u w:val="single"/>
        </w:rPr>
      </w:pPr>
      <w:r>
        <w:rPr>
          <w:b/>
          <w:bCs/>
          <w:sz w:val="20"/>
          <w:u w:val="single"/>
        </w:rPr>
        <w:lastRenderedPageBreak/>
        <w:t>PR</w:t>
      </w:r>
      <w:r w:rsidR="004C2008">
        <w:rPr>
          <w:b/>
          <w:bCs/>
          <w:sz w:val="20"/>
          <w:u w:val="single"/>
        </w:rPr>
        <w:t>E</w:t>
      </w:r>
      <w:r w:rsidR="00990323">
        <w:rPr>
          <w:b/>
          <w:bCs/>
          <w:sz w:val="20"/>
          <w:u w:val="single"/>
        </w:rPr>
        <w:t>STATIONS FORFAITAIRES</w:t>
      </w:r>
    </w:p>
    <w:p w14:paraId="6BD395A5" w14:textId="77777777" w:rsidR="00DE446C" w:rsidRDefault="00DE446C">
      <w:pPr>
        <w:rPr>
          <w:b/>
          <w:bCs/>
          <w:sz w:val="20"/>
          <w:u w:val="single"/>
        </w:rPr>
      </w:pPr>
    </w:p>
    <w:p w14:paraId="651567DA" w14:textId="77777777" w:rsidR="00DE446C" w:rsidRDefault="00DE446C">
      <w:pPr>
        <w:rPr>
          <w:b/>
          <w:bCs/>
          <w:sz w:val="20"/>
          <w:u w:val="single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8"/>
        <w:gridCol w:w="1984"/>
        <w:gridCol w:w="1843"/>
        <w:gridCol w:w="1417"/>
      </w:tblGrid>
      <w:tr w:rsidR="00DE446C" w:rsidRPr="008A1F4D" w14:paraId="2794B593" w14:textId="77777777" w:rsidTr="00DE446C">
        <w:trPr>
          <w:trHeight w:val="1410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C01F3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>Désignation prestation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38B16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>Tarif unitaire (personnel : journalier ; autres dépenses : à préciser)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BB397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>Nombre d’unités (personnel : jours ; autres dépenses : à préciser)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59793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>Montant forfaitaire total</w:t>
            </w:r>
          </w:p>
        </w:tc>
      </w:tr>
      <w:tr w:rsidR="00DE446C" w:rsidRPr="008A1F4D" w14:paraId="40E27FBB" w14:textId="77777777" w:rsidTr="00DE446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693B5" w14:textId="77777777" w:rsidR="00DE446C" w:rsidRDefault="00DE446C" w:rsidP="00DE446C">
            <w:pPr>
              <w:widowControl/>
              <w:suppressAutoHyphens w:val="0"/>
              <w:autoSpaceDN/>
              <w:rPr>
                <w:rFonts w:eastAsia="Times New Roman"/>
                <w:color w:val="000000"/>
                <w:szCs w:val="22"/>
              </w:rPr>
            </w:pPr>
            <w:r>
              <w:rPr>
                <w:rFonts w:eastAsia="Times New Roman"/>
                <w:color w:val="000000"/>
                <w:szCs w:val="22"/>
              </w:rPr>
              <w:t xml:space="preserve">Animation autour du CPDMA (dont réunions collectives en présentiel)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5D4F4A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B776C4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540F79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DE446C" w:rsidRPr="008A1F4D" w14:paraId="43ED1FF6" w14:textId="77777777" w:rsidTr="00DE446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AFCA1" w14:textId="77777777" w:rsidR="00DE446C" w:rsidRPr="008A1F4D" w:rsidRDefault="00DE446C" w:rsidP="00DE446C">
            <w:pPr>
              <w:widowControl/>
              <w:suppressAutoHyphens w:val="0"/>
              <w:autoSpaceDN/>
              <w:rPr>
                <w:rFonts w:eastAsia="Times New Roman"/>
                <w:color w:val="000000"/>
                <w:szCs w:val="22"/>
              </w:rPr>
            </w:pPr>
            <w:r>
              <w:rPr>
                <w:rFonts w:eastAsia="Times New Roman"/>
                <w:color w:val="000000"/>
                <w:szCs w:val="22"/>
              </w:rPr>
              <w:t>Suivi individuel des collectivités (dont réunions bilatérales)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CA8234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F1FD4D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F48EA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DE446C" w:rsidRPr="008A1F4D" w14:paraId="29E2030C" w14:textId="77777777" w:rsidTr="00DE446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EFEA05" w14:textId="77777777" w:rsidR="00DE446C" w:rsidRPr="008A1F4D" w:rsidRDefault="00DE446C" w:rsidP="00DE446C">
            <w:pPr>
              <w:widowControl/>
              <w:suppressAutoHyphens w:val="0"/>
              <w:autoSpaceDN/>
              <w:rPr>
                <w:rFonts w:eastAsia="Times New Roman"/>
                <w:color w:val="000000"/>
                <w:szCs w:val="22"/>
              </w:rPr>
            </w:pPr>
            <w:r>
              <w:rPr>
                <w:rFonts w:eastAsia="Times New Roman"/>
                <w:color w:val="000000"/>
                <w:szCs w:val="22"/>
              </w:rPr>
              <w:t>Evaluation CPDMA (de la collecte des données jusqu’à l’analyse)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F1B0DC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1AC941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A79A95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DE446C" w:rsidRPr="008A1F4D" w14:paraId="3B8CCBB6" w14:textId="77777777" w:rsidTr="00DE446C">
        <w:trPr>
          <w:trHeight w:val="5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BB0AF" w14:textId="77777777" w:rsidR="00DE446C" w:rsidRDefault="00DE446C" w:rsidP="00DE446C">
            <w:pPr>
              <w:widowControl/>
              <w:suppressAutoHyphens w:val="0"/>
              <w:autoSpaceDN/>
              <w:rPr>
                <w:rFonts w:eastAsia="Times New Roman"/>
                <w:color w:val="000000"/>
                <w:szCs w:val="22"/>
              </w:rPr>
            </w:pPr>
            <w:r w:rsidRPr="00DA3B1B">
              <w:rPr>
                <w:rFonts w:eastAsia="Times New Roman"/>
                <w:color w:val="000000"/>
                <w:szCs w:val="22"/>
              </w:rPr>
              <w:t>Mise à jour des documents de la boîte à outils</w:t>
            </w:r>
            <w:r>
              <w:rPr>
                <w:rFonts w:eastAsia="Times New Roman"/>
                <w:color w:val="000000"/>
                <w:szCs w:val="22"/>
              </w:rPr>
              <w:t xml:space="preserve"> CPDMA</w:t>
            </w:r>
            <w:r w:rsidRPr="00DA3B1B">
              <w:rPr>
                <w:rFonts w:eastAsia="Times New Roman"/>
                <w:color w:val="000000"/>
                <w:szCs w:val="22"/>
              </w:rPr>
              <w:tab/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D614CD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E8AD2D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873BD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DE446C" w:rsidRPr="008A1F4D" w14:paraId="568E9B2F" w14:textId="77777777" w:rsidTr="00DE446C">
        <w:trPr>
          <w:trHeight w:val="5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FEBD9" w14:textId="77777777" w:rsidR="00DE446C" w:rsidRPr="008A1F4D" w:rsidRDefault="00DE446C" w:rsidP="00DE446C">
            <w:pPr>
              <w:widowControl/>
              <w:suppressAutoHyphens w:val="0"/>
              <w:autoSpaceDN/>
              <w:rPr>
                <w:rFonts w:eastAsia="Times New Roman"/>
                <w:color w:val="000000"/>
                <w:szCs w:val="22"/>
              </w:rPr>
            </w:pPr>
            <w:r>
              <w:rPr>
                <w:rFonts w:eastAsia="Times New Roman"/>
                <w:color w:val="000000"/>
                <w:szCs w:val="22"/>
              </w:rPr>
              <w:t>Rédaction des autres livrables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B7986F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FA16E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C0E142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DE446C" w:rsidRPr="008A1F4D" w14:paraId="59140C26" w14:textId="77777777" w:rsidTr="00DE446C">
        <w:trPr>
          <w:trHeight w:val="5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E43DBB" w14:textId="77777777" w:rsidR="00DE446C" w:rsidRPr="0058297A" w:rsidRDefault="00DE446C" w:rsidP="00DE446C">
            <w:pPr>
              <w:widowControl/>
              <w:suppressAutoHyphens w:val="0"/>
              <w:autoSpaceDN/>
              <w:rPr>
                <w:rFonts w:eastAsia="Times New Roman"/>
                <w:color w:val="000000"/>
                <w:szCs w:val="22"/>
              </w:rPr>
            </w:pPr>
            <w:r w:rsidRPr="0058297A">
              <w:rPr>
                <w:rFonts w:eastAsia="Times New Roman"/>
                <w:color w:val="000000"/>
                <w:szCs w:val="22"/>
              </w:rPr>
              <w:t>Réunions lancement et fin de mission</w:t>
            </w:r>
            <w:r>
              <w:rPr>
                <w:rFonts w:eastAsia="Times New Roman"/>
                <w:color w:val="000000"/>
                <w:szCs w:val="22"/>
              </w:rPr>
              <w:t xml:space="preserve"> en présentiel à Angers</w:t>
            </w:r>
            <w:r w:rsidRPr="0058297A">
              <w:rPr>
                <w:rFonts w:eastAsia="Times New Roman"/>
                <w:color w:val="000000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0F8BD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F34146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C19BC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DE446C" w:rsidRPr="008A1F4D" w14:paraId="4C12ED02" w14:textId="77777777" w:rsidTr="00DE446C">
        <w:trPr>
          <w:trHeight w:val="5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22F940" w14:textId="77777777" w:rsidR="00DE446C" w:rsidRDefault="00DE446C" w:rsidP="00DE446C">
            <w:pPr>
              <w:widowControl/>
              <w:suppressAutoHyphens w:val="0"/>
              <w:autoSpaceDN/>
              <w:rPr>
                <w:rFonts w:eastAsia="Times New Roman"/>
                <w:color w:val="000000"/>
                <w:szCs w:val="22"/>
              </w:rPr>
            </w:pPr>
            <w:r>
              <w:rPr>
                <w:rFonts w:eastAsia="Times New Roman"/>
                <w:color w:val="000000"/>
                <w:szCs w:val="22"/>
              </w:rPr>
              <w:t>Autres réunions de suivi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0F838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FF72CE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E42959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DE446C" w:rsidRPr="008A1F4D" w14:paraId="584AE4FD" w14:textId="77777777" w:rsidTr="00DE446C">
        <w:trPr>
          <w:trHeight w:val="315"/>
        </w:trPr>
        <w:tc>
          <w:tcPr>
            <w:tcW w:w="76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1B4FFB" w14:textId="77777777" w:rsidR="00DE446C" w:rsidRPr="008A1F4D" w:rsidRDefault="00DE446C" w:rsidP="00DE446C">
            <w:pPr>
              <w:widowControl/>
              <w:suppressAutoHyphens w:val="0"/>
              <w:autoSpaceDN/>
              <w:jc w:val="right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>Coût total des prestations forfaitaires HT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7FE7D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DE446C" w:rsidRPr="008A1F4D" w14:paraId="5BB4A819" w14:textId="77777777" w:rsidTr="00DE446C">
        <w:trPr>
          <w:trHeight w:val="300"/>
        </w:trPr>
        <w:tc>
          <w:tcPr>
            <w:tcW w:w="76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3FA72F" w14:textId="77777777" w:rsidR="00DE446C" w:rsidRPr="008A1F4D" w:rsidRDefault="00DE446C" w:rsidP="00DE446C">
            <w:pPr>
              <w:widowControl/>
              <w:suppressAutoHyphens w:val="0"/>
              <w:autoSpaceDN/>
              <w:jc w:val="right"/>
              <w:rPr>
                <w:rFonts w:eastAsia="Times New Roman"/>
                <w:b/>
                <w:bCs/>
                <w:color w:val="000000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</w:rPr>
              <w:t xml:space="preserve">Taux de </w:t>
            </w: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>TVA</w:t>
            </w:r>
            <w:r>
              <w:rPr>
                <w:rFonts w:eastAsia="Times New Roman"/>
                <w:b/>
                <w:bCs/>
                <w:color w:val="000000"/>
                <w:szCs w:val="22"/>
              </w:rPr>
              <w:t xml:space="preserve"> …..</w:t>
            </w: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 xml:space="preserve"> %</w:t>
            </w:r>
            <w:r>
              <w:rPr>
                <w:rFonts w:eastAsia="Times New Roman"/>
                <w:b/>
                <w:bCs/>
                <w:color w:val="000000"/>
                <w:szCs w:val="22"/>
              </w:rPr>
              <w:t xml:space="preserve"> et montant de TVA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FD97C8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DE446C" w:rsidRPr="008A1F4D" w14:paraId="4E76487B" w14:textId="77777777" w:rsidTr="00DE446C">
        <w:trPr>
          <w:trHeight w:val="315"/>
        </w:trPr>
        <w:tc>
          <w:tcPr>
            <w:tcW w:w="76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A1BC1F" w14:textId="77777777" w:rsidR="00DE446C" w:rsidRPr="008A1F4D" w:rsidRDefault="00DE446C" w:rsidP="00DE446C">
            <w:pPr>
              <w:widowControl/>
              <w:suppressAutoHyphens w:val="0"/>
              <w:autoSpaceDN/>
              <w:jc w:val="right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>Coût total des prestations forfaitaires TTC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AC077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</w:tbl>
    <w:p w14:paraId="2956DB98" w14:textId="2AC779D1" w:rsidR="00990323" w:rsidRDefault="00990323">
      <w:pPr>
        <w:widowControl/>
        <w:suppressAutoHyphens w:val="0"/>
        <w:autoSpaceDN/>
        <w:spacing w:after="160" w:line="259" w:lineRule="auto"/>
        <w:rPr>
          <w:b/>
          <w:bCs/>
          <w:sz w:val="20"/>
          <w:u w:val="single"/>
        </w:rPr>
      </w:pPr>
    </w:p>
    <w:p w14:paraId="26941E87" w14:textId="77777777" w:rsidR="00DE446C" w:rsidRDefault="00DE446C">
      <w:pPr>
        <w:widowControl/>
        <w:suppressAutoHyphens w:val="0"/>
        <w:autoSpaceDN/>
        <w:spacing w:after="160" w:line="259" w:lineRule="auto"/>
        <w:rPr>
          <w:b/>
          <w:bCs/>
          <w:sz w:val="20"/>
          <w:u w:val="single"/>
        </w:rPr>
      </w:pPr>
    </w:p>
    <w:p w14:paraId="59990F00" w14:textId="77777777" w:rsidR="00DE446C" w:rsidRDefault="00DE446C">
      <w:pPr>
        <w:rPr>
          <w:b/>
          <w:bCs/>
          <w:sz w:val="20"/>
          <w:u w:val="single"/>
        </w:rPr>
      </w:pPr>
    </w:p>
    <w:p w14:paraId="656C9650" w14:textId="77777777" w:rsidR="00DE446C" w:rsidRDefault="00DE446C">
      <w:pPr>
        <w:widowControl/>
        <w:suppressAutoHyphens w:val="0"/>
        <w:autoSpaceDN/>
        <w:spacing w:after="160" w:line="259" w:lineRule="auto"/>
        <w:rPr>
          <w:b/>
          <w:bCs/>
          <w:sz w:val="20"/>
          <w:u w:val="single"/>
        </w:rPr>
      </w:pPr>
      <w:r>
        <w:rPr>
          <w:b/>
          <w:bCs/>
          <w:sz w:val="20"/>
          <w:u w:val="single"/>
        </w:rPr>
        <w:br w:type="page"/>
      </w:r>
    </w:p>
    <w:p w14:paraId="4378395E" w14:textId="5FE16856" w:rsidR="00922B56" w:rsidRDefault="00990323">
      <w:pPr>
        <w:rPr>
          <w:b/>
          <w:bCs/>
          <w:sz w:val="20"/>
          <w:u w:val="single"/>
        </w:rPr>
      </w:pPr>
      <w:r>
        <w:rPr>
          <w:b/>
          <w:bCs/>
          <w:sz w:val="20"/>
          <w:u w:val="single"/>
        </w:rPr>
        <w:lastRenderedPageBreak/>
        <w:t>PRESTATIONS UNITAIRES</w:t>
      </w:r>
    </w:p>
    <w:p w14:paraId="02B2CF6E" w14:textId="77777777" w:rsidR="00DE446C" w:rsidRDefault="00DE446C" w:rsidP="00DE446C">
      <w:pPr>
        <w:pStyle w:val="Corpsdetexte"/>
        <w:rPr>
          <w:rFonts w:ascii="Arial" w:hAnsi="Arial" w:cs="Arial"/>
          <w:sz w:val="22"/>
          <w:szCs w:val="22"/>
        </w:rPr>
      </w:pPr>
    </w:p>
    <w:p w14:paraId="1BE44217" w14:textId="1EC83C02" w:rsidR="00DE446C" w:rsidRPr="00281992" w:rsidRDefault="00DE446C" w:rsidP="00DE446C">
      <w:pPr>
        <w:pStyle w:val="Corpsdetexte"/>
        <w:rPr>
          <w:rFonts w:ascii="Arial" w:hAnsi="Arial" w:cs="Arial"/>
          <w:sz w:val="22"/>
          <w:szCs w:val="22"/>
        </w:rPr>
      </w:pPr>
      <w:r w:rsidRPr="00281992">
        <w:rPr>
          <w:rFonts w:ascii="Arial" w:hAnsi="Arial" w:cs="Arial"/>
          <w:sz w:val="22"/>
          <w:szCs w:val="22"/>
        </w:rPr>
        <w:t>Les quantités indiquées ne sont pas contractuelles</w:t>
      </w:r>
      <w:r>
        <w:rPr>
          <w:rFonts w:ascii="Arial" w:hAnsi="Arial" w:cs="Arial"/>
          <w:sz w:val="22"/>
          <w:szCs w:val="22"/>
        </w:rPr>
        <w:t>. Elles</w:t>
      </w:r>
      <w:r w:rsidRPr="00281992">
        <w:rPr>
          <w:rFonts w:ascii="Arial" w:hAnsi="Arial" w:cs="Arial"/>
          <w:sz w:val="22"/>
          <w:szCs w:val="22"/>
        </w:rPr>
        <w:t xml:space="preserve"> servent uniquement à la comparaison des offres</w:t>
      </w:r>
      <w:r>
        <w:rPr>
          <w:rFonts w:ascii="Arial" w:hAnsi="Arial" w:cs="Arial"/>
          <w:sz w:val="22"/>
          <w:szCs w:val="22"/>
        </w:rPr>
        <w:t>.</w:t>
      </w:r>
    </w:p>
    <w:p w14:paraId="4064F87C" w14:textId="77777777" w:rsidR="00DE446C" w:rsidRDefault="00DE446C">
      <w:pPr>
        <w:rPr>
          <w:b/>
          <w:bCs/>
          <w:sz w:val="20"/>
          <w:u w:val="single"/>
        </w:rPr>
      </w:pPr>
    </w:p>
    <w:tbl>
      <w:tblPr>
        <w:tblpPr w:leftFromText="141" w:rightFromText="141" w:vertAnchor="text" w:horzAnchor="margin" w:tblpY="46"/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1843"/>
        <w:gridCol w:w="1984"/>
        <w:gridCol w:w="1701"/>
      </w:tblGrid>
      <w:tr w:rsidR="00DE446C" w:rsidRPr="00FF7A8E" w14:paraId="0D65600E" w14:textId="77777777" w:rsidTr="00DE446C">
        <w:trPr>
          <w:trHeight w:val="600"/>
        </w:trPr>
        <w:tc>
          <w:tcPr>
            <w:tcW w:w="35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942C6" w14:textId="77777777" w:rsidR="00DE446C" w:rsidRPr="00FF7A8E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FF7A8E">
              <w:rPr>
                <w:rFonts w:eastAsia="Times New Roman"/>
                <w:b/>
                <w:bCs/>
                <w:color w:val="000000"/>
                <w:szCs w:val="22"/>
              </w:rPr>
              <w:t>Désignation prestation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38AB5" w14:textId="4D95EA24" w:rsidR="00DE446C" w:rsidRPr="00FF7A8E" w:rsidRDefault="00DE446C" w:rsidP="00DE446C">
            <w:pPr>
              <w:widowControl/>
              <w:suppressAutoHyphens w:val="0"/>
              <w:autoSpaceDN/>
              <w:ind w:left="18"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FF7A8E">
              <w:rPr>
                <w:rFonts w:eastAsia="Times New Roman"/>
                <w:b/>
                <w:bCs/>
                <w:color w:val="000000"/>
                <w:szCs w:val="22"/>
              </w:rPr>
              <w:t>Prix unitaire en € HT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D275C" w14:textId="77777777" w:rsidR="00DE446C" w:rsidRPr="00FF7A8E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FF7A8E">
              <w:rPr>
                <w:rFonts w:eastAsia="Times New Roman"/>
                <w:b/>
                <w:bCs/>
                <w:color w:val="000000"/>
                <w:szCs w:val="22"/>
              </w:rPr>
              <w:t>Nombre prévisionnel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BB397" w14:textId="77777777" w:rsidR="00DE446C" w:rsidRPr="00FF7A8E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FF7A8E">
              <w:rPr>
                <w:rFonts w:eastAsia="Times New Roman"/>
                <w:b/>
                <w:bCs/>
                <w:color w:val="000000"/>
                <w:szCs w:val="22"/>
              </w:rPr>
              <w:t>Montant</w:t>
            </w:r>
          </w:p>
        </w:tc>
      </w:tr>
      <w:tr w:rsidR="00DE446C" w:rsidRPr="00FF7A8E" w14:paraId="059E30A7" w14:textId="77777777" w:rsidTr="00DE446C">
        <w:trPr>
          <w:trHeight w:val="300"/>
        </w:trPr>
        <w:tc>
          <w:tcPr>
            <w:tcW w:w="35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22B569" w14:textId="77777777" w:rsidR="00DE446C" w:rsidRPr="00FF7A8E" w:rsidRDefault="00DE446C" w:rsidP="00DE446C">
            <w:pPr>
              <w:widowControl/>
              <w:suppressAutoHyphens w:val="0"/>
              <w:autoSpaceDN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962118" w14:textId="77777777" w:rsidR="00DE446C" w:rsidRPr="00FF7A8E" w:rsidRDefault="00DE446C" w:rsidP="00DE446C">
            <w:pPr>
              <w:widowControl/>
              <w:suppressAutoHyphens w:val="0"/>
              <w:autoSpaceDN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0583C" w14:textId="77777777" w:rsidR="00DE446C" w:rsidRPr="00FF7A8E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FF7A8E">
              <w:rPr>
                <w:rFonts w:eastAsia="Times New Roman"/>
                <w:b/>
                <w:bCs/>
                <w:color w:val="000000"/>
                <w:szCs w:val="22"/>
              </w:rPr>
              <w:t>(non contractuel)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5E2E5" w14:textId="77777777" w:rsidR="00DE446C" w:rsidRPr="00FF7A8E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FF7A8E">
              <w:rPr>
                <w:rFonts w:eastAsia="Times New Roman"/>
                <w:b/>
                <w:bCs/>
                <w:color w:val="000000"/>
                <w:szCs w:val="22"/>
              </w:rPr>
              <w:t>en € HT</w:t>
            </w:r>
          </w:p>
        </w:tc>
      </w:tr>
      <w:tr w:rsidR="00DE446C" w:rsidRPr="00FF7A8E" w14:paraId="525CA6DC" w14:textId="77777777" w:rsidTr="00DE446C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D38C2" w14:textId="6196E3DD" w:rsidR="00DE446C" w:rsidRPr="00FF7A8E" w:rsidRDefault="00DE446C" w:rsidP="00DE446C">
            <w:pPr>
              <w:widowControl/>
              <w:suppressAutoHyphens w:val="0"/>
              <w:autoSpaceDN/>
              <w:rPr>
                <w:rFonts w:eastAsia="Times New Roman"/>
                <w:color w:val="000000"/>
                <w:szCs w:val="22"/>
              </w:rPr>
            </w:pPr>
            <w:r>
              <w:rPr>
                <w:rFonts w:eastAsia="Times New Roman"/>
                <w:color w:val="000000"/>
                <w:szCs w:val="22"/>
              </w:rPr>
              <w:t>Réunion collective distancielle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725E6" w14:textId="77777777" w:rsidR="00DE446C" w:rsidRPr="00FF7A8E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59D9A" w14:textId="77777777" w:rsidR="00DE446C" w:rsidRPr="00FF7A8E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6C0DDD" w14:textId="77777777" w:rsidR="00DE446C" w:rsidRPr="00FF7A8E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DE446C" w:rsidRPr="00FF7A8E" w14:paraId="7445A172" w14:textId="77777777" w:rsidTr="00DE446C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7A1C04" w14:textId="77777777" w:rsidR="00DE446C" w:rsidRDefault="00DE446C" w:rsidP="00DE446C">
            <w:pPr>
              <w:widowControl/>
              <w:suppressAutoHyphens w:val="0"/>
              <w:autoSpaceDN/>
              <w:rPr>
                <w:rFonts w:eastAsia="Times New Roman"/>
                <w:color w:val="000000"/>
                <w:szCs w:val="22"/>
              </w:rPr>
            </w:pPr>
            <w:r>
              <w:rPr>
                <w:rFonts w:eastAsia="Times New Roman"/>
                <w:color w:val="000000"/>
                <w:szCs w:val="22"/>
              </w:rPr>
              <w:t xml:space="preserve">Rédaction </w:t>
            </w:r>
            <w:r w:rsidRPr="00307948">
              <w:rPr>
                <w:rFonts w:eastAsia="Times New Roman"/>
                <w:color w:val="000000"/>
                <w:szCs w:val="22"/>
              </w:rPr>
              <w:t>d’une fiche REX nouvelle collectivité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9193FB" w14:textId="77777777" w:rsidR="00DE446C" w:rsidRPr="00FF7A8E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E6C573" w14:textId="77777777" w:rsidR="00DE446C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18845" w14:textId="77777777" w:rsidR="00DE446C" w:rsidRPr="00FF7A8E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DE446C" w:rsidRPr="00FF7A8E" w14:paraId="314EAF1F" w14:textId="77777777" w:rsidTr="00DE446C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4F7F36" w14:textId="77777777" w:rsidR="00DE446C" w:rsidRPr="00FF7A8E" w:rsidRDefault="00DE446C" w:rsidP="00DE446C">
            <w:pPr>
              <w:widowControl/>
              <w:suppressAutoHyphens w:val="0"/>
              <w:autoSpaceDN/>
              <w:rPr>
                <w:rFonts w:eastAsia="Times New Roman"/>
                <w:color w:val="000000"/>
                <w:szCs w:val="22"/>
              </w:rPr>
            </w:pPr>
            <w:r w:rsidRPr="00FF7A8E">
              <w:rPr>
                <w:rFonts w:eastAsia="Times New Roman"/>
                <w:color w:val="000000"/>
                <w:szCs w:val="22"/>
              </w:rPr>
              <w:t>A</w:t>
            </w:r>
            <w:r>
              <w:rPr>
                <w:rFonts w:eastAsia="Times New Roman"/>
                <w:color w:val="000000"/>
                <w:szCs w:val="22"/>
              </w:rPr>
              <w:t>ccompagnement des collectivités dans l’évolution des contrats</w:t>
            </w:r>
            <w:r w:rsidRPr="00FF7A8E">
              <w:rPr>
                <w:rFonts w:eastAsia="Times New Roman"/>
                <w:color w:val="000000"/>
                <w:szCs w:val="22"/>
              </w:rPr>
              <w:t> (tarif journalier)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D00A91" w14:textId="77777777" w:rsidR="00DE446C" w:rsidRPr="00FF7A8E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322F3F" w14:textId="77777777" w:rsidR="00DE446C" w:rsidRPr="00FF7A8E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4B642B" w14:textId="77777777" w:rsidR="00DE446C" w:rsidRPr="00FF7A8E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DE446C" w:rsidRPr="00FF7A8E" w14:paraId="33F0DCB2" w14:textId="77777777" w:rsidTr="00DE446C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A10883" w14:textId="77777777" w:rsidR="00DE446C" w:rsidRDefault="00DE446C" w:rsidP="00DE446C">
            <w:pPr>
              <w:widowControl/>
              <w:suppressAutoHyphens w:val="0"/>
              <w:autoSpaceDN/>
              <w:rPr>
                <w:rFonts w:eastAsia="Times New Roman"/>
                <w:color w:val="000000"/>
                <w:szCs w:val="22"/>
              </w:rPr>
            </w:pPr>
            <w:r w:rsidRPr="008A1F4D">
              <w:rPr>
                <w:rFonts w:eastAsia="Times New Roman"/>
                <w:color w:val="000000"/>
                <w:szCs w:val="22"/>
              </w:rPr>
              <w:t>Frais de déplacement pour réunions</w:t>
            </w:r>
            <w:r>
              <w:rPr>
                <w:rFonts w:eastAsia="Times New Roman"/>
                <w:color w:val="000000"/>
                <w:szCs w:val="22"/>
              </w:rPr>
              <w:t xml:space="preserve"> « bilatérales » avec les collectivités (suivi ou accompagnement contractuel)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D051AB" w14:textId="77777777" w:rsidR="00DE446C" w:rsidRPr="00FF7A8E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DA0348" w14:textId="77777777" w:rsidR="00DE446C" w:rsidRPr="00FF7A8E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BCCC28" w14:textId="77777777" w:rsidR="00DE446C" w:rsidRPr="00FF7A8E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DE446C" w:rsidRPr="00FF7A8E" w14:paraId="6F3430A7" w14:textId="77777777" w:rsidTr="00DE446C">
        <w:trPr>
          <w:trHeight w:val="300"/>
        </w:trPr>
        <w:tc>
          <w:tcPr>
            <w:tcW w:w="73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4F5B0D" w14:textId="77777777" w:rsidR="00DE446C" w:rsidRPr="00FF7A8E" w:rsidRDefault="00DE446C" w:rsidP="00DE446C">
            <w:pPr>
              <w:widowControl/>
              <w:suppressAutoHyphens w:val="0"/>
              <w:autoSpaceDN/>
              <w:jc w:val="right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FF7A8E">
              <w:rPr>
                <w:rFonts w:eastAsia="Times New Roman"/>
                <w:b/>
                <w:bCs/>
                <w:color w:val="000000"/>
                <w:szCs w:val="22"/>
              </w:rPr>
              <w:t>Coût total des prestations unitaires HT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64D904" w14:textId="77777777" w:rsidR="00DE446C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  <w:p w14:paraId="64E63961" w14:textId="77777777" w:rsidR="00DE446C" w:rsidRPr="00FF7A8E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DE446C" w:rsidRPr="00FF7A8E" w14:paraId="3749D63E" w14:textId="77777777" w:rsidTr="00DE446C">
        <w:trPr>
          <w:trHeight w:val="300"/>
        </w:trPr>
        <w:tc>
          <w:tcPr>
            <w:tcW w:w="73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3B5E85" w14:textId="77777777" w:rsidR="00DE446C" w:rsidRPr="00FF7A8E" w:rsidRDefault="00DE446C" w:rsidP="00DE446C">
            <w:pPr>
              <w:widowControl/>
              <w:suppressAutoHyphens w:val="0"/>
              <w:autoSpaceDN/>
              <w:jc w:val="right"/>
              <w:rPr>
                <w:rFonts w:eastAsia="Times New Roman"/>
                <w:b/>
                <w:bCs/>
                <w:color w:val="000000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</w:rPr>
              <w:t xml:space="preserve">Taux de </w:t>
            </w: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>TVA</w:t>
            </w:r>
            <w:r>
              <w:rPr>
                <w:rFonts w:eastAsia="Times New Roman"/>
                <w:b/>
                <w:bCs/>
                <w:color w:val="000000"/>
                <w:szCs w:val="22"/>
              </w:rPr>
              <w:t xml:space="preserve">  …..</w:t>
            </w: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 xml:space="preserve"> %</w:t>
            </w:r>
            <w:r>
              <w:rPr>
                <w:rFonts w:eastAsia="Times New Roman"/>
                <w:b/>
                <w:bCs/>
                <w:color w:val="000000"/>
                <w:szCs w:val="22"/>
              </w:rPr>
              <w:t xml:space="preserve"> et montant de TVA</w:t>
            </w:r>
            <w:r w:rsidRPr="00FF7A8E">
              <w:rPr>
                <w:rFonts w:eastAsia="Times New Roman"/>
                <w:b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A5E4DD" w14:textId="77777777" w:rsidR="00DE446C" w:rsidRPr="00FF7A8E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DE446C" w:rsidRPr="00FF7A8E" w14:paraId="0DB5839A" w14:textId="77777777" w:rsidTr="00DE446C">
        <w:trPr>
          <w:trHeight w:val="600"/>
        </w:trPr>
        <w:tc>
          <w:tcPr>
            <w:tcW w:w="73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ACC7D7" w14:textId="77777777" w:rsidR="00DE446C" w:rsidRPr="00FF7A8E" w:rsidRDefault="00DE446C" w:rsidP="00DE446C">
            <w:pPr>
              <w:widowControl/>
              <w:suppressAutoHyphens w:val="0"/>
              <w:autoSpaceDN/>
              <w:jc w:val="right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FF7A8E">
              <w:rPr>
                <w:rFonts w:eastAsia="Times New Roman"/>
                <w:b/>
                <w:bCs/>
                <w:color w:val="000000"/>
                <w:szCs w:val="22"/>
              </w:rPr>
              <w:t>Coût total des prestations unitaires TTC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7B493D" w14:textId="77777777" w:rsidR="00DE446C" w:rsidRPr="00FF7A8E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</w:tbl>
    <w:p w14:paraId="7779A326" w14:textId="77777777" w:rsidR="00DE446C" w:rsidRDefault="00DE446C">
      <w:pPr>
        <w:rPr>
          <w:b/>
          <w:bCs/>
          <w:sz w:val="20"/>
          <w:u w:val="single"/>
        </w:rPr>
      </w:pPr>
    </w:p>
    <w:p w14:paraId="6DF99C0B" w14:textId="77777777" w:rsidR="00DE446C" w:rsidRDefault="00DE446C">
      <w:pPr>
        <w:rPr>
          <w:b/>
          <w:bCs/>
          <w:sz w:val="20"/>
          <w:u w:val="single"/>
        </w:rPr>
      </w:pPr>
    </w:p>
    <w:p w14:paraId="41FEF318" w14:textId="77777777" w:rsidR="00DE446C" w:rsidRDefault="00DE446C">
      <w:pPr>
        <w:rPr>
          <w:b/>
          <w:bCs/>
          <w:sz w:val="20"/>
          <w:u w:val="single"/>
        </w:rPr>
      </w:pPr>
    </w:p>
    <w:p w14:paraId="080C2274" w14:textId="77777777" w:rsidR="00DE446C" w:rsidRDefault="00DE446C" w:rsidP="00DE446C">
      <w:pPr>
        <w:widowControl/>
        <w:suppressAutoHyphens w:val="0"/>
        <w:autoSpaceDN/>
        <w:spacing w:line="259" w:lineRule="auto"/>
      </w:pPr>
    </w:p>
    <w:p w14:paraId="54926593" w14:textId="77777777" w:rsidR="00DE446C" w:rsidRPr="00DE446C" w:rsidRDefault="00DE446C" w:rsidP="00DE446C">
      <w:pPr>
        <w:rPr>
          <w:b/>
          <w:bCs/>
          <w:sz w:val="20"/>
          <w:u w:val="single"/>
        </w:rPr>
      </w:pPr>
      <w:r w:rsidRPr="00DE446C">
        <w:rPr>
          <w:b/>
          <w:bCs/>
          <w:sz w:val="20"/>
          <w:u w:val="single"/>
        </w:rPr>
        <w:t>RECAPITULATIF : prestations forfaitaires et unitaires</w:t>
      </w:r>
    </w:p>
    <w:p w14:paraId="0F4FA367" w14:textId="77777777" w:rsidR="00DE446C" w:rsidRPr="008F6DF0" w:rsidRDefault="00DE446C" w:rsidP="00DE446C">
      <w:pPr>
        <w:rPr>
          <w:b/>
          <w:color w:val="000000"/>
          <w:u w:val="single"/>
        </w:rPr>
      </w:pPr>
    </w:p>
    <w:tbl>
      <w:tblPr>
        <w:tblStyle w:val="Grilledutableau"/>
        <w:tblW w:w="9544" w:type="dxa"/>
        <w:tblLook w:val="04A0" w:firstRow="1" w:lastRow="0" w:firstColumn="1" w:lastColumn="0" w:noHBand="0" w:noVBand="1"/>
      </w:tblPr>
      <w:tblGrid>
        <w:gridCol w:w="2689"/>
        <w:gridCol w:w="2230"/>
        <w:gridCol w:w="2447"/>
        <w:gridCol w:w="2178"/>
      </w:tblGrid>
      <w:tr w:rsidR="00DE446C" w:rsidRPr="00DE446C" w14:paraId="53C93413" w14:textId="77777777" w:rsidTr="00DE446C">
        <w:trPr>
          <w:trHeight w:val="560"/>
        </w:trPr>
        <w:tc>
          <w:tcPr>
            <w:tcW w:w="2689" w:type="dxa"/>
          </w:tcPr>
          <w:p w14:paraId="7D3C6894" w14:textId="77777777" w:rsidR="00DE446C" w:rsidRPr="00DE446C" w:rsidRDefault="00DE446C" w:rsidP="004B07DE">
            <w:pPr>
              <w:rPr>
                <w:rFonts w:ascii="Arial" w:hAnsi="Arial"/>
                <w:b/>
                <w:color w:val="000000"/>
                <w:u w:val="single"/>
              </w:rPr>
            </w:pPr>
          </w:p>
          <w:p w14:paraId="1184DE85" w14:textId="77777777" w:rsidR="00DE446C" w:rsidRPr="00DE446C" w:rsidRDefault="00DE446C" w:rsidP="004B07DE">
            <w:pPr>
              <w:rPr>
                <w:rFonts w:ascii="Arial" w:hAnsi="Arial"/>
                <w:b/>
                <w:color w:val="000000"/>
                <w:u w:val="single"/>
              </w:rPr>
            </w:pPr>
          </w:p>
        </w:tc>
        <w:tc>
          <w:tcPr>
            <w:tcW w:w="2230" w:type="dxa"/>
            <w:vAlign w:val="center"/>
          </w:tcPr>
          <w:p w14:paraId="31594565" w14:textId="4CACE3C5" w:rsidR="00DE446C" w:rsidRPr="00DE446C" w:rsidRDefault="00DE446C" w:rsidP="004B07DE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DE446C">
              <w:rPr>
                <w:rFonts w:ascii="Arial" w:hAnsi="Arial"/>
                <w:b/>
                <w:color w:val="000000"/>
              </w:rPr>
              <w:t>M</w:t>
            </w:r>
            <w:r>
              <w:rPr>
                <w:rFonts w:ascii="Arial" w:hAnsi="Arial"/>
                <w:b/>
                <w:color w:val="000000"/>
              </w:rPr>
              <w:t>ontant</w:t>
            </w:r>
            <w:r w:rsidRPr="00DE446C">
              <w:rPr>
                <w:rFonts w:ascii="Arial" w:hAnsi="Arial"/>
                <w:b/>
                <w:color w:val="000000"/>
              </w:rPr>
              <w:t xml:space="preserve"> en € HT</w:t>
            </w:r>
          </w:p>
        </w:tc>
        <w:tc>
          <w:tcPr>
            <w:tcW w:w="2447" w:type="dxa"/>
            <w:vAlign w:val="center"/>
          </w:tcPr>
          <w:p w14:paraId="48C80C8E" w14:textId="77777777" w:rsidR="00DE446C" w:rsidRPr="00DE446C" w:rsidRDefault="00DE446C" w:rsidP="004B07DE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DE446C">
              <w:rPr>
                <w:rFonts w:ascii="Arial" w:hAnsi="Arial"/>
                <w:b/>
                <w:color w:val="000000"/>
              </w:rPr>
              <w:t>Montant de TVA en €</w:t>
            </w:r>
          </w:p>
        </w:tc>
        <w:tc>
          <w:tcPr>
            <w:tcW w:w="2178" w:type="dxa"/>
            <w:vAlign w:val="center"/>
          </w:tcPr>
          <w:p w14:paraId="3D968DC3" w14:textId="67C9483B" w:rsidR="00DE446C" w:rsidRPr="00DE446C" w:rsidRDefault="00DE446C" w:rsidP="004B07DE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Montant</w:t>
            </w:r>
            <w:r w:rsidRPr="00DE446C">
              <w:rPr>
                <w:rFonts w:ascii="Arial" w:hAnsi="Arial"/>
                <w:b/>
                <w:color w:val="000000"/>
              </w:rPr>
              <w:t xml:space="preserve"> en € TTC</w:t>
            </w:r>
          </w:p>
        </w:tc>
      </w:tr>
      <w:tr w:rsidR="00DE446C" w:rsidRPr="00DE446C" w14:paraId="4ABA7990" w14:textId="77777777" w:rsidTr="00DE446C">
        <w:trPr>
          <w:trHeight w:val="588"/>
        </w:trPr>
        <w:tc>
          <w:tcPr>
            <w:tcW w:w="2689" w:type="dxa"/>
            <w:vAlign w:val="center"/>
          </w:tcPr>
          <w:p w14:paraId="68DFAC9E" w14:textId="77777777" w:rsidR="00DE446C" w:rsidRPr="00DE446C" w:rsidRDefault="00DE446C" w:rsidP="004B07DE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DE446C">
              <w:rPr>
                <w:rFonts w:ascii="Arial" w:hAnsi="Arial"/>
                <w:b/>
                <w:color w:val="000000"/>
              </w:rPr>
              <w:t>Prestations Forfaitaires</w:t>
            </w:r>
          </w:p>
        </w:tc>
        <w:tc>
          <w:tcPr>
            <w:tcW w:w="2230" w:type="dxa"/>
          </w:tcPr>
          <w:p w14:paraId="67EE22EE" w14:textId="77777777" w:rsidR="00DE446C" w:rsidRPr="00DE446C" w:rsidRDefault="00DE446C" w:rsidP="004B07DE">
            <w:pPr>
              <w:rPr>
                <w:rFonts w:ascii="Arial" w:hAnsi="Arial"/>
                <w:b/>
                <w:color w:val="000000"/>
                <w:u w:val="single"/>
              </w:rPr>
            </w:pPr>
          </w:p>
        </w:tc>
        <w:tc>
          <w:tcPr>
            <w:tcW w:w="2447" w:type="dxa"/>
          </w:tcPr>
          <w:p w14:paraId="35BEF621" w14:textId="77777777" w:rsidR="00DE446C" w:rsidRPr="00DE446C" w:rsidRDefault="00DE446C" w:rsidP="004B07DE">
            <w:pPr>
              <w:rPr>
                <w:rFonts w:ascii="Arial" w:hAnsi="Arial"/>
                <w:b/>
                <w:color w:val="000000"/>
                <w:u w:val="single"/>
              </w:rPr>
            </w:pPr>
          </w:p>
        </w:tc>
        <w:tc>
          <w:tcPr>
            <w:tcW w:w="2178" w:type="dxa"/>
          </w:tcPr>
          <w:p w14:paraId="79F51884" w14:textId="77777777" w:rsidR="00DE446C" w:rsidRPr="00DE446C" w:rsidRDefault="00DE446C" w:rsidP="004B07DE">
            <w:pPr>
              <w:rPr>
                <w:rFonts w:ascii="Arial" w:hAnsi="Arial"/>
                <w:b/>
                <w:color w:val="000000"/>
                <w:u w:val="single"/>
              </w:rPr>
            </w:pPr>
          </w:p>
        </w:tc>
      </w:tr>
      <w:tr w:rsidR="00DE446C" w:rsidRPr="00DE446C" w14:paraId="4558A56B" w14:textId="77777777" w:rsidTr="00DE446C">
        <w:trPr>
          <w:trHeight w:val="588"/>
        </w:trPr>
        <w:tc>
          <w:tcPr>
            <w:tcW w:w="2689" w:type="dxa"/>
            <w:vAlign w:val="center"/>
          </w:tcPr>
          <w:p w14:paraId="6ED65BA8" w14:textId="77777777" w:rsidR="00DE446C" w:rsidRPr="00DE446C" w:rsidRDefault="00DE446C" w:rsidP="004B07DE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DE446C">
              <w:rPr>
                <w:rFonts w:ascii="Arial" w:hAnsi="Arial"/>
                <w:b/>
                <w:color w:val="000000"/>
              </w:rPr>
              <w:t>Prestations Unitaires</w:t>
            </w:r>
          </w:p>
        </w:tc>
        <w:tc>
          <w:tcPr>
            <w:tcW w:w="2230" w:type="dxa"/>
          </w:tcPr>
          <w:p w14:paraId="30872DC6" w14:textId="77777777" w:rsidR="00DE446C" w:rsidRPr="00DE446C" w:rsidRDefault="00DE446C" w:rsidP="004B07DE">
            <w:pPr>
              <w:rPr>
                <w:rFonts w:ascii="Arial" w:hAnsi="Arial"/>
                <w:b/>
                <w:color w:val="000000"/>
                <w:u w:val="single"/>
              </w:rPr>
            </w:pPr>
          </w:p>
        </w:tc>
        <w:tc>
          <w:tcPr>
            <w:tcW w:w="2447" w:type="dxa"/>
          </w:tcPr>
          <w:p w14:paraId="4CF3D494" w14:textId="77777777" w:rsidR="00DE446C" w:rsidRPr="00DE446C" w:rsidRDefault="00DE446C" w:rsidP="004B07DE">
            <w:pPr>
              <w:rPr>
                <w:rFonts w:ascii="Arial" w:hAnsi="Arial"/>
                <w:b/>
                <w:color w:val="000000"/>
                <w:u w:val="single"/>
              </w:rPr>
            </w:pPr>
          </w:p>
        </w:tc>
        <w:tc>
          <w:tcPr>
            <w:tcW w:w="2178" w:type="dxa"/>
          </w:tcPr>
          <w:p w14:paraId="412F0ED4" w14:textId="77777777" w:rsidR="00DE446C" w:rsidRPr="00DE446C" w:rsidRDefault="00DE446C" w:rsidP="004B07DE">
            <w:pPr>
              <w:rPr>
                <w:rFonts w:ascii="Arial" w:hAnsi="Arial"/>
                <w:b/>
                <w:color w:val="000000"/>
                <w:u w:val="single"/>
              </w:rPr>
            </w:pPr>
          </w:p>
        </w:tc>
      </w:tr>
      <w:tr w:rsidR="00DE446C" w:rsidRPr="00DE446C" w14:paraId="6922CAEA" w14:textId="77777777" w:rsidTr="00DE446C">
        <w:trPr>
          <w:trHeight w:val="588"/>
        </w:trPr>
        <w:tc>
          <w:tcPr>
            <w:tcW w:w="2689" w:type="dxa"/>
            <w:vAlign w:val="center"/>
          </w:tcPr>
          <w:p w14:paraId="74CEE1DE" w14:textId="77777777" w:rsidR="00DE446C" w:rsidRPr="00DE446C" w:rsidRDefault="00DE446C" w:rsidP="004B07DE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DE446C">
              <w:rPr>
                <w:rFonts w:ascii="Arial" w:hAnsi="Arial"/>
                <w:b/>
                <w:color w:val="000000"/>
              </w:rPr>
              <w:t>TOTAL</w:t>
            </w:r>
          </w:p>
        </w:tc>
        <w:tc>
          <w:tcPr>
            <w:tcW w:w="2230" w:type="dxa"/>
          </w:tcPr>
          <w:p w14:paraId="3FBC0659" w14:textId="77777777" w:rsidR="00DE446C" w:rsidRPr="00DE446C" w:rsidRDefault="00DE446C" w:rsidP="004B07DE">
            <w:pPr>
              <w:rPr>
                <w:rFonts w:ascii="Arial" w:hAnsi="Arial"/>
                <w:b/>
                <w:color w:val="000000"/>
                <w:u w:val="single"/>
              </w:rPr>
            </w:pPr>
          </w:p>
        </w:tc>
        <w:tc>
          <w:tcPr>
            <w:tcW w:w="2447" w:type="dxa"/>
          </w:tcPr>
          <w:p w14:paraId="2B4C522F" w14:textId="77777777" w:rsidR="00DE446C" w:rsidRPr="00DE446C" w:rsidRDefault="00DE446C" w:rsidP="004B07DE">
            <w:pPr>
              <w:rPr>
                <w:rFonts w:ascii="Arial" w:hAnsi="Arial"/>
                <w:b/>
                <w:color w:val="000000"/>
                <w:u w:val="single"/>
              </w:rPr>
            </w:pPr>
          </w:p>
        </w:tc>
        <w:tc>
          <w:tcPr>
            <w:tcW w:w="2178" w:type="dxa"/>
          </w:tcPr>
          <w:p w14:paraId="29F9A45A" w14:textId="77777777" w:rsidR="00DE446C" w:rsidRPr="00DE446C" w:rsidRDefault="00DE446C" w:rsidP="004B07DE">
            <w:pPr>
              <w:rPr>
                <w:rFonts w:ascii="Arial" w:hAnsi="Arial"/>
                <w:b/>
                <w:color w:val="000000"/>
                <w:u w:val="single"/>
              </w:rPr>
            </w:pPr>
          </w:p>
        </w:tc>
      </w:tr>
    </w:tbl>
    <w:p w14:paraId="76CF5204" w14:textId="77777777" w:rsidR="00DE446C" w:rsidRDefault="00DE446C" w:rsidP="00DE446C"/>
    <w:p w14:paraId="0A8A4995" w14:textId="77777777" w:rsidR="00DE446C" w:rsidRDefault="00DE446C" w:rsidP="00DE446C">
      <w:pPr>
        <w:rPr>
          <w:b/>
          <w:bCs/>
          <w:sz w:val="28"/>
          <w:u w:val="single"/>
        </w:rPr>
      </w:pPr>
    </w:p>
    <w:p w14:paraId="7635A2C8" w14:textId="77777777" w:rsidR="00DE446C" w:rsidRDefault="00DE446C" w:rsidP="00DE446C">
      <w:pPr>
        <w:rPr>
          <w:b/>
          <w:bCs/>
          <w:sz w:val="28"/>
          <w:u w:val="single"/>
        </w:rPr>
      </w:pPr>
    </w:p>
    <w:p w14:paraId="02B2C1B4" w14:textId="77777777" w:rsidR="00DE446C" w:rsidRPr="00BC5966" w:rsidRDefault="00DE446C" w:rsidP="00DE446C">
      <w:pPr>
        <w:rPr>
          <w:b/>
          <w:bCs/>
          <w:sz w:val="28"/>
          <w:u w:val="single"/>
        </w:rPr>
      </w:pPr>
    </w:p>
    <w:p w14:paraId="36C409D5" w14:textId="77777777" w:rsidR="00DE446C" w:rsidRDefault="00DE446C">
      <w:pPr>
        <w:rPr>
          <w:b/>
          <w:bCs/>
          <w:sz w:val="20"/>
          <w:u w:val="single"/>
        </w:rPr>
      </w:pPr>
    </w:p>
    <w:p w14:paraId="0EE7F1E2" w14:textId="77777777" w:rsidR="00DE446C" w:rsidRPr="00DD0BE8" w:rsidRDefault="00DE446C">
      <w:pPr>
        <w:rPr>
          <w:b/>
          <w:bCs/>
          <w:sz w:val="20"/>
          <w:u w:val="single"/>
        </w:rPr>
      </w:pPr>
    </w:p>
    <w:sectPr w:rsidR="00DE446C" w:rsidRPr="00DD0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C5729" w14:textId="77777777" w:rsidR="000211DE" w:rsidRDefault="000211DE" w:rsidP="00DE446C">
      <w:r>
        <w:separator/>
      </w:r>
    </w:p>
  </w:endnote>
  <w:endnote w:type="continuationSeparator" w:id="0">
    <w:p w14:paraId="3A4DAF17" w14:textId="77777777" w:rsidR="000211DE" w:rsidRDefault="000211DE" w:rsidP="00DE4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2" w:type="dxa"/>
      <w:tblInd w:w="-70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DE446C" w14:paraId="629002AB" w14:textId="77777777" w:rsidTr="004B07DE">
      <w:tc>
        <w:tcPr>
          <w:tcW w:w="307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20F44F04" w14:textId="1D3657CF" w:rsidR="00DE446C" w:rsidRDefault="00DE446C" w:rsidP="00DE446C">
          <w:pPr>
            <w:pStyle w:val="RdaliaLgende"/>
          </w:pPr>
          <w:r>
            <w:t>Cadre de décomposition des prix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57880AF1" w14:textId="77777777" w:rsidR="00DE446C" w:rsidRDefault="00DE446C" w:rsidP="00DE446C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918AC20" w14:textId="77777777" w:rsidR="00DE446C" w:rsidRDefault="00DE446C" w:rsidP="00DE446C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sur </w:t>
          </w:r>
          <w:fldSimple w:instr=" NUMPAGES ">
            <w:r>
              <w:t>15</w:t>
            </w:r>
          </w:fldSimple>
        </w:p>
      </w:tc>
    </w:tr>
  </w:tbl>
  <w:p w14:paraId="752A5143" w14:textId="77777777" w:rsidR="00DE446C" w:rsidRDefault="00DE446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37482" w14:textId="77777777" w:rsidR="000211DE" w:rsidRDefault="000211DE" w:rsidP="00DE446C">
      <w:r>
        <w:separator/>
      </w:r>
    </w:p>
  </w:footnote>
  <w:footnote w:type="continuationSeparator" w:id="0">
    <w:p w14:paraId="5B262D7D" w14:textId="77777777" w:rsidR="000211DE" w:rsidRDefault="000211DE" w:rsidP="00DE4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2" w:type="dxa"/>
      <w:tblInd w:w="-70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DE446C" w14:paraId="36A4CE4A" w14:textId="77777777" w:rsidTr="004B07DE">
      <w:tc>
        <w:tcPr>
          <w:tcW w:w="3070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26E753A3" w14:textId="77777777" w:rsidR="00DE446C" w:rsidRDefault="00DE446C" w:rsidP="00DE446C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38050FC" w14:textId="77777777" w:rsidR="00DE446C" w:rsidRDefault="00DE446C" w:rsidP="00DE446C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3CAF92F0" w14:textId="77777777" w:rsidR="00DE446C" w:rsidRDefault="00DE446C" w:rsidP="00DE446C">
          <w:pPr>
            <w:pStyle w:val="RdaliaLgende"/>
            <w:jc w:val="right"/>
          </w:pPr>
          <w:r>
            <w:t>Procédure : 2025000113</w:t>
          </w:r>
        </w:p>
      </w:tc>
    </w:tr>
  </w:tbl>
  <w:p w14:paraId="1F552D62" w14:textId="77777777" w:rsidR="00DE446C" w:rsidRDefault="00DE446C" w:rsidP="00DE446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72B"/>
    <w:rsid w:val="00000FAF"/>
    <w:rsid w:val="00002A10"/>
    <w:rsid w:val="000211DE"/>
    <w:rsid w:val="00023B72"/>
    <w:rsid w:val="00105247"/>
    <w:rsid w:val="00124BD6"/>
    <w:rsid w:val="00144AF0"/>
    <w:rsid w:val="00164937"/>
    <w:rsid w:val="00174BF4"/>
    <w:rsid w:val="001764C0"/>
    <w:rsid w:val="001776EE"/>
    <w:rsid w:val="00204A1D"/>
    <w:rsid w:val="00256649"/>
    <w:rsid w:val="00270C76"/>
    <w:rsid w:val="00307948"/>
    <w:rsid w:val="00321697"/>
    <w:rsid w:val="0033405E"/>
    <w:rsid w:val="0034143D"/>
    <w:rsid w:val="00384A9F"/>
    <w:rsid w:val="00391FD0"/>
    <w:rsid w:val="0039489E"/>
    <w:rsid w:val="00394B19"/>
    <w:rsid w:val="003B34F2"/>
    <w:rsid w:val="003C29AE"/>
    <w:rsid w:val="003F35F6"/>
    <w:rsid w:val="00417E7C"/>
    <w:rsid w:val="004C2008"/>
    <w:rsid w:val="004F3921"/>
    <w:rsid w:val="005316BE"/>
    <w:rsid w:val="0056572B"/>
    <w:rsid w:val="0058297A"/>
    <w:rsid w:val="005A1CA7"/>
    <w:rsid w:val="005A4D01"/>
    <w:rsid w:val="005B30E4"/>
    <w:rsid w:val="005E45D3"/>
    <w:rsid w:val="005E7A62"/>
    <w:rsid w:val="00604252"/>
    <w:rsid w:val="00606313"/>
    <w:rsid w:val="006325B8"/>
    <w:rsid w:val="00637CF1"/>
    <w:rsid w:val="006726AF"/>
    <w:rsid w:val="00692BB1"/>
    <w:rsid w:val="006B1825"/>
    <w:rsid w:val="00767389"/>
    <w:rsid w:val="00794DEA"/>
    <w:rsid w:val="007A1247"/>
    <w:rsid w:val="007A2E59"/>
    <w:rsid w:val="007C0767"/>
    <w:rsid w:val="007D1982"/>
    <w:rsid w:val="007D29B1"/>
    <w:rsid w:val="00815E34"/>
    <w:rsid w:val="008936C0"/>
    <w:rsid w:val="008C274A"/>
    <w:rsid w:val="009177C5"/>
    <w:rsid w:val="00917CEA"/>
    <w:rsid w:val="00922B56"/>
    <w:rsid w:val="00953A44"/>
    <w:rsid w:val="009601C7"/>
    <w:rsid w:val="00971BCF"/>
    <w:rsid w:val="00990323"/>
    <w:rsid w:val="009A0280"/>
    <w:rsid w:val="009B52C9"/>
    <w:rsid w:val="00A72C63"/>
    <w:rsid w:val="00AB0525"/>
    <w:rsid w:val="00AB6450"/>
    <w:rsid w:val="00AC0584"/>
    <w:rsid w:val="00B379EE"/>
    <w:rsid w:val="00B77A91"/>
    <w:rsid w:val="00B824B5"/>
    <w:rsid w:val="00BD050B"/>
    <w:rsid w:val="00BD6A44"/>
    <w:rsid w:val="00BF731F"/>
    <w:rsid w:val="00C679A3"/>
    <w:rsid w:val="00D172BA"/>
    <w:rsid w:val="00DA3B1B"/>
    <w:rsid w:val="00DA3BB7"/>
    <w:rsid w:val="00DA776B"/>
    <w:rsid w:val="00DD0BE8"/>
    <w:rsid w:val="00DE2165"/>
    <w:rsid w:val="00DE446C"/>
    <w:rsid w:val="00DF0AC2"/>
    <w:rsid w:val="00E03383"/>
    <w:rsid w:val="00E077DC"/>
    <w:rsid w:val="00E31CA8"/>
    <w:rsid w:val="00E32F54"/>
    <w:rsid w:val="00E446FA"/>
    <w:rsid w:val="00E86CE2"/>
    <w:rsid w:val="00E8753F"/>
    <w:rsid w:val="00E96703"/>
    <w:rsid w:val="00EC2EFE"/>
    <w:rsid w:val="00F238FF"/>
    <w:rsid w:val="00F426AD"/>
    <w:rsid w:val="00F95680"/>
    <w:rsid w:val="00FA2656"/>
    <w:rsid w:val="00FD67F7"/>
    <w:rsid w:val="00F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ACB8E"/>
  <w15:chartTrackingRefBased/>
  <w15:docId w15:val="{66B3F2A6-9F7D-49BD-B513-6A1C2D608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72B"/>
    <w:pPr>
      <w:widowControl w:val="0"/>
      <w:suppressAutoHyphens/>
      <w:autoSpaceDN w:val="0"/>
      <w:spacing w:after="0" w:line="240" w:lineRule="auto"/>
    </w:pPr>
    <w:rPr>
      <w:rFonts w:eastAsia="Arial" w:cs="Arial"/>
      <w:kern w:val="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56572B"/>
    <w:pPr>
      <w:keepNext/>
      <w:keepLines/>
      <w:widowControl/>
      <w:suppressAutoHyphens w:val="0"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6572B"/>
    <w:pPr>
      <w:keepNext/>
      <w:keepLines/>
      <w:widowControl/>
      <w:suppressAutoHyphens w:val="0"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6572B"/>
    <w:pPr>
      <w:keepNext/>
      <w:keepLines/>
      <w:widowControl/>
      <w:suppressAutoHyphens w:val="0"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6572B"/>
    <w:pPr>
      <w:keepNext/>
      <w:keepLines/>
      <w:widowControl/>
      <w:suppressAutoHyphens w:val="0"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6572B"/>
    <w:pPr>
      <w:keepNext/>
      <w:keepLines/>
      <w:widowControl/>
      <w:suppressAutoHyphens w:val="0"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6572B"/>
    <w:pPr>
      <w:keepNext/>
      <w:keepLines/>
      <w:widowControl/>
      <w:suppressAutoHyphens w:val="0"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6572B"/>
    <w:pPr>
      <w:keepNext/>
      <w:keepLines/>
      <w:widowControl/>
      <w:suppressAutoHyphens w:val="0"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6572B"/>
    <w:pPr>
      <w:keepNext/>
      <w:keepLines/>
      <w:widowControl/>
      <w:suppressAutoHyphens w:val="0"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6572B"/>
    <w:pPr>
      <w:keepNext/>
      <w:keepLines/>
      <w:widowControl/>
      <w:suppressAutoHyphens w:val="0"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657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657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6572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6572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6572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6572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6572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6572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6572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6572B"/>
    <w:pPr>
      <w:widowControl/>
      <w:suppressAutoHyphens w:val="0"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5657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6572B"/>
    <w:pPr>
      <w:widowControl/>
      <w:numPr>
        <w:ilvl w:val="1"/>
      </w:numPr>
      <w:suppressAutoHyphens w:val="0"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56572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6572B"/>
    <w:pPr>
      <w:widowControl/>
      <w:suppressAutoHyphens w:val="0"/>
      <w:autoSpaceDN/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kern w:val="2"/>
      <w:szCs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56572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6572B"/>
    <w:pPr>
      <w:widowControl/>
      <w:suppressAutoHyphens w:val="0"/>
      <w:autoSpaceDN/>
      <w:spacing w:after="160" w:line="259" w:lineRule="auto"/>
      <w:ind w:left="720"/>
      <w:contextualSpacing/>
    </w:pPr>
    <w:rPr>
      <w:rFonts w:eastAsiaTheme="minorHAnsi" w:cstheme="minorBidi"/>
      <w:kern w:val="2"/>
      <w:szCs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56572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6572B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0F4761" w:themeColor="accent1" w:themeShade="BF"/>
      <w:kern w:val="2"/>
      <w:szCs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6572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6572B"/>
    <w:rPr>
      <w:b/>
      <w:bCs/>
      <w:smallCaps/>
      <w:color w:val="0F4761" w:themeColor="accent1" w:themeShade="BF"/>
      <w:spacing w:val="5"/>
    </w:rPr>
  </w:style>
  <w:style w:type="character" w:styleId="Marquedecommentaire">
    <w:name w:val="annotation reference"/>
    <w:basedOn w:val="Policepardfaut"/>
    <w:uiPriority w:val="99"/>
    <w:semiHidden/>
    <w:unhideWhenUsed/>
    <w:rsid w:val="00971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71BC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71BCF"/>
    <w:rPr>
      <w:rFonts w:eastAsia="Arial" w:cs="Arial"/>
      <w:kern w:val="0"/>
      <w:sz w:val="20"/>
      <w:szCs w:val="20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71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71BCF"/>
    <w:rPr>
      <w:rFonts w:eastAsia="Arial" w:cs="Arial"/>
      <w:b/>
      <w:bCs/>
      <w:kern w:val="0"/>
      <w:sz w:val="20"/>
      <w:szCs w:val="20"/>
      <w:lang w:eastAsia="fr-FR"/>
      <w14:ligatures w14:val="none"/>
    </w:rPr>
  </w:style>
  <w:style w:type="paragraph" w:customStyle="1" w:styleId="RedaliaNormal">
    <w:name w:val="Redalia : Normal"/>
    <w:basedOn w:val="Normal"/>
    <w:rsid w:val="00DE446C"/>
    <w:pPr>
      <w:tabs>
        <w:tab w:val="left" w:leader="dot" w:pos="8505"/>
      </w:tabs>
      <w:spacing w:before="40"/>
      <w:jc w:val="both"/>
    </w:pPr>
  </w:style>
  <w:style w:type="paragraph" w:styleId="Corpsdetexte">
    <w:name w:val="Body Text"/>
    <w:basedOn w:val="Normal"/>
    <w:link w:val="CorpsdetexteCar"/>
    <w:uiPriority w:val="1"/>
    <w:qFormat/>
    <w:rsid w:val="00DE446C"/>
    <w:pPr>
      <w:suppressAutoHyphens w:val="0"/>
      <w:autoSpaceDE w:val="0"/>
      <w:spacing w:after="160" w:line="259" w:lineRule="auto"/>
    </w:pPr>
    <w:rPr>
      <w:rFonts w:ascii="Marianne" w:eastAsia="Marianne" w:hAnsi="Marianne" w:cs="Marianne"/>
      <w:kern w:val="2"/>
      <w:sz w:val="20"/>
      <w:lang w:eastAsia="en-US"/>
      <w14:ligatures w14:val="standardContextual"/>
    </w:rPr>
  </w:style>
  <w:style w:type="character" w:customStyle="1" w:styleId="CorpsdetexteCar">
    <w:name w:val="Corps de texte Car"/>
    <w:basedOn w:val="Policepardfaut"/>
    <w:link w:val="Corpsdetexte"/>
    <w:uiPriority w:val="1"/>
    <w:rsid w:val="00DE446C"/>
    <w:rPr>
      <w:rFonts w:ascii="Marianne" w:eastAsia="Marianne" w:hAnsi="Marianne" w:cs="Marianne"/>
      <w:sz w:val="20"/>
      <w:szCs w:val="20"/>
    </w:rPr>
  </w:style>
  <w:style w:type="table" w:styleId="Grilledutableau">
    <w:name w:val="Table Grid"/>
    <w:basedOn w:val="TableauNormal"/>
    <w:uiPriority w:val="39"/>
    <w:rsid w:val="00DE446C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E446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446C"/>
    <w:rPr>
      <w:rFonts w:eastAsia="Arial" w:cs="Arial"/>
      <w:kern w:val="0"/>
      <w:szCs w:val="20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DE44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E446C"/>
    <w:rPr>
      <w:rFonts w:eastAsia="Arial" w:cs="Arial"/>
      <w:kern w:val="0"/>
      <w:szCs w:val="20"/>
      <w:lang w:eastAsia="fr-FR"/>
      <w14:ligatures w14:val="none"/>
    </w:rPr>
  </w:style>
  <w:style w:type="paragraph" w:customStyle="1" w:styleId="RdaliaLgende">
    <w:name w:val="Rédalia : Légende"/>
    <w:basedOn w:val="Normal"/>
    <w:rsid w:val="00DE446C"/>
    <w:pPr>
      <w:ind w:left="284" w:hanging="284"/>
      <w:jc w:val="both"/>
    </w:pPr>
    <w:rPr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312</Words>
  <Characters>1722</Characters>
  <Application>Microsoft Office Word</Application>
  <DocSecurity>0</DocSecurity>
  <Lines>14</Lines>
  <Paragraphs>4</Paragraphs>
  <ScaleCrop>false</ScaleCrop>
  <Company>ADEME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LOISEAU William</dc:creator>
  <cp:keywords/>
  <dc:description/>
  <cp:lastModifiedBy>BERGE Christine</cp:lastModifiedBy>
  <cp:revision>4</cp:revision>
  <dcterms:created xsi:type="dcterms:W3CDTF">2025-02-25T13:39:00Z</dcterms:created>
  <dcterms:modified xsi:type="dcterms:W3CDTF">2025-02-25T14:04:00Z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2025-02-24T09:35:24Z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cb1bf48e-e490-4b84-97aa-0de11f61a499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