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337A4566" w14:textId="2A0A6613" w:rsidR="00EF2CB7" w:rsidRDefault="00957657" w:rsidP="00957657">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2BECCA31" w14:textId="427F83A9" w:rsidR="00957657" w:rsidRPr="004406DE" w:rsidRDefault="008E1A09" w:rsidP="00957657">
      <w:pPr>
        <w:jc w:val="center"/>
        <w:rPr>
          <w:rFonts w:ascii="Arial Narrow" w:hAnsi="Arial Narrow"/>
          <w:sz w:val="28"/>
          <w:szCs w:val="28"/>
        </w:rPr>
      </w:pPr>
      <w:r>
        <w:rPr>
          <w:rFonts w:ascii="Arial Narrow" w:hAnsi="Arial Narrow"/>
          <w:sz w:val="28"/>
          <w:szCs w:val="28"/>
        </w:rPr>
        <w:t>Lot 6</w:t>
      </w:r>
      <w:r w:rsidR="00957657">
        <w:rPr>
          <w:rFonts w:ascii="Arial Narrow" w:hAnsi="Arial Narrow"/>
          <w:sz w:val="28"/>
          <w:szCs w:val="28"/>
        </w:rPr>
        <w:t xml:space="preserve"> : </w:t>
      </w:r>
      <w:r>
        <w:rPr>
          <w:rFonts w:ascii="Arial Narrow" w:hAnsi="Arial Narrow"/>
          <w:sz w:val="28"/>
          <w:szCs w:val="28"/>
        </w:rPr>
        <w:t>Miroiterie</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6624D95A"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-TVX</w:t>
            </w:r>
          </w:p>
          <w:p w14:paraId="7ACFE896" w14:textId="2D2AE186"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57657">
                  <w:rPr>
                    <w:rFonts w:ascii="Arial Narrow" w:hAnsi="Arial Narrow"/>
                  </w:rPr>
                  <w:t>- Procédure adaptée ouverte en application des dispositions des articles L. 2123-1 et R. 2123-1 à R. 2123-7 du code de la commande publique</w:t>
                </w:r>
              </w:sdtContent>
            </w:sdt>
          </w:p>
          <w:p w14:paraId="151AC878" w14:textId="6ED92F7A"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57657">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14AF4DF" w14:textId="14D8ADA9" w:rsidR="00EF2CB7" w:rsidRDefault="00957657" w:rsidP="007221BF">
      <w:pPr>
        <w:pStyle w:val="En-tte"/>
        <w:tabs>
          <w:tab w:val="clear" w:pos="4536"/>
          <w:tab w:val="clear" w:pos="9072"/>
        </w:tabs>
        <w:spacing w:after="120" w:line="360" w:lineRule="auto"/>
        <w:jc w:val="both"/>
        <w:rPr>
          <w:rFonts w:ascii="Arial Narrow" w:hAnsi="Arial Narrow"/>
        </w:rPr>
      </w:pPr>
      <w:r w:rsidRPr="00957657">
        <w:rPr>
          <w:rFonts w:ascii="Arial Narrow" w:hAnsi="Arial Narrow"/>
        </w:rPr>
        <w:t xml:space="preserve">Le marché a pour objet des travaux de </w:t>
      </w:r>
      <w:r w:rsidR="008E1A09">
        <w:rPr>
          <w:rFonts w:ascii="Arial Narrow" w:hAnsi="Arial Narrow"/>
        </w:rPr>
        <w:t>miroiterie</w:t>
      </w:r>
      <w:r w:rsidRPr="00957657">
        <w:rPr>
          <w:rFonts w:ascii="Arial Narrow" w:hAnsi="Arial Narrow"/>
        </w:rPr>
        <w:t xml:space="preserve"> pour la refonte de l’accueil du musée de l’Orangerie.</w:t>
      </w:r>
    </w:p>
    <w:p w14:paraId="07E1FDC8" w14:textId="77777777" w:rsidR="00957657" w:rsidRDefault="0095765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672340DD"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4E64DA80" w14:textId="59C9612E"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w:t>
      </w:r>
      <w:r w:rsidR="00957657">
        <w:rPr>
          <w:rFonts w:ascii="Arial Narrow" w:hAnsi="Arial Narrow"/>
        </w:rPr>
        <w:t xml:space="preserve">é à cet effet. </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27058D1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0ED6C943" w14:textId="20303230"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40223BE" w14:textId="20C3B832"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r w:rsidR="00241413">
        <w:rPr>
          <w:rFonts w:ascii="Arial Narrow" w:hAnsi="Arial Narrow"/>
        </w:rPr>
        <w:t>.</w:t>
      </w:r>
    </w:p>
    <w:p w14:paraId="0F7E231E" w14:textId="77777777" w:rsidR="00241413" w:rsidRDefault="00241413" w:rsidP="00DC2FA3">
      <w:pPr>
        <w:pStyle w:val="En-tte"/>
        <w:spacing w:after="120" w:line="360" w:lineRule="auto"/>
        <w:jc w:val="both"/>
        <w:rPr>
          <w:rFonts w:ascii="Arial Narrow" w:hAnsi="Arial Narrow"/>
        </w:rPr>
      </w:pPr>
    </w:p>
    <w:p w14:paraId="10E46611" w14:textId="0CFDE56E" w:rsidR="005329C1" w:rsidRPr="00546FE0" w:rsidRDefault="005329C1"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1663D2BF" w14:textId="77777777" w:rsidR="00957657" w:rsidRDefault="00957657" w:rsidP="001A38BC">
      <w:pPr>
        <w:pStyle w:val="En-tte"/>
        <w:spacing w:after="120" w:line="360" w:lineRule="auto"/>
        <w:jc w:val="both"/>
        <w:rPr>
          <w:rFonts w:ascii="Arial Narrow" w:hAnsi="Arial Narrow"/>
        </w:rPr>
      </w:pPr>
      <w:r w:rsidRPr="00957657">
        <w:rPr>
          <w:rFonts w:ascii="Arial Narrow" w:hAnsi="Arial Narrow"/>
        </w:rPr>
        <w:t xml:space="preserve">Le présent marché public comporte une période de préparation d’une durée de 6 semaines (cf. calendrier d’exécution). Cette durée est incluse dans le délai global d’exécution du marché. </w:t>
      </w:r>
    </w:p>
    <w:p w14:paraId="058DB95B" w14:textId="623F6D35" w:rsidR="001A38BC" w:rsidRPr="00580101" w:rsidRDefault="0032637F" w:rsidP="001A38BC">
      <w:pPr>
        <w:pStyle w:val="En-tte"/>
        <w:spacing w:after="120" w:line="360" w:lineRule="auto"/>
        <w:jc w:val="both"/>
        <w:rPr>
          <w:rFonts w:ascii="Arial Narrow" w:hAnsi="Arial Narrow"/>
        </w:rPr>
      </w:pPr>
      <w:r>
        <w:rPr>
          <w:rFonts w:ascii="Arial Narrow" w:hAnsi="Arial Narrow"/>
        </w:rPr>
        <w:t>L</w:t>
      </w:r>
      <w:r w:rsidR="001A38BC" w:rsidRPr="00580101">
        <w:rPr>
          <w:rFonts w:ascii="Arial Narrow" w:hAnsi="Arial Narrow"/>
        </w:rPr>
        <w:t xml:space="preserve">a période de préparation, ainsi que le démarrage du délai global d’exécution des travaux sont déclenchées par la notification </w:t>
      </w:r>
      <w:r w:rsidR="001A38BC" w:rsidRPr="00571D19">
        <w:rPr>
          <w:rFonts w:ascii="Arial Narrow" w:hAnsi="Arial Narrow"/>
        </w:rPr>
        <w:t xml:space="preserve">de l’ordre de service de démarrage </w:t>
      </w:r>
      <w:r w:rsidR="001A38BC" w:rsidRPr="00580101">
        <w:rPr>
          <w:rFonts w:ascii="Arial Narrow" w:hAnsi="Arial Narrow"/>
        </w:rPr>
        <w:t>au titulaire.</w:t>
      </w:r>
    </w:p>
    <w:p w14:paraId="01086448" w14:textId="6ED77B1C"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aux opérations énoncées à l’article 2.9.1 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886615">
        <w:rPr>
          <w:rFonts w:ascii="Arial Narrow" w:hAnsi="Arial Narrow"/>
        </w:rPr>
        <w:t>17</w:t>
      </w:r>
      <w:r w:rsidRPr="00580101">
        <w:rPr>
          <w:rFonts w:ascii="Arial Narrow" w:hAnsi="Arial Narrow"/>
        </w:rPr>
        <w:t xml:space="preserve"> du présent CCAP</w:t>
      </w:r>
      <w:r w:rsidRPr="00EE0297">
        <w:rPr>
          <w:rFonts w:ascii="Arial Narrow" w:hAnsi="Arial Narrow"/>
        </w:rPr>
        <w:t>.</w:t>
      </w:r>
    </w:p>
    <w:p w14:paraId="693FEEF0" w14:textId="40529F26"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65AA0811" w14:textId="6F0FD1CA" w:rsidR="00837E87" w:rsidRPr="00837E87" w:rsidRDefault="00837E87" w:rsidP="00957657">
      <w:pPr>
        <w:pStyle w:val="En-tte"/>
        <w:spacing w:after="12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Pr>
          <w:rFonts w:ascii="Arial Narrow" w:hAnsi="Arial Narrow"/>
        </w:rPr>
        <w:t xml:space="preserve">notifié par </w:t>
      </w:r>
      <w:r w:rsidR="00F464DE">
        <w:rPr>
          <w:rFonts w:ascii="Arial Narrow" w:hAnsi="Arial Narrow"/>
        </w:rPr>
        <w:t>ordre de service (OS)</w:t>
      </w:r>
      <w:r>
        <w:rPr>
          <w:rFonts w:ascii="Arial Narrow" w:hAnsi="Arial Narrow"/>
        </w:rPr>
        <w:t xml:space="preserve"> en remplacement du calendrier prévisionnel </w:t>
      </w:r>
      <w:r w:rsidRPr="00837E87">
        <w:rPr>
          <w:rFonts w:ascii="Arial Narrow" w:hAnsi="Arial Narrow"/>
        </w:rPr>
        <w:t xml:space="preserve">permet la détermination des éventuels retards du titulaire dans l’exécution des travaux de son marché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éventuelle des pénalités prévues dans le présent CCAP. Dans l’attente de la notification du calendrier d’exécution détaillé, le calendrier prévisionnel fourni dans le DCE sert de base de calcul des pénalités de retard.</w:t>
      </w:r>
    </w:p>
    <w:p w14:paraId="6FB86A26" w14:textId="7C7B014A"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w:t>
      </w:r>
      <w:r w:rsidR="00F464DE">
        <w:rPr>
          <w:rFonts w:ascii="Arial Narrow" w:hAnsi="Arial Narrow"/>
        </w:rPr>
        <w:t xml:space="preserve">OS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4688DDE7"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à l’article </w:t>
      </w:r>
      <w:r w:rsidR="009D196D">
        <w:rPr>
          <w:rFonts w:ascii="Arial Narrow" w:eastAsiaTheme="minorHAnsi" w:hAnsi="Arial Narrow" w:cstheme="minorBidi"/>
          <w:sz w:val="22"/>
          <w:szCs w:val="22"/>
        </w:rPr>
        <w:t>2.9.4</w:t>
      </w:r>
      <w:r w:rsidRPr="00AB26FC">
        <w:rPr>
          <w:rFonts w:ascii="Arial Narrow" w:eastAsiaTheme="minorHAnsi" w:hAnsi="Arial Narrow" w:cstheme="minorBidi"/>
          <w:color w:val="ED7D31" w:themeColor="accent2"/>
          <w:sz w:val="22"/>
          <w:szCs w:val="22"/>
        </w:rPr>
        <w:t xml:space="preserve"> </w:t>
      </w:r>
      <w:r>
        <w:rPr>
          <w:rFonts w:ascii="Arial Narrow" w:eastAsiaTheme="minorHAnsi" w:hAnsi="Arial Narrow" w:cstheme="minorBidi"/>
          <w:sz w:val="22"/>
          <w:szCs w:val="22"/>
        </w:rPr>
        <w:t xml:space="preserve">du CCTP.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RECEPTION</w:t>
      </w:r>
      <w:r w:rsidR="0048725C">
        <w:rPr>
          <w:rFonts w:ascii="Arial Narrow" w:hAnsi="Arial Narrow"/>
          <w:b/>
        </w:rPr>
        <w:t xml:space="preserve"> ET LEVEE DES RESERVES</w:t>
      </w:r>
    </w:p>
    <w:p w14:paraId="6FAB77DD" w14:textId="353AFA7B" w:rsidR="0002039E" w:rsidRDefault="0002039E" w:rsidP="0002039E">
      <w:pPr>
        <w:pStyle w:val="5Articlenormal"/>
        <w:numPr>
          <w:ilvl w:val="1"/>
          <w:numId w:val="41"/>
        </w:numPr>
      </w:pPr>
      <w:r w:rsidRPr="0002039E">
        <w:t xml:space="preserve">Réception </w:t>
      </w:r>
    </w:p>
    <w:p w14:paraId="32A81DF8" w14:textId="77777777" w:rsidR="00223CFB" w:rsidRDefault="00223CFB" w:rsidP="00223CFB">
      <w:pPr>
        <w:pStyle w:val="5Articlenormal"/>
      </w:pPr>
    </w:p>
    <w:p w14:paraId="3A56DBBF" w14:textId="7360097B" w:rsidR="00223CFB" w:rsidRDefault="00387D6B" w:rsidP="00223CFB">
      <w:pPr>
        <w:pStyle w:val="5Articlenormal"/>
        <w:spacing w:after="120"/>
      </w:pPr>
      <w:r>
        <w:t>7</w:t>
      </w:r>
      <w:r w:rsidR="0002039E" w:rsidRPr="0002039E">
        <w:t>.1.1 Opérations préalables à la réception</w:t>
      </w:r>
    </w:p>
    <w:p w14:paraId="4658983D" w14:textId="77777777" w:rsidR="00223CFB" w:rsidRPr="00223CFB" w:rsidRDefault="00223CFB" w:rsidP="00223CFB">
      <w:pPr>
        <w:pStyle w:val="5Articlenormal"/>
        <w:spacing w:after="120"/>
        <w:rPr>
          <w:sz w:val="10"/>
        </w:rPr>
      </w:pPr>
    </w:p>
    <w:p w14:paraId="785A6885" w14:textId="2FF21896"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Le Titulaire avise à la fois, le maitre d’ouvrage et le maître d’œuvre, par écrit, de la date à laquelle il estime que les travaux seront achevés. La date d’achèvement des travaux doit être conforme à celle précisée dans le planning prévisionnel qui sera rendu contractuel à la notification du marché.</w:t>
      </w:r>
    </w:p>
    <w:p w14:paraId="3F68AD74" w14:textId="77777777"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223CFB" w:rsidRDefault="0002039E" w:rsidP="00223CFB">
      <w:pPr>
        <w:pStyle w:val="ART-0"/>
        <w:spacing w:before="120" w:line="360" w:lineRule="auto"/>
        <w:ind w:left="0" w:right="-2"/>
        <w:rPr>
          <w:rFonts w:ascii="Arial Narrow" w:eastAsiaTheme="minorHAnsi" w:hAnsi="Arial Narrow" w:cstheme="minorBidi"/>
          <w:sz w:val="22"/>
          <w:szCs w:val="22"/>
        </w:rPr>
      </w:pPr>
      <w:r w:rsidRPr="00223CFB">
        <w:rPr>
          <w:rFonts w:ascii="Arial Narrow" w:eastAsiaTheme="minorHAnsi" w:hAnsi="Arial Narrow" w:cstheme="minorBidi"/>
          <w:sz w:val="22"/>
          <w:szCs w:val="22"/>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733B55">
      <w:pPr>
        <w:pStyle w:val="En-tte"/>
        <w:numPr>
          <w:ilvl w:val="0"/>
          <w:numId w:val="26"/>
        </w:numPr>
        <w:tabs>
          <w:tab w:val="clear" w:pos="4536"/>
          <w:tab w:val="clear" w:pos="9072"/>
        </w:tabs>
        <w:spacing w:before="12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00E00152" w:rsidR="0002039E" w:rsidRDefault="00387D6B"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CCAG-T</w:t>
      </w:r>
      <w:r w:rsidR="00F464DE">
        <w:rPr>
          <w:rFonts w:ascii="Arial Narrow" w:hAnsi="Arial Narrow"/>
        </w:rPr>
        <w:t>ravaux</w:t>
      </w:r>
      <w:r>
        <w:rPr>
          <w:rFonts w:ascii="Arial Narrow" w:hAnsi="Arial Narrow"/>
        </w:rPr>
        <w:t>, p</w:t>
      </w:r>
      <w:r w:rsidR="0002039E" w:rsidRPr="0002039E">
        <w:rPr>
          <w:rFonts w:ascii="Arial Narrow" w:hAnsi="Arial Narrow"/>
        </w:rPr>
        <w:t>ostérieurement 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0D03A253" w14:textId="3AB378C7" w:rsidR="00387D6B" w:rsidRDefault="00387D6B" w:rsidP="0002039E">
      <w:pPr>
        <w:pStyle w:val="En-tte"/>
        <w:tabs>
          <w:tab w:val="clear" w:pos="4536"/>
          <w:tab w:val="clear" w:pos="9072"/>
        </w:tabs>
        <w:spacing w:before="160" w:line="360" w:lineRule="auto"/>
        <w:jc w:val="both"/>
        <w:rPr>
          <w:rFonts w:ascii="Arial Narrow" w:hAnsi="Arial Narrow"/>
        </w:rPr>
      </w:pPr>
    </w:p>
    <w:p w14:paraId="122D3DD7" w14:textId="77777777" w:rsidR="00733B55" w:rsidRPr="0002039E" w:rsidRDefault="00733B55" w:rsidP="0002039E">
      <w:pPr>
        <w:pStyle w:val="En-tte"/>
        <w:tabs>
          <w:tab w:val="clear" w:pos="4536"/>
          <w:tab w:val="clear" w:pos="9072"/>
        </w:tabs>
        <w:spacing w:before="160" w:line="360" w:lineRule="auto"/>
        <w:jc w:val="both"/>
        <w:rPr>
          <w:rFonts w:ascii="Arial Narrow" w:hAnsi="Arial Narrow"/>
        </w:rPr>
      </w:pPr>
    </w:p>
    <w:p w14:paraId="652FE7C1" w14:textId="1D941636" w:rsidR="0002039E" w:rsidRPr="0002039E" w:rsidRDefault="00387D6B" w:rsidP="0002039E">
      <w:pPr>
        <w:pStyle w:val="En-tte"/>
        <w:tabs>
          <w:tab w:val="clear" w:pos="4536"/>
          <w:tab w:val="clear" w:pos="9072"/>
        </w:tabs>
        <w:spacing w:before="160" w:line="360" w:lineRule="auto"/>
        <w:jc w:val="both"/>
        <w:rPr>
          <w:rFonts w:ascii="Arial Narrow" w:hAnsi="Arial Narrow"/>
          <w:b/>
        </w:rPr>
      </w:pPr>
      <w:r>
        <w:rPr>
          <w:rFonts w:ascii="Arial Narrow" w:hAnsi="Arial Narrow"/>
          <w:b/>
        </w:rPr>
        <w:lastRenderedPageBreak/>
        <w:t>7</w:t>
      </w:r>
      <w:r w:rsidR="0002039E" w:rsidRPr="0002039E">
        <w:rPr>
          <w:rFonts w:ascii="Arial Narrow" w:hAnsi="Arial Narrow"/>
          <w:b/>
        </w:rPr>
        <w:t>.1.2 Réception de l’</w:t>
      </w:r>
      <w:r w:rsidR="0002039E">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64567ADD" w14:textId="31062CFC" w:rsidR="00733B55"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091CF793" w14:textId="5322A087" w:rsidR="0002039E" w:rsidRPr="0002039E" w:rsidRDefault="0002039E" w:rsidP="00387D6B">
      <w:pPr>
        <w:pStyle w:val="5Articlenormal"/>
        <w:numPr>
          <w:ilvl w:val="1"/>
          <w:numId w:val="42"/>
        </w:numPr>
      </w:pPr>
      <w:r w:rsidRPr="0002039E">
        <w:t>Levée des réserves</w:t>
      </w:r>
    </w:p>
    <w:p w14:paraId="72A35D58" w14:textId="646A9281"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w:t>
      </w:r>
      <w:r w:rsidR="00F464DE">
        <w:rPr>
          <w:rFonts w:ascii="Arial Narrow" w:hAnsi="Arial Narrow"/>
        </w:rPr>
        <w:t>-</w:t>
      </w:r>
      <w:r>
        <w:rPr>
          <w:rFonts w:ascii="Arial Narrow" w:hAnsi="Arial Narrow"/>
        </w:rPr>
        <w:t>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163F6E0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Tous les frais liés directement ou indirectement à ces travaux sont à la charge de l’entrepreneur défaillant, y compris </w:t>
      </w:r>
      <w:r w:rsidR="00733B55">
        <w:rPr>
          <w:rFonts w:ascii="Arial Narrow" w:hAnsi="Arial Narrow"/>
        </w:rPr>
        <w:t xml:space="preserve">de </w:t>
      </w:r>
      <w:r w:rsidRPr="0002039E">
        <w:rPr>
          <w:rFonts w:ascii="Arial Narrow" w:hAnsi="Arial Narrow"/>
        </w:rPr>
        <w:t>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40BB544E"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54D9CBCD" w:rsidR="00EE0297" w:rsidRPr="00EE0297" w:rsidRDefault="00EE0297" w:rsidP="00387D6B">
      <w:pPr>
        <w:pStyle w:val="ART-0"/>
        <w:spacing w:after="12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intervenir dans les quarante-huit (48) heures à compter de la réception de la demande formulée par le pouvoir adjudicateur. En cas de non-respect du délai d’intervention </w:t>
      </w:r>
      <w:r w:rsidRPr="00EE0297">
        <w:rPr>
          <w:rFonts w:ascii="Arial Narrow" w:eastAsiaTheme="minorHAnsi" w:hAnsi="Arial Narrow" w:cstheme="minorBidi"/>
          <w:sz w:val="22"/>
          <w:szCs w:val="22"/>
        </w:rPr>
        <w:lastRenderedPageBreak/>
        <w:t>susmentionné, le pouvoir adjudicateur pourra faire procéder par un tiers à l’exécution des prestations aux frais et risques du titulaire après mise en demeure restée infructueuse.</w:t>
      </w:r>
    </w:p>
    <w:p w14:paraId="2A08847B" w14:textId="3C05A978"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13D15694"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w:t>
      </w:r>
      <w:r w:rsidR="00F464DE">
        <w:rPr>
          <w:rFonts w:ascii="Arial Narrow" w:hAnsi="Arial Narrow"/>
        </w:rPr>
        <w:t>ravaux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6FB90F75"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w:t>
      </w:r>
      <w:r w:rsidR="00F464DE">
        <w:rPr>
          <w:rFonts w:ascii="Arial Narrow" w:hAnsi="Arial Narrow"/>
        </w:rPr>
        <w:t>ravaux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48D659E6"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 s’inscrit entre autres dans la transition écologique à travers trois axes d’action principaux : sobriété énergétique, décarbonation, économie circulaire. </w:t>
      </w:r>
    </w:p>
    <w:p w14:paraId="3B16FA61" w14:textId="05B5F7E9"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528DBDB7" w:rsidR="00EE65EC" w:rsidRPr="00387D6B" w:rsidRDefault="00EE65EC" w:rsidP="00387D6B">
      <w:pPr>
        <w:pStyle w:val="En-tte"/>
        <w:numPr>
          <w:ilvl w:val="0"/>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p>
    <w:p w14:paraId="79748E0E" w14:textId="77777777" w:rsidR="00387D6B" w:rsidRPr="00DB066F" w:rsidRDefault="00387D6B" w:rsidP="00387D6B">
      <w:pPr>
        <w:pStyle w:val="En-tte"/>
        <w:tabs>
          <w:tab w:val="clear" w:pos="4536"/>
          <w:tab w:val="clear" w:pos="9072"/>
        </w:tabs>
        <w:spacing w:after="120" w:line="360" w:lineRule="auto"/>
        <w:jc w:val="both"/>
        <w:rPr>
          <w:rFonts w:ascii="Arial Narrow" w:hAnsi="Arial Narrow"/>
        </w:rPr>
      </w:pPr>
      <w:r>
        <w:rPr>
          <w:rFonts w:ascii="Arial Narrow" w:hAnsi="Arial Narrow"/>
        </w:rPr>
        <w:t xml:space="preserve">Cf. </w:t>
      </w:r>
      <w:r w:rsidRPr="009C520E">
        <w:rPr>
          <w:rFonts w:ascii="Arial Narrow" w:hAnsi="Arial Narrow"/>
        </w:rPr>
        <w:t>Article 2.8 CCTP</w:t>
      </w:r>
      <w:r>
        <w:rPr>
          <w:rFonts w:ascii="Arial Narrow" w:hAnsi="Arial Narrow"/>
        </w:rPr>
        <w:t xml:space="preserve"> </w:t>
      </w:r>
    </w:p>
    <w:p w14:paraId="2D1CE018" w14:textId="326DC0AE" w:rsidR="00A61E59" w:rsidRDefault="005730C8" w:rsidP="00387D6B">
      <w:pPr>
        <w:pStyle w:val="En-tte"/>
        <w:tabs>
          <w:tab w:val="clear" w:pos="4536"/>
          <w:tab w:val="clear" w:pos="9072"/>
        </w:tabs>
        <w:spacing w:after="120" w:line="360" w:lineRule="auto"/>
        <w:jc w:val="both"/>
        <w:rPr>
          <w:rFonts w:ascii="Arial Narrow" w:hAnsi="Arial Narrow"/>
        </w:rPr>
      </w:pPr>
      <w:r w:rsidRPr="00A0135E">
        <w:rPr>
          <w:rFonts w:ascii="Arial Narrow" w:hAnsi="Arial Narrow"/>
        </w:rPr>
        <w:t xml:space="preserve">Le titulaire doit se conformer </w:t>
      </w:r>
      <w:r>
        <w:rPr>
          <w:rFonts w:ascii="Arial Narrow" w:hAnsi="Arial Narrow"/>
        </w:rPr>
        <w:t xml:space="preserve">à la Charte Chantier Faibles Nuisances, jointe au présent </w:t>
      </w:r>
      <w:r>
        <w:rPr>
          <w:rFonts w:ascii="Arial Narrow" w:hAnsi="Arial Narrow"/>
        </w:rPr>
        <w:t>DCE</w:t>
      </w:r>
      <w:r>
        <w:rPr>
          <w:rFonts w:ascii="Arial Narrow" w:hAnsi="Arial Narrow"/>
        </w:rPr>
        <w:t>.</w:t>
      </w:r>
    </w:p>
    <w:p w14:paraId="10B23E15" w14:textId="1F57C558" w:rsidR="005730C8" w:rsidRDefault="005730C8" w:rsidP="00387D6B">
      <w:pPr>
        <w:pStyle w:val="En-tte"/>
        <w:tabs>
          <w:tab w:val="clear" w:pos="4536"/>
          <w:tab w:val="clear" w:pos="9072"/>
        </w:tabs>
        <w:spacing w:after="120" w:line="360" w:lineRule="auto"/>
        <w:jc w:val="both"/>
        <w:rPr>
          <w:rFonts w:ascii="Arial Narrow" w:hAnsi="Arial Narrow"/>
        </w:rPr>
      </w:pPr>
    </w:p>
    <w:p w14:paraId="053A78DF" w14:textId="77777777" w:rsidR="00C61209" w:rsidRDefault="00C61209" w:rsidP="00387D6B">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362B56E8" w14:textId="77777777" w:rsidR="00524389" w:rsidRPr="009C6795" w:rsidRDefault="00B42ED3" w:rsidP="00A61E59">
      <w:pPr>
        <w:spacing w:before="160" w:after="0" w:line="360" w:lineRule="auto"/>
        <w:rPr>
          <w:rFonts w:ascii="Arial Narrow" w:hAnsi="Arial Narrow" w:cs="Arial"/>
        </w:rPr>
      </w:pPr>
      <w:r w:rsidRPr="00546FE0">
        <w:rPr>
          <w:rFonts w:ascii="Arial Narrow" w:hAnsi="Arial Narrow"/>
        </w:rPr>
        <w:t xml:space="preserve">Les prix des prestations sont des prix </w:t>
      </w:r>
      <w:r w:rsidRPr="004F00ED">
        <w:rPr>
          <w:rFonts w:ascii="Arial Narrow" w:hAnsi="Arial Narrow"/>
        </w:rPr>
        <w:t xml:space="preserve">forfaitaires.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77777777" w:rsidR="00524389" w:rsidRPr="009C6795" w:rsidRDefault="00524389" w:rsidP="00A61E59">
      <w:pPr>
        <w:pStyle w:val="Paragraphedeliste"/>
        <w:numPr>
          <w:ilvl w:val="0"/>
          <w:numId w:val="31"/>
        </w:numPr>
        <w:spacing w:before="120" w:after="0" w:line="360" w:lineRule="auto"/>
        <w:jc w:val="both"/>
        <w:rPr>
          <w:rFonts w:ascii="Arial Narrow" w:hAnsi="Arial Narrow"/>
        </w:rPr>
      </w:pPr>
      <w:r w:rsidRPr="009C6795">
        <w:rPr>
          <w:rFonts w:ascii="Arial Narrow" w:hAnsi="Arial Narrow"/>
        </w:rPr>
        <w:t>en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1DA95FC4"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sujétions qu’est susceptible d’entraîner l’exécution simultanée des différents lots </w:t>
      </w:r>
      <w:r w:rsidR="00F464DE">
        <w:rPr>
          <w:rFonts w:ascii="Arial Narrow" w:hAnsi="Arial Narrow"/>
        </w:rPr>
        <w:t xml:space="preserve"> de l’opération </w:t>
      </w:r>
      <w:r w:rsidRPr="00A24DDE">
        <w:rPr>
          <w:rFonts w:ascii="Arial Narrow" w:hAnsi="Arial Narrow"/>
        </w:rPr>
        <w:t>ainsi</w:t>
      </w:r>
      <w:r w:rsidRPr="009C6795">
        <w:rPr>
          <w:rFonts w:ascii="Arial Narrow" w:hAnsi="Arial Narrow"/>
        </w:rPr>
        <w:t xml:space="preserve"> que les interfaces liées à l’exécution des lots de l’opération globale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sujétions ci-après :</w:t>
      </w:r>
    </w:p>
    <w:p w14:paraId="2F1BF329" w14:textId="2D58DB3B" w:rsidR="00524389" w:rsidRPr="009C6795"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0910FC" w:rsidRDefault="00524389" w:rsidP="000910FC">
      <w:pPr>
        <w:spacing w:before="240" w:after="0" w:line="360" w:lineRule="auto"/>
        <w:rPr>
          <w:rFonts w:ascii="Arial Narrow" w:hAnsi="Arial Narrow" w:cs="Arial"/>
        </w:rPr>
      </w:pPr>
      <w:r w:rsidRPr="000910FC">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Le temps perdu pour difficulté d’accès, de circulations, de montages, relais et reprise de transport, etc, quelle que soit la distance ;</w:t>
      </w:r>
    </w:p>
    <w:p w14:paraId="0E3EACD4"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0910FC">
      <w:pPr>
        <w:pStyle w:val="En-tte"/>
        <w:numPr>
          <w:ilvl w:val="0"/>
          <w:numId w:val="22"/>
        </w:numPr>
        <w:spacing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61EBA94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propre </w:t>
      </w:r>
      <w:r>
        <w:rPr>
          <w:rFonts w:ascii="Arial Narrow" w:hAnsi="Arial Narrow"/>
        </w:rPr>
        <w:t>à chaque</w:t>
      </w:r>
      <w:r w:rsidRPr="00524389">
        <w:rPr>
          <w:rFonts w:ascii="Arial Narrow" w:hAnsi="Arial Narrow"/>
        </w:rPr>
        <w:t xml:space="preserve"> lot,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NOC</w:t>
      </w:r>
      <w:r w:rsidRPr="00524389">
        <w:rPr>
          <w:rFonts w:ascii="Arial Narrow" w:hAnsi="Arial Narrow"/>
        </w:rPr>
        <w:t xml:space="preserve"> et au </w:t>
      </w:r>
      <w:r>
        <w:rPr>
          <w:rFonts w:ascii="Arial Narrow" w:hAnsi="Arial Narrow"/>
        </w:rPr>
        <w:t>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150063F3"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nettoyage co</w:t>
      </w:r>
      <w:bookmarkStart w:id="0" w:name="_GoBack"/>
      <w:bookmarkEnd w:id="0"/>
      <w:r w:rsidRPr="00524389">
        <w:rPr>
          <w:rFonts w:ascii="Arial Narrow" w:hAnsi="Arial Narrow"/>
        </w:rPr>
        <w:t xml:space="preserve">nformément aux mentions, notamment au rythme, décrits au </w:t>
      </w:r>
      <w:r w:rsidR="00F369DF">
        <w:rPr>
          <w:rFonts w:ascii="Arial Narrow" w:hAnsi="Arial Narrow"/>
        </w:rPr>
        <w:t>CCTP</w:t>
      </w:r>
      <w:r w:rsidR="000910FC">
        <w:rPr>
          <w:rFonts w:ascii="Arial Narrow" w:hAnsi="Arial Narrow"/>
        </w:rPr>
        <w:t xml:space="preserve"> </w:t>
      </w:r>
      <w:r w:rsidRPr="00524389">
        <w:rPr>
          <w:rFonts w:ascii="Arial Narrow" w:hAnsi="Arial Narrow"/>
        </w:rPr>
        <w:t>;</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7777777"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l’EPMO.</w:t>
      </w:r>
    </w:p>
    <w:p w14:paraId="562BD202" w14:textId="77777777" w:rsidR="005730C8" w:rsidRDefault="005730C8" w:rsidP="005730C8">
      <w:pPr>
        <w:pStyle w:val="En-tte"/>
        <w:spacing w:after="120" w:line="360" w:lineRule="auto"/>
        <w:jc w:val="both"/>
        <w:rPr>
          <w:rFonts w:ascii="Arial Narrow" w:hAnsi="Arial Narrow"/>
        </w:rPr>
      </w:pPr>
      <w:r w:rsidRPr="00075008">
        <w:rPr>
          <w:rFonts w:ascii="Arial Narrow" w:hAnsi="Arial Narrow"/>
        </w:rPr>
        <w:t xml:space="preserve">Les prix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4E1F547E" w14:textId="7403753E" w:rsidR="000910FC" w:rsidRPr="00546FE0" w:rsidRDefault="006058D9" w:rsidP="000910FC">
      <w:pPr>
        <w:pStyle w:val="En-tte"/>
        <w:spacing w:after="120" w:line="360" w:lineRule="auto"/>
        <w:rPr>
          <w:rFonts w:ascii="Arial Narrow" w:hAnsi="Arial Narrow"/>
          <w:lang w:val="en-US"/>
        </w:rPr>
      </w:pPr>
      <w:r>
        <w:rPr>
          <w:rFonts w:ascii="Arial Narrow" w:hAnsi="Arial Narrow"/>
          <w:lang w:val="en-US"/>
        </w:rPr>
        <w:t>P = Po * (BT45/ BT45</w:t>
      </w:r>
      <w:r w:rsidR="000910FC" w:rsidRPr="00580615">
        <w:rPr>
          <w:rFonts w:ascii="Arial Narrow" w:hAnsi="Arial Narrow"/>
          <w:lang w:val="en-US"/>
        </w:rPr>
        <w:t>o)]</w:t>
      </w:r>
    </w:p>
    <w:p w14:paraId="0AB031B1" w14:textId="358462D4" w:rsidR="006058D9" w:rsidRDefault="006058D9" w:rsidP="000910FC">
      <w:pPr>
        <w:pStyle w:val="En-tte"/>
        <w:spacing w:after="120" w:line="360" w:lineRule="auto"/>
        <w:rPr>
          <w:rFonts w:ascii="Arial Narrow" w:hAnsi="Arial Narrow"/>
        </w:rPr>
      </w:pPr>
      <w:r w:rsidRPr="006058D9">
        <w:rPr>
          <w:rFonts w:ascii="Arial Narrow" w:hAnsi="Arial Narrow"/>
        </w:rPr>
        <w:t>BT45</w:t>
      </w:r>
      <w:r>
        <w:rPr>
          <w:rFonts w:ascii="Arial Narrow" w:hAnsi="Arial Narrow"/>
        </w:rPr>
        <w:t xml:space="preserve"> =</w:t>
      </w:r>
      <w:r w:rsidRPr="006058D9">
        <w:rPr>
          <w:rFonts w:ascii="Arial Narrow" w:hAnsi="Arial Narrow"/>
        </w:rPr>
        <w:t xml:space="preserve"> Vitrerie - Miroiterie - Base 2010 Identifiant 001710977</w:t>
      </w:r>
    </w:p>
    <w:p w14:paraId="0EB20694" w14:textId="66A2B2BF" w:rsidR="000910FC" w:rsidRPr="00580615" w:rsidRDefault="000910FC" w:rsidP="000910FC">
      <w:pPr>
        <w:pStyle w:val="En-tte"/>
        <w:spacing w:after="120" w:line="360" w:lineRule="auto"/>
        <w:rPr>
          <w:rFonts w:ascii="Arial Narrow" w:hAnsi="Arial Narrow"/>
        </w:rPr>
      </w:pPr>
      <w:r w:rsidRPr="00580615">
        <w:rPr>
          <w:rFonts w:ascii="Arial Narrow" w:hAnsi="Arial Narrow"/>
        </w:rPr>
        <w:t>Dans laquelle :</w:t>
      </w:r>
    </w:p>
    <w:p w14:paraId="5EB3049A"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lastRenderedPageBreak/>
        <w:t>P : prix révisé,</w:t>
      </w:r>
    </w:p>
    <w:p w14:paraId="14C46D10"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Po : prix au mois M0,</w:t>
      </w:r>
    </w:p>
    <w:p w14:paraId="4E98CA31" w14:textId="673DEA30" w:rsidR="000910FC" w:rsidRPr="00580615" w:rsidRDefault="006058D9" w:rsidP="000910FC">
      <w:pPr>
        <w:pStyle w:val="En-tte"/>
        <w:spacing w:after="120" w:line="360" w:lineRule="auto"/>
        <w:ind w:left="1560"/>
        <w:rPr>
          <w:rFonts w:ascii="Arial Narrow" w:hAnsi="Arial Narrow"/>
        </w:rPr>
      </w:pPr>
      <w:r>
        <w:rPr>
          <w:rFonts w:ascii="Arial Narrow" w:hAnsi="Arial Narrow"/>
        </w:rPr>
        <w:t>BT45</w:t>
      </w:r>
      <w:r w:rsidR="000910FC">
        <w:rPr>
          <w:rFonts w:ascii="Arial Narrow" w:hAnsi="Arial Narrow"/>
        </w:rPr>
        <w:t xml:space="preserve"> : valeur de l’i</w:t>
      </w:r>
      <w:r w:rsidR="000910FC" w:rsidRPr="00580615">
        <w:rPr>
          <w:rFonts w:ascii="Arial Narrow" w:hAnsi="Arial Narrow"/>
        </w:rPr>
        <w:t>ndice BT01 connu</w:t>
      </w:r>
      <w:r w:rsidR="000910FC">
        <w:rPr>
          <w:rFonts w:ascii="Arial Narrow" w:hAnsi="Arial Narrow"/>
        </w:rPr>
        <w:t>e</w:t>
      </w:r>
      <w:r w:rsidR="000910FC" w:rsidRPr="00580615">
        <w:rPr>
          <w:rFonts w:ascii="Arial Narrow" w:hAnsi="Arial Narrow"/>
        </w:rPr>
        <w:t xml:space="preserve"> à la date de révision des prix,</w:t>
      </w:r>
    </w:p>
    <w:p w14:paraId="5691894C" w14:textId="59668256" w:rsidR="000910FC" w:rsidRPr="00580615" w:rsidRDefault="006058D9" w:rsidP="000910FC">
      <w:pPr>
        <w:pStyle w:val="En-tte"/>
        <w:spacing w:after="120" w:line="360" w:lineRule="auto"/>
        <w:ind w:left="1560"/>
        <w:rPr>
          <w:rFonts w:ascii="Arial Narrow" w:hAnsi="Arial Narrow"/>
        </w:rPr>
      </w:pPr>
      <w:r>
        <w:rPr>
          <w:rFonts w:ascii="Arial Narrow" w:hAnsi="Arial Narrow"/>
        </w:rPr>
        <w:t>BT45</w:t>
      </w:r>
      <w:r w:rsidR="000910FC" w:rsidRPr="00580615">
        <w:rPr>
          <w:rFonts w:ascii="Arial Narrow" w:hAnsi="Arial Narrow"/>
        </w:rPr>
        <w:t>o</w:t>
      </w:r>
      <w:r w:rsidR="000910FC">
        <w:rPr>
          <w:rFonts w:ascii="Arial Narrow" w:hAnsi="Arial Narrow"/>
        </w:rPr>
        <w:t xml:space="preserve"> : valeur de l’i</w:t>
      </w:r>
      <w:r w:rsidR="000910FC" w:rsidRPr="00580615">
        <w:rPr>
          <w:rFonts w:ascii="Arial Narrow" w:hAnsi="Arial Narrow"/>
        </w:rPr>
        <w:t xml:space="preserve">ndice BT01 au mois M0. </w:t>
      </w:r>
    </w:p>
    <w:p w14:paraId="284D1E19" w14:textId="77777777" w:rsidR="000910FC" w:rsidRPr="00580615" w:rsidRDefault="000910FC" w:rsidP="000910FC">
      <w:pPr>
        <w:pStyle w:val="En-tte"/>
        <w:spacing w:after="120" w:line="360" w:lineRule="auto"/>
        <w:rPr>
          <w:rFonts w:ascii="Arial Narrow" w:hAnsi="Arial Narrow"/>
        </w:rPr>
      </w:pPr>
      <w:r w:rsidRPr="00580615">
        <w:rPr>
          <w:rFonts w:ascii="Arial Narrow" w:hAnsi="Arial Narrow"/>
        </w:rPr>
        <w:t>Le coefficient obtenu sera arrêté à la troisième décimale.</w:t>
      </w:r>
    </w:p>
    <w:p w14:paraId="318877BB" w14:textId="12018536" w:rsidR="000910FC" w:rsidRPr="00580615" w:rsidRDefault="00F464DE" w:rsidP="000910FC">
      <w:pPr>
        <w:pStyle w:val="En-tte"/>
        <w:spacing w:after="120" w:line="360" w:lineRule="auto"/>
        <w:rPr>
          <w:rFonts w:ascii="Arial Narrow" w:hAnsi="Arial Narrow"/>
        </w:rPr>
      </w:pPr>
      <w:r>
        <w:rPr>
          <w:rFonts w:ascii="Arial Narrow" w:hAnsi="Arial Narrow"/>
        </w:rPr>
        <w:t>L’actualisation</w:t>
      </w:r>
      <w:r w:rsidR="000910FC" w:rsidRPr="00580615">
        <w:rPr>
          <w:rFonts w:ascii="Arial Narrow" w:hAnsi="Arial Narrow"/>
        </w:rPr>
        <w:t xml:space="preserve"> des prix fera l’objet d’une vérification et d’une validation par l’EPMO. </w:t>
      </w:r>
    </w:p>
    <w:p w14:paraId="5B6601D2" w14:textId="77777777" w:rsidR="000910FC" w:rsidRDefault="000910FC" w:rsidP="000910FC">
      <w:pPr>
        <w:pStyle w:val="En-tte"/>
        <w:spacing w:after="120" w:line="360" w:lineRule="auto"/>
        <w:rPr>
          <w:rFonts w:ascii="Arial Narrow" w:hAnsi="Arial Narrow"/>
        </w:rPr>
      </w:pPr>
      <w:r w:rsidRPr="00580615">
        <w:rPr>
          <w:rFonts w:ascii="Arial Narrow" w:hAnsi="Arial Narrow"/>
        </w:rPr>
        <w:t>En cas de disparition de l’indice, les parties conviendront d’un indice de remplacement qui sera fixé par avenant.</w:t>
      </w:r>
    </w:p>
    <w:p w14:paraId="2A672D5E" w14:textId="3ADAAF73"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maître d’œuvre peut être amené au cours de l’exécution du marché à modifier l’importance ou la disposition des ouvrages prévus dans le cadre du marché.</w:t>
      </w:r>
    </w:p>
    <w:p w14:paraId="00A1B628" w14:textId="0ACFE40D" w:rsidR="00904D87" w:rsidRPr="000F6D9C" w:rsidRDefault="00904D87" w:rsidP="000D06AD">
      <w:pPr>
        <w:pStyle w:val="En-tte"/>
        <w:spacing w:after="120" w:line="360" w:lineRule="auto"/>
        <w:jc w:val="both"/>
        <w:rPr>
          <w:rFonts w:ascii="Arial Narrow" w:hAnsi="Arial Narrow"/>
        </w:rPr>
      </w:pPr>
      <w:r w:rsidRPr="00904D87">
        <w:rPr>
          <w:rFonts w:ascii="Arial Narrow" w:hAnsi="Arial Narrow"/>
        </w:rPr>
        <w:t>Ces travaux supplémentaires ou modificatifs</w:t>
      </w:r>
      <w:r>
        <w:rPr>
          <w:rFonts w:ascii="Arial Narrow" w:hAnsi="Arial Narrow"/>
        </w:rPr>
        <w:t xml:space="preserve"> font l’objet d’un ordre de service signé du maitre d’œuvre après accord </w:t>
      </w:r>
      <w:r w:rsidRPr="000F6D9C">
        <w:rPr>
          <w:rFonts w:ascii="Arial Narrow" w:hAnsi="Arial Narrow"/>
        </w:rPr>
        <w:t>du maitre d’</w:t>
      </w:r>
      <w:r w:rsidR="000F6D9C" w:rsidRPr="000F6D9C">
        <w:rPr>
          <w:rFonts w:ascii="Arial Narrow" w:hAnsi="Arial Narrow"/>
        </w:rPr>
        <w:t>ouvrage, dans les conditions prévues aux articles 13.3 et 13.4 du CCAG-T</w:t>
      </w:r>
      <w:r w:rsidR="00F464DE">
        <w:rPr>
          <w:rFonts w:ascii="Arial Narrow" w:hAnsi="Arial Narrow"/>
        </w:rPr>
        <w:t>ravaux</w:t>
      </w:r>
      <w:r w:rsidR="000F6D9C" w:rsidRPr="000F6D9C">
        <w:rPr>
          <w:rFonts w:ascii="Arial Narrow" w:hAnsi="Arial Narrow"/>
        </w:rPr>
        <w:t xml:space="preserve">.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5C926C4C" w14:textId="45E420AA" w:rsidR="00031CA7"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F464DE">
        <w:rPr>
          <w:rFonts w:ascii="Arial Narrow" w:hAnsi="Arial Narrow"/>
        </w:rPr>
        <w:t>ravaux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lastRenderedPageBreak/>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52EA6C79" w:rsidR="0014540C"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3FAE0598" w14:textId="22D158BD" w:rsidR="0014540C" w:rsidRPr="00546FE0" w:rsidRDefault="0014540C" w:rsidP="0014540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50621E">
        <w:rPr>
          <w:rFonts w:ascii="Arial Narrow" w:hAnsi="Arial Narrow"/>
          <w:bCs/>
          <w:iCs/>
        </w:rPr>
        <w:t>T</w:t>
      </w:r>
      <w:r w:rsidR="00F464DE">
        <w:rPr>
          <w:rFonts w:ascii="Arial Narrow" w:hAnsi="Arial Narrow"/>
          <w:bCs/>
          <w:iCs/>
        </w:rPr>
        <w:t>ravaux</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2A4E9EB" w14:textId="586E3A85" w:rsidR="004F00ED" w:rsidRPr="000910FC" w:rsidRDefault="005625C3" w:rsidP="004F00ED">
      <w:pPr>
        <w:pStyle w:val="En-tte"/>
        <w:spacing w:after="120" w:line="360" w:lineRule="auto"/>
        <w:jc w:val="both"/>
        <w:rPr>
          <w:rFonts w:ascii="Arial Narrow" w:hAnsi="Arial Narrow"/>
        </w:rPr>
      </w:pPr>
      <w:r w:rsidRPr="005625C3">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5D4AD7C8" w14:textId="5026A183" w:rsidR="004C5CF1"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p>
    <w:p w14:paraId="4D9ED0A6" w14:textId="46118A29"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paiement des prestations s’effectuera dans les conditions prévues à l’article 12 du CCAG-T</w:t>
      </w:r>
      <w:r w:rsidR="00F464DE">
        <w:rPr>
          <w:rFonts w:ascii="Arial Narrow" w:hAnsi="Arial Narrow"/>
        </w:rPr>
        <w:t>ravaux</w:t>
      </w:r>
      <w:r w:rsidRPr="005625C3">
        <w:rPr>
          <w:rFonts w:ascii="Arial Narrow" w:hAnsi="Arial Narrow"/>
        </w:rPr>
        <w:t xml:space="preserve"> et aux articles R. 2191-20 à R. 2191-22 du code de la commande publique, par le versement d’acomptes mensuels dont le montant correspond à la valeur des prestations auxquelles ils se rapportent.   </w:t>
      </w:r>
    </w:p>
    <w:p w14:paraId="49762661" w14:textId="3F6FEA1C" w:rsidR="005625C3" w:rsidRPr="005625C3" w:rsidRDefault="000910FC"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 xml:space="preserve">.2.1 Acomptes mensuels </w:t>
      </w:r>
    </w:p>
    <w:p w14:paraId="54AB277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CCAG-Travaux en tenant compte des précisions suivantes :</w:t>
      </w:r>
    </w:p>
    <w:p w14:paraId="42DD4AF2"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w:t>
      </w:r>
      <w:r w:rsidRPr="005625C3">
        <w:rPr>
          <w:rFonts w:ascii="Arial Narrow" w:hAnsi="Arial Narrow"/>
        </w:rPr>
        <w:t>Le maître d’œuvre, à partir du décompte mensuel, dresse un projet d’état d’acompte mensuel, comprenant les différents éléments indiqués à l’article 12.2.1 du CCAG-Travaux, et l’adresse au Maitre d’ouvrage dans un délai de sept (7) jours à compter de la réception du projet de décompte.</w:t>
      </w:r>
    </w:p>
    <w:p w14:paraId="3E9100CD"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P</w:t>
      </w:r>
      <w:r w:rsidRPr="005625C3">
        <w:rPr>
          <w:rFonts w:ascii="Arial Narrow" w:hAnsi="Arial Narrow"/>
        </w:rPr>
        <w:t xml:space="preserve">ar dérogation à l’article 12.2.2 du CCAG-Travaux, le Maitre d’ouvrage accepte ou rectifie le projet d’état d’acompte mensuel établi par le maître d’œuvre. Le projet accepté ou rectifié devient alors l’état d’acompte </w:t>
      </w:r>
      <w:r w:rsidRPr="005625C3">
        <w:rPr>
          <w:rFonts w:ascii="Arial Narrow" w:hAnsi="Arial Narrow"/>
        </w:rPr>
        <w:lastRenderedPageBreak/>
        <w:t>mensuel sur la base duquel est réglé le montant de l’acompte. L’état d’acompte mensuel est notifié au titulaire par le Maitre d’ouvrage.</w:t>
      </w:r>
    </w:p>
    <w:p w14:paraId="5BD89EF9"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 xml:space="preserve">En cas de contestation sur le montant de l’acompte, le Maitre d’ouvrage règle les sommes qu’il a admises. </w:t>
      </w:r>
    </w:p>
    <w:p w14:paraId="5CEABCCB"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application des stipulations de l’article 10.4 du CCAG-Travaux,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7CB5FA26"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tout document justificatif mentionnant au minimum la date de la commande, la description précise des approvisionnements, les quantités livrées ;</w:t>
      </w:r>
    </w:p>
    <w:p w14:paraId="6C4A7611"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5BE62472" w14:textId="06D9A73D" w:rsidR="00547D20"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78FE2C45" w:rsidR="005625C3" w:rsidRPr="005625C3" w:rsidRDefault="00547D20"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-Travaux, à compter de la plus tardive des deux dates suivantes :</w:t>
      </w:r>
    </w:p>
    <w:p w14:paraId="45BCA6FF"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Date de notification de la décision de levée des réserves,</w:t>
      </w:r>
    </w:p>
    <w:p w14:paraId="715F649E"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Date de remise du dossier des ouvrages exécutés (DOE) et des documents nécessaires à l’établissement du dossier d’intervention ultérieur sur l’ouvrage (DIUO).</w:t>
      </w:r>
    </w:p>
    <w:p w14:paraId="1CB1653E" w14:textId="3BB04F27"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CCAG-Travaux, le Maitre d’ouvrage notifie au titulaire le décompte général dans un délai de quarante-cinq (45) jours à compter de la date de notification du projet de décompte final au maître d’œuvre.</w:t>
      </w:r>
    </w:p>
    <w:p w14:paraId="02C930A6" w14:textId="00CDC7E9" w:rsidR="005413BD"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lastRenderedPageBreak/>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23985688" w:rsidR="00367714"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C38C26A"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547D20">
        <w:rPr>
          <w:rFonts w:ascii="Arial Narrow" w:hAnsi="Arial Narrow"/>
        </w:rPr>
        <w: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5C79970F"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FA4F14B" w14:textId="4AC9A6A4" w:rsidR="00C61209" w:rsidRDefault="00C61209" w:rsidP="004C5CF1">
      <w:pPr>
        <w:pStyle w:val="En-tte"/>
        <w:spacing w:after="120" w:line="360" w:lineRule="auto"/>
        <w:rPr>
          <w:rFonts w:ascii="Arial Narrow" w:hAnsi="Arial Narrow"/>
        </w:rPr>
      </w:pPr>
    </w:p>
    <w:p w14:paraId="350AC29C" w14:textId="77777777" w:rsidR="00C61209" w:rsidRPr="00546FE0" w:rsidRDefault="00C61209"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0CA7790D"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6263E630" w14:textId="77777777" w:rsidR="00B76C4A" w:rsidRPr="00546FE0"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2D82BB25" w14:textId="4DD903AF" w:rsidR="006465DC" w:rsidRDefault="00B76C4A" w:rsidP="00B76C4A">
      <w:pPr>
        <w:pStyle w:val="En-tte"/>
        <w:spacing w:after="120" w:line="360" w:lineRule="auto"/>
        <w:jc w:val="both"/>
        <w:rPr>
          <w:rFonts w:ascii="Arial Narrow" w:hAnsi="Arial Narrow"/>
        </w:rPr>
      </w:pPr>
      <w:r w:rsidRPr="00547D20">
        <w:rPr>
          <w:rFonts w:ascii="Arial Narrow" w:hAnsi="Arial Narrow"/>
        </w:rPr>
        <w:t xml:space="preserve">Le montant de cette retenue de garantie est fixé à </w:t>
      </w:r>
      <w:r w:rsidR="00F0784C" w:rsidRPr="00547D20">
        <w:rPr>
          <w:rFonts w:ascii="Arial Narrow" w:hAnsi="Arial Narrow"/>
        </w:rPr>
        <w:t>5</w:t>
      </w:r>
      <w:r w:rsidRPr="00547D20">
        <w:rPr>
          <w:rFonts w:ascii="Arial Narrow" w:hAnsi="Arial Narrow"/>
        </w:rPr>
        <w:t>% du montant du marché</w:t>
      </w:r>
      <w:r w:rsidR="006A3A08" w:rsidRPr="00547D20">
        <w:rPr>
          <w:rFonts w:ascii="Arial Narrow" w:hAnsi="Arial Narrow"/>
        </w:rPr>
        <w:t>.</w:t>
      </w:r>
      <w:r w:rsidR="006A3A08">
        <w:rPr>
          <w:rFonts w:ascii="Arial Narrow" w:hAnsi="Arial Narrow"/>
        </w:rPr>
        <w:t xml:space="preserve"> </w:t>
      </w:r>
    </w:p>
    <w:p w14:paraId="6FD44732" w14:textId="4133E85D" w:rsidR="00B76C4A" w:rsidRPr="00546FE0" w:rsidRDefault="006465DC" w:rsidP="00547D20">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r w:rsidR="00B76C4A" w:rsidRPr="00546FE0">
        <w:rPr>
          <w:rFonts w:ascii="Arial Narrow" w:hAnsi="Arial Narrow"/>
        </w:rPr>
        <w:t xml:space="preserv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715E5911"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 xml:space="preserve">.1 du présent CCAP, uniquement une garantie à première demande, l’EPMO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6D26BA49" w14:textId="5D195234"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PENALITES</w:t>
      </w:r>
      <w:r w:rsidR="00547D20">
        <w:rPr>
          <w:rFonts w:ascii="Arial Narrow" w:hAnsi="Arial Narrow"/>
          <w:b/>
        </w:rPr>
        <w:t xml:space="preserve"> </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4A6EF792"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w:t>
      </w:r>
      <w:r w:rsidR="00F464DE">
        <w:rPr>
          <w:rFonts w:ascii="Arial Narrow" w:hAnsi="Arial Narrow"/>
        </w:rPr>
        <w:t>ravaux</w:t>
      </w:r>
      <w:r w:rsidRPr="00546FE0">
        <w:rPr>
          <w:rFonts w:ascii="Arial Narrow" w:hAnsi="Arial Narrow"/>
        </w:rPr>
        <w:t>, l’EPMO n’invitera pas préalablement le titulaire à présenter ses observations.</w:t>
      </w:r>
    </w:p>
    <w:p w14:paraId="0917736C" w14:textId="555DB4A1"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w:t>
      </w:r>
      <w:r w:rsidR="00F464DE">
        <w:rPr>
          <w:rFonts w:ascii="Arial Narrow" w:hAnsi="Arial Narrow"/>
        </w:rPr>
        <w:t>ravaux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9067" w:type="dxa"/>
        <w:tblLook w:val="04A0" w:firstRow="1" w:lastRow="0" w:firstColumn="1" w:lastColumn="0" w:noHBand="0" w:noVBand="1"/>
      </w:tblPr>
      <w:tblGrid>
        <w:gridCol w:w="1129"/>
        <w:gridCol w:w="2694"/>
        <w:gridCol w:w="5244"/>
      </w:tblGrid>
      <w:tr w:rsidR="00584216" w:rsidRPr="00F0784C" w14:paraId="160030EB" w14:textId="77777777" w:rsidTr="00830ACB">
        <w:tc>
          <w:tcPr>
            <w:tcW w:w="1129" w:type="dxa"/>
          </w:tcPr>
          <w:p w14:paraId="5BD25F72" w14:textId="77777777" w:rsidR="00584216" w:rsidRPr="00F0784C" w:rsidRDefault="00584216" w:rsidP="00830ACB">
            <w:pPr>
              <w:tabs>
                <w:tab w:val="center" w:pos="4536"/>
                <w:tab w:val="right" w:pos="9072"/>
              </w:tabs>
              <w:spacing w:after="120" w:line="360" w:lineRule="auto"/>
              <w:rPr>
                <w:rFonts w:ascii="Arial Narrow" w:hAnsi="Arial Narrow"/>
              </w:rPr>
            </w:pPr>
            <w:r>
              <w:rPr>
                <w:rFonts w:ascii="Arial Narrow" w:hAnsi="Arial Narrow"/>
              </w:rPr>
              <w:t xml:space="preserve">Articles 1.4 et 2.9.1 CCTP </w:t>
            </w:r>
          </w:p>
        </w:tc>
        <w:tc>
          <w:tcPr>
            <w:tcW w:w="2694" w:type="dxa"/>
          </w:tcPr>
          <w:p w14:paraId="30A47BD8" w14:textId="77777777" w:rsidR="00584216" w:rsidRPr="00F0784C" w:rsidRDefault="00584216" w:rsidP="00830ACB">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244" w:type="dxa"/>
          </w:tcPr>
          <w:p w14:paraId="312FE8B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cent (100) euros. </w:t>
            </w:r>
          </w:p>
        </w:tc>
      </w:tr>
      <w:tr w:rsidR="00584216" w:rsidRPr="00F0784C" w14:paraId="5E7CF7CC" w14:textId="77777777" w:rsidTr="00830ACB">
        <w:tc>
          <w:tcPr>
            <w:tcW w:w="1129" w:type="dxa"/>
          </w:tcPr>
          <w:p w14:paraId="0BE95D6E"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2.4.9 CCTP </w:t>
            </w:r>
          </w:p>
        </w:tc>
        <w:tc>
          <w:tcPr>
            <w:tcW w:w="2694" w:type="dxa"/>
          </w:tcPr>
          <w:p w14:paraId="12B1F345"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4FCE5B48"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A90C25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nettoiement des espaces, le titulaire subira une pénalité de cent (100) euros par jour calendaire de retard constaté sur le délai imposé par le maître d’œuvre pour remédier à cette défaillance.</w:t>
            </w:r>
          </w:p>
        </w:tc>
      </w:tr>
      <w:tr w:rsidR="00584216" w:rsidRPr="00F0784C" w14:paraId="25C2FCB4" w14:textId="77777777" w:rsidTr="00830ACB">
        <w:tc>
          <w:tcPr>
            <w:tcW w:w="1129" w:type="dxa"/>
          </w:tcPr>
          <w:p w14:paraId="7B3B25AC" w14:textId="37BB13CA" w:rsidR="00584216" w:rsidRPr="00F0784C" w:rsidRDefault="00584216" w:rsidP="00E879CE">
            <w:pPr>
              <w:tabs>
                <w:tab w:val="center" w:pos="4536"/>
                <w:tab w:val="right" w:pos="9072"/>
              </w:tabs>
              <w:spacing w:after="120" w:line="360" w:lineRule="auto"/>
              <w:jc w:val="both"/>
              <w:rPr>
                <w:rFonts w:ascii="Arial Narrow" w:hAnsi="Arial Narrow"/>
              </w:rPr>
            </w:pPr>
            <w:r>
              <w:rPr>
                <w:rFonts w:ascii="Arial Narrow" w:hAnsi="Arial Narrow"/>
              </w:rPr>
              <w:t>Article 2.5 CCTP, CCAG-</w:t>
            </w:r>
            <w:r w:rsidR="00E879CE">
              <w:rPr>
                <w:rFonts w:ascii="Arial Narrow" w:hAnsi="Arial Narrow"/>
              </w:rPr>
              <w:t>Travaux</w:t>
            </w:r>
            <w:r>
              <w:rPr>
                <w:rFonts w:ascii="Arial Narrow" w:hAnsi="Arial Narrow"/>
              </w:rPr>
              <w:t>, PGC et PPSPS</w:t>
            </w:r>
          </w:p>
        </w:tc>
        <w:tc>
          <w:tcPr>
            <w:tcW w:w="2694" w:type="dxa"/>
          </w:tcPr>
          <w:p w14:paraId="27212C26"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3EA7809A"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AFD62C5" w14:textId="091D22CB"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Tout manquement aux stipulations relatives à la sécurité, la sûreté et l’hygiène prévues au CCTP, au CCAG-T</w:t>
            </w:r>
            <w:r w:rsidR="00F464DE">
              <w:rPr>
                <w:rFonts w:ascii="Arial Narrow" w:hAnsi="Arial Narrow"/>
              </w:rPr>
              <w:t>ravaux</w:t>
            </w:r>
            <w:r w:rsidRPr="00F0784C">
              <w:rPr>
                <w:rFonts w:ascii="Arial Narrow" w:hAnsi="Arial Narrow"/>
              </w:rPr>
              <w:t xml:space="preserve"> et, le cas échéant, au PGC et aux PPSPS, entraînera l’application d’une pénalité de deux cents (200) euros par manquement et/ou par jour calendaire de retard constaté.</w:t>
            </w:r>
          </w:p>
        </w:tc>
      </w:tr>
      <w:tr w:rsidR="00584216" w:rsidRPr="00F0784C" w14:paraId="6048BA2B" w14:textId="77777777" w:rsidTr="00830ACB">
        <w:tc>
          <w:tcPr>
            <w:tcW w:w="1129" w:type="dxa"/>
          </w:tcPr>
          <w:p w14:paraId="446556C3"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2.4 CCTP</w:t>
            </w:r>
          </w:p>
        </w:tc>
        <w:tc>
          <w:tcPr>
            <w:tcW w:w="2694" w:type="dxa"/>
          </w:tcPr>
          <w:p w14:paraId="7EBE5AB7"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67AB238D"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2B7FC8D7"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Chaque retard constaté de plus d’une demi-heure aux réunions de chantier entraînera l’application d’une pénalité de cinquante (50) euros.</w:t>
            </w:r>
          </w:p>
        </w:tc>
      </w:tr>
      <w:tr w:rsidR="00584216" w:rsidRPr="00F0784C" w14:paraId="79A7015F" w14:textId="77777777" w:rsidTr="00830ACB">
        <w:tc>
          <w:tcPr>
            <w:tcW w:w="1129" w:type="dxa"/>
          </w:tcPr>
          <w:p w14:paraId="611AEA32" w14:textId="7639D7E0"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2.4</w:t>
            </w:r>
            <w:r w:rsidR="00F9391D">
              <w:rPr>
                <w:rFonts w:ascii="Arial Narrow" w:hAnsi="Arial Narrow"/>
              </w:rPr>
              <w:t>.1</w:t>
            </w:r>
            <w:r>
              <w:rPr>
                <w:rFonts w:ascii="Arial Narrow" w:hAnsi="Arial Narrow"/>
              </w:rPr>
              <w:t xml:space="preserve"> CCTP</w:t>
            </w:r>
          </w:p>
        </w:tc>
        <w:tc>
          <w:tcPr>
            <w:tcW w:w="2694" w:type="dxa"/>
          </w:tcPr>
          <w:p w14:paraId="6097738D"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244" w:type="dxa"/>
          </w:tcPr>
          <w:p w14:paraId="2D38DDF0"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Chaque absence constatée aux réunions de chantier entraînera l’application d’une pénalité de cent (100) euros.  </w:t>
            </w:r>
          </w:p>
        </w:tc>
      </w:tr>
      <w:tr w:rsidR="00584216" w:rsidRPr="00F0784C" w14:paraId="032B00E8" w14:textId="77777777" w:rsidTr="00830ACB">
        <w:tc>
          <w:tcPr>
            <w:tcW w:w="1129" w:type="dxa"/>
          </w:tcPr>
          <w:p w14:paraId="16EC9AC4"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18 CCAP</w:t>
            </w:r>
          </w:p>
        </w:tc>
        <w:tc>
          <w:tcPr>
            <w:tcW w:w="2694" w:type="dxa"/>
          </w:tcPr>
          <w:p w14:paraId="0DFA116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244" w:type="dxa"/>
          </w:tcPr>
          <w:p w14:paraId="4D7B02E6"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w:t>
            </w:r>
            <w:r w:rsidRPr="00893EC5">
              <w:rPr>
                <w:rFonts w:ascii="Arial Narrow" w:hAnsi="Arial Narrow"/>
              </w:rPr>
              <w:t>18</w:t>
            </w:r>
            <w:r w:rsidRPr="00F0784C">
              <w:rPr>
                <w:rFonts w:ascii="Arial Narrow" w:hAnsi="Arial Narrow"/>
              </w:rPr>
              <w:t xml:space="preserve"> du présent CCAP. </w:t>
            </w:r>
          </w:p>
        </w:tc>
      </w:tr>
      <w:tr w:rsidR="00584216" w:rsidRPr="00F0784C" w14:paraId="72BE130A" w14:textId="77777777" w:rsidTr="00830ACB">
        <w:tc>
          <w:tcPr>
            <w:tcW w:w="1129" w:type="dxa"/>
          </w:tcPr>
          <w:p w14:paraId="23CE8579" w14:textId="308B4FBE"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41.6 CCAG-T</w:t>
            </w:r>
            <w:r w:rsidR="00F464DE">
              <w:rPr>
                <w:rFonts w:ascii="Arial Narrow" w:hAnsi="Arial Narrow"/>
              </w:rPr>
              <w:t>ravaux</w:t>
            </w:r>
          </w:p>
        </w:tc>
        <w:tc>
          <w:tcPr>
            <w:tcW w:w="2694" w:type="dxa"/>
          </w:tcPr>
          <w:p w14:paraId="44E3277C"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596E9730"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02AAEFCC" w14:textId="00BD7C39"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CCAG-T</w:t>
            </w:r>
            <w:r w:rsidR="009F74A4">
              <w:rPr>
                <w:rFonts w:ascii="Arial Narrow" w:hAnsi="Arial Narrow"/>
              </w:rPr>
              <w:t>ravaux</w:t>
            </w:r>
            <w:r w:rsidRPr="00F0784C">
              <w:rPr>
                <w:rFonts w:ascii="Arial Narrow" w:hAnsi="Arial Narrow"/>
              </w:rPr>
              <w:t>, l’acheteur appliquera une pénalité de cent cinquante (150) euros par jour calendaire de retard constaté et par réserve non levée.</w:t>
            </w:r>
          </w:p>
        </w:tc>
      </w:tr>
      <w:tr w:rsidR="00584216" w:rsidRPr="00F0784C" w14:paraId="09554383" w14:textId="77777777" w:rsidTr="00830ACB">
        <w:tc>
          <w:tcPr>
            <w:tcW w:w="1129" w:type="dxa"/>
          </w:tcPr>
          <w:p w14:paraId="00ED4DBE"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2.4.12 CCTP</w:t>
            </w:r>
          </w:p>
        </w:tc>
        <w:tc>
          <w:tcPr>
            <w:tcW w:w="2694" w:type="dxa"/>
          </w:tcPr>
          <w:p w14:paraId="2ACC13D1"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72210FB1"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7963EBAD" w14:textId="66B6F064"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Conformément à l’article 36.2.3 du CCAG-T</w:t>
            </w:r>
            <w:r w:rsidR="009F74A4">
              <w:rPr>
                <w:rFonts w:ascii="Arial Narrow" w:hAnsi="Arial Narrow"/>
              </w:rPr>
              <w:t>ravaux</w:t>
            </w:r>
            <w:r w:rsidRPr="00F0784C">
              <w:rPr>
                <w:rFonts w:ascii="Arial Narrow" w:hAnsi="Arial Narrow"/>
              </w:rPr>
              <w:t>, si le titulaire n’a pas procédé à l’évacuation journalière des déchets provenant des travaux, il sera fait application des dispositions de l’article 37.2 du CCAG-T</w:t>
            </w:r>
            <w:r w:rsidR="009F74A4">
              <w:rPr>
                <w:rFonts w:ascii="Arial Narrow" w:hAnsi="Arial Narrow"/>
              </w:rPr>
              <w:t>ravaux</w:t>
            </w:r>
            <w:r w:rsidRPr="00F0784C">
              <w:rPr>
                <w:rFonts w:ascii="Arial Narrow" w:hAnsi="Arial Narrow"/>
              </w:rPr>
              <w:t xml:space="preserve"> et d’une pénalité de cent (100) euros par jour calendaire de retard constaté à compter de la notification de la mise en demeure du titulaire jusqu’à l’évacuation effective des déchets et, à défaut, jusqu’à la prise en charge des déchets par un autre prestataire.</w:t>
            </w:r>
          </w:p>
        </w:tc>
      </w:tr>
      <w:tr w:rsidR="00584216" w:rsidRPr="00F436AA" w14:paraId="6C19F512" w14:textId="77777777" w:rsidTr="00830ACB">
        <w:tc>
          <w:tcPr>
            <w:tcW w:w="1129" w:type="dxa"/>
          </w:tcPr>
          <w:p w14:paraId="270BAF37"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p>
        </w:tc>
        <w:tc>
          <w:tcPr>
            <w:tcW w:w="2694" w:type="dxa"/>
          </w:tcPr>
          <w:p w14:paraId="064D946B"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Non-respect des objectifs de valorisation des déchets</w:t>
            </w:r>
          </w:p>
        </w:tc>
        <w:tc>
          <w:tcPr>
            <w:tcW w:w="5244" w:type="dxa"/>
          </w:tcPr>
          <w:p w14:paraId="694392A1"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 xml:space="preserve">Le titulaire se verra appliquer une pénalité forfaitaire de 500€ s’il n’atteint pas les objectifs de valorisation des déchets prévus dans la Charte mentionnée à </w:t>
            </w:r>
            <w:r>
              <w:rPr>
                <w:rFonts w:ascii="Arial Narrow" w:hAnsi="Arial Narrow"/>
              </w:rPr>
              <w:t>l’article 11</w:t>
            </w:r>
            <w:r w:rsidRPr="00F436AA">
              <w:rPr>
                <w:rFonts w:ascii="Arial Narrow" w:hAnsi="Arial Narrow"/>
              </w:rPr>
              <w:t xml:space="preserve"> du présent CCAP.</w:t>
            </w:r>
          </w:p>
          <w:p w14:paraId="605D0872" w14:textId="77777777" w:rsidR="00584216" w:rsidRPr="00F436AA" w:rsidRDefault="00584216" w:rsidP="00830ACB">
            <w:pPr>
              <w:tabs>
                <w:tab w:val="center" w:pos="4536"/>
                <w:tab w:val="right" w:pos="9072"/>
              </w:tabs>
              <w:spacing w:after="120" w:line="360" w:lineRule="auto"/>
              <w:jc w:val="both"/>
              <w:rPr>
                <w:rFonts w:ascii="Arial Narrow" w:hAnsi="Arial Narrow"/>
              </w:rPr>
            </w:pPr>
            <w:r w:rsidRPr="00F436AA">
              <w:rPr>
                <w:rFonts w:ascii="Arial Narrow" w:hAnsi="Arial Narrow"/>
              </w:rPr>
              <w:t>En outre, une pénalité de cent (100) euros par jour calendaire sera appliquée en cas de retard dans la remise des moyens de preuve permettant d’apprécier le respect de l’atteinte de ces objectifs, à compter de la date fixée par l’EPMO dans sa demande.</w:t>
            </w:r>
          </w:p>
        </w:tc>
      </w:tr>
      <w:tr w:rsidR="00584216" w:rsidRPr="00F0784C" w14:paraId="4985FCF2" w14:textId="77777777" w:rsidTr="00830ACB">
        <w:tc>
          <w:tcPr>
            <w:tcW w:w="1129" w:type="dxa"/>
          </w:tcPr>
          <w:p w14:paraId="3ADBB6D0" w14:textId="0D530F2A" w:rsidR="00584216" w:rsidRPr="00F0784C" w:rsidRDefault="00F9391D"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2.9.4 </w:t>
            </w:r>
            <w:r w:rsidR="00584216">
              <w:rPr>
                <w:rFonts w:ascii="Arial Narrow" w:hAnsi="Arial Narrow"/>
              </w:rPr>
              <w:t>CCTP</w:t>
            </w:r>
          </w:p>
        </w:tc>
        <w:tc>
          <w:tcPr>
            <w:tcW w:w="2694" w:type="dxa"/>
          </w:tcPr>
          <w:p w14:paraId="1A012C65"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3A10E892"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5B706A0" w14:textId="4715E046"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Par dérogation à l’alinéa 3 de l’article 40.1 du CCAG-T</w:t>
            </w:r>
            <w:r w:rsidR="009F74A4">
              <w:rPr>
                <w:rFonts w:ascii="Arial Narrow" w:hAnsi="Arial Narrow"/>
              </w:rPr>
              <w:t>ravaux</w:t>
            </w:r>
            <w:r w:rsidRPr="00F0784C">
              <w:rPr>
                <w:rFonts w:ascii="Arial Narrow" w:hAnsi="Arial Narrow"/>
              </w:rPr>
              <w:t xml:space="preserve"> et, en cas de retard dans la remise des documents fournis après exécution, et après mise en demeure du titulaire, restée sans effet, celui-ci encourt la pénalité de cinq cent (500) euros par jour calendaire de retard constaté sur le délai précisé dans le courrier de mise en demeure.</w:t>
            </w:r>
          </w:p>
        </w:tc>
      </w:tr>
      <w:tr w:rsidR="00584216" w:rsidRPr="00F0784C" w14:paraId="71FE87CF" w14:textId="77777777" w:rsidTr="00830ACB">
        <w:tc>
          <w:tcPr>
            <w:tcW w:w="1129" w:type="dxa"/>
          </w:tcPr>
          <w:p w14:paraId="34459B11" w14:textId="3553958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41.7 CCAG-T</w:t>
            </w:r>
            <w:r w:rsidR="009F74A4">
              <w:rPr>
                <w:rFonts w:ascii="Arial Narrow" w:hAnsi="Arial Narrow"/>
              </w:rPr>
              <w:t>ravaux</w:t>
            </w:r>
          </w:p>
        </w:tc>
        <w:tc>
          <w:tcPr>
            <w:tcW w:w="2694" w:type="dxa"/>
          </w:tcPr>
          <w:p w14:paraId="6D5ABC21"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4CF03FD7"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5244" w:type="dxa"/>
          </w:tcPr>
          <w:p w14:paraId="37CDECB4" w14:textId="1A460EDD"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En attente d’un accord entre l’EPMO et le titulaire, les imperfections et malfaçons éventuelles pouvant relever de l’article 41.7 du CCAG-T</w:t>
            </w:r>
            <w:r w:rsidR="009F74A4">
              <w:rPr>
                <w:rFonts w:ascii="Arial Narrow" w:hAnsi="Arial Narrow"/>
              </w:rPr>
              <w:t>ravaux</w:t>
            </w:r>
            <w:r w:rsidRPr="00F0784C">
              <w:rPr>
                <w:rFonts w:ascii="Arial Narrow" w:hAnsi="Arial Narrow"/>
              </w:rPr>
              <w:t xml:space="preserve"> feront l’objet d’une réfaction provisoire de 15% du montant hors T.V.A des travaux correspondants, tel qu’il résulte de la décomposition du prix global et forfaitaire du lot concerné.</w:t>
            </w:r>
          </w:p>
        </w:tc>
      </w:tr>
      <w:tr w:rsidR="00584216" w:rsidRPr="00F0784C" w14:paraId="6AF3D2F9" w14:textId="77777777" w:rsidTr="00830ACB">
        <w:tc>
          <w:tcPr>
            <w:tcW w:w="1129" w:type="dxa"/>
          </w:tcPr>
          <w:p w14:paraId="4CAD08E9" w14:textId="77777777"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1.4 CCTP</w:t>
            </w:r>
          </w:p>
        </w:tc>
        <w:tc>
          <w:tcPr>
            <w:tcW w:w="2694" w:type="dxa"/>
          </w:tcPr>
          <w:p w14:paraId="253B9E19"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Pénalités pour non-respect des remarques du CSPS</w:t>
            </w:r>
          </w:p>
          <w:p w14:paraId="7B2CFB8C"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p>
        </w:tc>
        <w:tc>
          <w:tcPr>
            <w:tcW w:w="5244" w:type="dxa"/>
          </w:tcPr>
          <w:p w14:paraId="07BB1B3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3010532B"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7D535CF4"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0221EFA9" w14:textId="77777777" w:rsidR="00584216" w:rsidRPr="00F0784C" w:rsidRDefault="00584216" w:rsidP="00830ACB">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l’EPMO et le CSPS pour tout accident survenant à l’un de ses salariés employés sur le chantier. Tout manquement à cette obligation sera sanctionné par une pénalité de deux cent (200) euros par manquement constaté.</w:t>
            </w:r>
          </w:p>
        </w:tc>
      </w:tr>
      <w:tr w:rsidR="00584216" w:rsidRPr="00F0784C" w14:paraId="1CBEDF84" w14:textId="77777777" w:rsidTr="00830ACB">
        <w:tc>
          <w:tcPr>
            <w:tcW w:w="1129" w:type="dxa"/>
          </w:tcPr>
          <w:p w14:paraId="26F19D96" w14:textId="781A6ED5" w:rsidR="00584216" w:rsidRPr="00F0784C" w:rsidRDefault="00584216" w:rsidP="00830ACB">
            <w:pPr>
              <w:tabs>
                <w:tab w:val="center" w:pos="4536"/>
                <w:tab w:val="right" w:pos="9072"/>
              </w:tabs>
              <w:spacing w:after="120" w:line="360" w:lineRule="auto"/>
              <w:jc w:val="both"/>
              <w:rPr>
                <w:rFonts w:ascii="Arial Narrow" w:hAnsi="Arial Narrow"/>
              </w:rPr>
            </w:pPr>
            <w:r>
              <w:rPr>
                <w:rFonts w:ascii="Arial Narrow" w:hAnsi="Arial Narrow"/>
              </w:rPr>
              <w:t>Article 41.7 CCAG-T</w:t>
            </w:r>
            <w:r w:rsidR="009F74A4">
              <w:rPr>
                <w:rFonts w:ascii="Arial Narrow" w:hAnsi="Arial Narrow"/>
              </w:rPr>
              <w:t>ravaux</w:t>
            </w:r>
          </w:p>
        </w:tc>
        <w:tc>
          <w:tcPr>
            <w:tcW w:w="2694" w:type="dxa"/>
          </w:tcPr>
          <w:p w14:paraId="1E37491A"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49FC3A78" w14:textId="77777777" w:rsidR="00584216" w:rsidRPr="00F0784C" w:rsidRDefault="00584216" w:rsidP="00830ACB">
            <w:pPr>
              <w:tabs>
                <w:tab w:val="center" w:pos="4536"/>
                <w:tab w:val="right" w:pos="9072"/>
              </w:tabs>
              <w:spacing w:after="120" w:line="360" w:lineRule="auto"/>
              <w:ind w:left="360"/>
              <w:jc w:val="both"/>
              <w:rPr>
                <w:rFonts w:ascii="Arial Narrow" w:hAnsi="Arial Narrow"/>
              </w:rPr>
            </w:pPr>
          </w:p>
        </w:tc>
        <w:tc>
          <w:tcPr>
            <w:tcW w:w="5244" w:type="dxa"/>
          </w:tcPr>
          <w:p w14:paraId="6C5BE721" w14:textId="347A6D87" w:rsidR="00584216" w:rsidRPr="00F0784C" w:rsidRDefault="00584216" w:rsidP="00830ACB">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w:t>
            </w:r>
            <w:r w:rsidR="009F74A4">
              <w:rPr>
                <w:rFonts w:ascii="Arial Narrow" w:hAnsi="Arial Narrow"/>
              </w:rPr>
              <w:t>ravaux</w:t>
            </w:r>
            <w:r w:rsidRPr="00F0784C">
              <w:rPr>
                <w:rFonts w:ascii="Arial Narrow" w:hAnsi="Arial Narrow"/>
              </w:rPr>
              <w:t xml:space="preserve"> feront l'objet d'une réfaction provisoire maximale de 15% du montant hors T.V.A. des travaux correspondants, tel qu'il résulte de la décomposition du prix forfaitaire et des sous-détails des prix.</w:t>
            </w:r>
          </w:p>
        </w:tc>
      </w:tr>
      <w:tr w:rsidR="00584216" w:rsidRPr="00F0784C" w14:paraId="0DD84F8D" w14:textId="77777777" w:rsidTr="00830ACB">
        <w:tc>
          <w:tcPr>
            <w:tcW w:w="1129" w:type="dxa"/>
          </w:tcPr>
          <w:p w14:paraId="61918E9D" w14:textId="77777777" w:rsidR="00584216" w:rsidRPr="00F0784C" w:rsidRDefault="00584216" w:rsidP="00830ACB">
            <w:pPr>
              <w:tabs>
                <w:tab w:val="center" w:pos="4536"/>
                <w:tab w:val="right" w:pos="9072"/>
              </w:tabs>
              <w:spacing w:after="120" w:line="360" w:lineRule="auto"/>
              <w:jc w:val="both"/>
              <w:rPr>
                <w:rFonts w:ascii="Arial Narrow" w:hAnsi="Arial Narrow"/>
              </w:rPr>
            </w:pPr>
          </w:p>
        </w:tc>
        <w:tc>
          <w:tcPr>
            <w:tcW w:w="2694" w:type="dxa"/>
          </w:tcPr>
          <w:p w14:paraId="2818F7B3" w14:textId="77777777" w:rsidR="00584216" w:rsidRPr="00F0784C" w:rsidRDefault="00584216" w:rsidP="00830ACB">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244" w:type="dxa"/>
          </w:tcPr>
          <w:p w14:paraId="60E35F9F" w14:textId="77777777" w:rsidR="00584216" w:rsidRPr="00F0784C" w:rsidRDefault="00584216" w:rsidP="00830ACB">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29CD278C"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017A0258"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Lorsque le titulaire ne se conforme pas aux stipulations du marché ou aux ordres de service, il peut être fait application des mesures coercitives telles que spécifiées à l’article 52 du CCAG-T</w:t>
      </w:r>
      <w:r w:rsidR="009F74A4">
        <w:rPr>
          <w:rFonts w:ascii="Arial Narrow" w:hAnsi="Arial Narrow"/>
        </w:rPr>
        <w:t>ravaux</w:t>
      </w:r>
      <w:r w:rsidRPr="00F0784C">
        <w:rPr>
          <w:rFonts w:ascii="Arial Narrow" w:hAnsi="Arial Narrow"/>
        </w:rPr>
        <w:t xml:space="preserve"> : </w:t>
      </w:r>
    </w:p>
    <w:p w14:paraId="5387B682" w14:textId="77777777" w:rsidR="00547D20" w:rsidRPr="00F0784C" w:rsidRDefault="00547D20" w:rsidP="00547D20">
      <w:pPr>
        <w:pStyle w:val="En-tte"/>
        <w:spacing w:after="120" w:line="360" w:lineRule="auto"/>
        <w:ind w:left="567"/>
        <w:jc w:val="both"/>
        <w:rPr>
          <w:rFonts w:ascii="Arial Narrow" w:hAnsi="Arial Narrow"/>
        </w:rPr>
      </w:pPr>
      <w:r w:rsidRPr="00F0784C">
        <w:rPr>
          <w:rFonts w:ascii="Arial Narrow" w:hAnsi="Arial Narrow"/>
        </w:rPr>
        <w:t>-</w:t>
      </w:r>
      <w:r>
        <w:rPr>
          <w:rFonts w:ascii="Arial Narrow" w:hAnsi="Arial Narrow"/>
        </w:rPr>
        <w:t xml:space="preserve"> </w:t>
      </w:r>
      <w:r w:rsidRPr="00F0784C">
        <w:rPr>
          <w:rFonts w:ascii="Arial Narrow" w:hAnsi="Arial Narrow"/>
        </w:rPr>
        <w:tab/>
        <w:t>Le maître d’ouvrage peut notifier au titulaire une décision écrite le mettant en demeure de terminer les travaux au plus tard dans le délai fixé dans la décision.</w:t>
      </w:r>
    </w:p>
    <w:p w14:paraId="18717790" w14:textId="471B33A6" w:rsidR="00547D20" w:rsidRDefault="00547D20" w:rsidP="00547D20">
      <w:pPr>
        <w:pStyle w:val="En-tte"/>
        <w:spacing w:after="120" w:line="360" w:lineRule="auto"/>
        <w:ind w:left="567"/>
        <w:jc w:val="both"/>
        <w:rPr>
          <w:rFonts w:ascii="Arial Narrow" w:hAnsi="Arial Narrow"/>
        </w:rPr>
      </w:pPr>
      <w:r w:rsidRPr="00F0784C">
        <w:rPr>
          <w:rFonts w:ascii="Arial Narrow" w:hAnsi="Arial Narrow"/>
        </w:rPr>
        <w:t>-</w:t>
      </w:r>
      <w:r>
        <w:rPr>
          <w:rFonts w:ascii="Arial Narrow" w:hAnsi="Arial Narrow"/>
        </w:rPr>
        <w:t xml:space="preserve"> </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w:t>
      </w:r>
      <w:r w:rsidR="009F74A4">
        <w:rPr>
          <w:rFonts w:ascii="Arial Narrow" w:hAnsi="Arial Narrow"/>
        </w:rPr>
        <w:t>ravaux</w:t>
      </w:r>
      <w:r w:rsidRPr="00F0784C">
        <w:rPr>
          <w:rFonts w:ascii="Arial Narrow" w:hAnsi="Arial Narrow"/>
        </w:rPr>
        <w:t>.</w:t>
      </w: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 xml:space="preserve">SOUS-TRAITANCE </w:t>
      </w:r>
    </w:p>
    <w:p w14:paraId="1F772496" w14:textId="509F6104"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00547D20" w:rsidRPr="006354B9">
        <w:rPr>
          <w:rFonts w:ascii="Arial Narrow" w:hAnsi="Arial Narrow"/>
        </w:rPr>
        <w:t xml:space="preserve">Il est rappelé qu’en application des dispositions de l’article L. 2193-3 du code de la commande publique, </w:t>
      </w:r>
      <w:r w:rsidR="00547D20" w:rsidRPr="006354B9">
        <w:rPr>
          <w:rFonts w:ascii="Arial Narrow" w:hAnsi="Arial Narrow"/>
          <w:b/>
          <w:u w:val="single"/>
        </w:rPr>
        <w:t>le titulaire ne peut intégralement sous-traiter l’exécution des prestations du présent marché</w:t>
      </w:r>
      <w:r w:rsidR="00547D20" w:rsidRPr="006354B9">
        <w:rPr>
          <w:rFonts w:ascii="Arial Narrow" w:hAnsi="Arial Narrow"/>
        </w:rPr>
        <w:t>.</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295C39AA" w14:textId="235B4FA3" w:rsidR="00FF7F11" w:rsidRPr="00546FE0" w:rsidRDefault="00FF7F11" w:rsidP="00043D85">
      <w:pPr>
        <w:pStyle w:val="En-tte"/>
        <w:spacing w:after="120" w:line="360" w:lineRule="auto"/>
        <w:jc w:val="both"/>
        <w:rPr>
          <w:rFonts w:ascii="Arial Narrow" w:hAnsi="Arial Narrow"/>
        </w:rPr>
      </w:pPr>
      <w:r w:rsidRPr="00547D20">
        <w:rPr>
          <w:rFonts w:ascii="Arial Narrow" w:hAnsi="Arial Narrow"/>
        </w:rPr>
        <w:t>Un DC4 prérempli et à jour est joint à l’acte d’engagement.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91B4D95"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l’EP</w:t>
      </w:r>
      <w:r w:rsidR="003F5F33" w:rsidRPr="00546FE0">
        <w:rPr>
          <w:rFonts w:ascii="Arial Narrow" w:hAnsi="Arial Narrow"/>
        </w:rPr>
        <w:t xml:space="preserve">MO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371E0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w:t>
      </w:r>
      <w:r w:rsidR="009F74A4">
        <w:rPr>
          <w:rFonts w:ascii="Arial Narrow" w:hAnsi="Arial Narrow"/>
        </w:rPr>
        <w:t>ravaux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lastRenderedPageBreak/>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7225167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0"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1FE0CDA4" w14:textId="69854D84"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30809576" w14:textId="68C84158"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03DD29A" w14:textId="77777777" w:rsidR="00547D20" w:rsidRPr="00F30726" w:rsidRDefault="00547D20" w:rsidP="00547D20">
      <w:pPr>
        <w:pStyle w:val="En-tte"/>
        <w:numPr>
          <w:ilvl w:val="0"/>
          <w:numId w:val="44"/>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EC5378F"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EF14C1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2A008118"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706549C9"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8CC9C93"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5C9FBDA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773B41B9"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7554DCB"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5E963AB0"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445658E4"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L’EPMO informe le titulaire, ou est informé par le titulaire sans délai de tout manquement à ces principes. Le titulaire informe l’EPMO des mesures prises pour y remédier. </w:t>
      </w:r>
    </w:p>
    <w:p w14:paraId="3F9CEC55"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022359FD" w14:textId="77777777" w:rsidR="00547D20" w:rsidRPr="00F30726" w:rsidRDefault="00547D20" w:rsidP="00547D20">
      <w:pPr>
        <w:pStyle w:val="En-tte"/>
        <w:numPr>
          <w:ilvl w:val="0"/>
          <w:numId w:val="44"/>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214001F9"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F9876B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de 250 euros à l’encontre du titulaire par jour d’absence d’action correctrice à la suite d’un manquement aux principes d’égalité, neutralité et de laïcité constaté au cours de l’exécution du contrat. </w:t>
      </w:r>
      <w:r w:rsidRPr="00F30726">
        <w:rPr>
          <w:rFonts w:ascii="Arial Narrow" w:hAnsi="Arial Narrow"/>
        </w:rPr>
        <w:lastRenderedPageBreak/>
        <w:t>Cette pénalité s’applique par jour à compter du constat de la carence du titulaire à mettre en œuvre les actions correctrices prévues au contrat ;</w:t>
      </w:r>
    </w:p>
    <w:p w14:paraId="071013D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0ED6F202" w14:textId="77777777" w:rsidR="00547D20" w:rsidRPr="00F30726"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19021A50" w14:textId="43317261" w:rsidR="00547D20"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Par ailleurs, en cas de 5 manquements ou d’un manquement d’une particulière gravité, l’acheteur prononce la résiliation du contrat pour faute du titulaire, selon les modalités définies à l’article 50.3 du CCAG-TVX.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CCAG-TVX.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0F0D211E" w14:textId="77777777" w:rsidR="00547D20" w:rsidRPr="00546FE0" w:rsidRDefault="00547D20"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28F5241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w:t>
      </w:r>
      <w:r w:rsidR="009F74A4">
        <w:rPr>
          <w:rFonts w:ascii="Arial Narrow" w:hAnsi="Arial Narrow"/>
        </w:rPr>
        <w:t>ravaux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2463EA6E"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040E71">
        <w:rPr>
          <w:rFonts w:ascii="Arial Narrow" w:hAnsi="Arial Narrow"/>
        </w:rPr>
        <w:t>T</w:t>
      </w:r>
      <w:r w:rsidR="009F74A4">
        <w:rPr>
          <w:rFonts w:ascii="Arial Narrow" w:hAnsi="Arial Narrow"/>
        </w:rPr>
        <w:t>ravaux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070207C" w14:textId="05E32B92"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514883C5" w14:textId="10230E0F"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6 (documents fournis après exécution) du présent document déroge à l’article 40.1 du CCAG-T</w:t>
      </w:r>
      <w:r w:rsidR="009F74A4">
        <w:rPr>
          <w:rFonts w:ascii="Arial Narrow" w:hAnsi="Arial Narrow"/>
        </w:rPr>
        <w:t>ravaux</w:t>
      </w:r>
      <w:r w:rsidRPr="007A6817">
        <w:rPr>
          <w:rFonts w:ascii="Arial Narrow" w:hAnsi="Arial Narrow"/>
        </w:rPr>
        <w:t xml:space="preserve">. </w:t>
      </w:r>
    </w:p>
    <w:p w14:paraId="65F3F581" w14:textId="0B7C4861"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7.1.1 (opérations préalables à la réception) du présent document déroge à l’article 41.2 du CCAG-T</w:t>
      </w:r>
      <w:r w:rsidR="009F74A4">
        <w:rPr>
          <w:rFonts w:ascii="Arial Narrow" w:hAnsi="Arial Narrow"/>
        </w:rPr>
        <w:t>ravaux</w:t>
      </w:r>
      <w:r w:rsidRPr="007A6817">
        <w:rPr>
          <w:rFonts w:ascii="Arial Narrow" w:hAnsi="Arial Narrow"/>
        </w:rPr>
        <w:t xml:space="preserve">. </w:t>
      </w:r>
    </w:p>
    <w:p w14:paraId="5B1E4701" w14:textId="6C2FDE64"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lastRenderedPageBreak/>
        <w:t>L’article 8 (garanties contractuelles) du présent document déroge aux articles 42.3 et 44.1 du CCAG-T</w:t>
      </w:r>
      <w:r w:rsidR="009F74A4">
        <w:rPr>
          <w:rFonts w:ascii="Arial Narrow" w:hAnsi="Arial Narrow"/>
        </w:rPr>
        <w:t>ravaux</w:t>
      </w:r>
      <w:r w:rsidRPr="007A6817">
        <w:rPr>
          <w:rFonts w:ascii="Arial Narrow" w:hAnsi="Arial Narrow"/>
        </w:rPr>
        <w:t xml:space="preserve">. </w:t>
      </w:r>
    </w:p>
    <w:p w14:paraId="3396D5D8" w14:textId="384C3889"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14.2 (paiement) du présent document déroge aux articles 12.1 et 12.2 du CCAG-T</w:t>
      </w:r>
      <w:r w:rsidR="009F74A4">
        <w:rPr>
          <w:rFonts w:ascii="Arial Narrow" w:hAnsi="Arial Narrow"/>
        </w:rPr>
        <w:t>ravaux</w:t>
      </w:r>
      <w:r w:rsidRPr="007A6817">
        <w:rPr>
          <w:rFonts w:ascii="Arial Narrow" w:hAnsi="Arial Narrow"/>
        </w:rPr>
        <w:t xml:space="preserve">. </w:t>
      </w:r>
    </w:p>
    <w:p w14:paraId="3C968933" w14:textId="42A1D8A0"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14.2.1 (acomptes mensuels) du présent document déroge aux articles 12.3.2 et 12.4.2 du CCAG-T</w:t>
      </w:r>
      <w:r w:rsidR="009F74A4">
        <w:rPr>
          <w:rFonts w:ascii="Arial Narrow" w:hAnsi="Arial Narrow"/>
        </w:rPr>
        <w:t>ravaux</w:t>
      </w:r>
      <w:r w:rsidRPr="007A6817">
        <w:rPr>
          <w:rFonts w:ascii="Arial Narrow" w:hAnsi="Arial Narrow"/>
        </w:rPr>
        <w:t xml:space="preserve">. </w:t>
      </w:r>
    </w:p>
    <w:p w14:paraId="761A392C" w14:textId="19E596F7" w:rsidR="00547D20" w:rsidRPr="00546FE0" w:rsidRDefault="00547D20" w:rsidP="00547D20">
      <w:pPr>
        <w:pStyle w:val="En-tte"/>
        <w:spacing w:after="120" w:line="360" w:lineRule="auto"/>
        <w:jc w:val="both"/>
        <w:rPr>
          <w:rFonts w:ascii="Arial Narrow" w:hAnsi="Arial Narrow"/>
        </w:rPr>
      </w:pPr>
      <w:r w:rsidRPr="007A6817">
        <w:rPr>
          <w:rFonts w:ascii="Arial Narrow" w:hAnsi="Arial Narrow"/>
        </w:rPr>
        <w:t>L'article 17 (pénalités) du présent document déroge au 2</w:t>
      </w:r>
      <w:r w:rsidRPr="007A6817">
        <w:rPr>
          <w:rFonts w:ascii="Arial Narrow" w:hAnsi="Arial Narrow"/>
          <w:vertAlign w:val="superscript"/>
        </w:rPr>
        <w:t>ème</w:t>
      </w:r>
      <w:r w:rsidRPr="007A6817">
        <w:rPr>
          <w:rFonts w:ascii="Arial Narrow" w:hAnsi="Arial Narrow"/>
        </w:rPr>
        <w:t xml:space="preserve"> alinéa de l’article 19.2.4, à l’article 19.2.1, à l’article 19.2.3, au 3</w:t>
      </w:r>
      <w:r w:rsidRPr="007A6817">
        <w:rPr>
          <w:rFonts w:ascii="Arial Narrow" w:hAnsi="Arial Narrow"/>
          <w:vertAlign w:val="superscript"/>
        </w:rPr>
        <w:t>ème</w:t>
      </w:r>
      <w:r w:rsidRPr="007A6817">
        <w:rPr>
          <w:rFonts w:ascii="Arial Narrow" w:hAnsi="Arial Narrow"/>
        </w:rPr>
        <w:t xml:space="preserve"> alinéa de l’article 40.1 du CCAG-T</w:t>
      </w:r>
      <w:r w:rsidR="009F74A4">
        <w:rPr>
          <w:rFonts w:ascii="Arial Narrow" w:hAnsi="Arial Narrow"/>
        </w:rPr>
        <w:t>ravaux</w:t>
      </w:r>
      <w:r w:rsidRPr="007A6817">
        <w:rPr>
          <w:rFonts w:ascii="Arial Narrow" w:hAnsi="Arial Narrow"/>
        </w:rPr>
        <w:t>.</w:t>
      </w:r>
    </w:p>
    <w:p w14:paraId="0E12EA4A" w14:textId="55740B15" w:rsidR="00547D20" w:rsidRPr="00546FE0" w:rsidRDefault="00547D20" w:rsidP="00547D20">
      <w:pPr>
        <w:pStyle w:val="En-tte"/>
        <w:spacing w:after="120" w:line="360" w:lineRule="auto"/>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4F1F85" w:rsidRDefault="004F1F85" w:rsidP="00E42FF3">
      <w:pPr>
        <w:spacing w:after="0" w:line="240" w:lineRule="auto"/>
      </w:pPr>
      <w:r>
        <w:separator/>
      </w:r>
    </w:p>
  </w:endnote>
  <w:endnote w:type="continuationSeparator" w:id="0">
    <w:p w14:paraId="7E7CC525" w14:textId="77777777" w:rsidR="004F1F85" w:rsidRDefault="004F1F8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C7D0767" w:rsidR="004F1F85" w:rsidRDefault="004F1F85">
        <w:pPr>
          <w:pStyle w:val="Pieddepage"/>
          <w:jc w:val="right"/>
        </w:pPr>
        <w:r>
          <w:fldChar w:fldCharType="begin"/>
        </w:r>
        <w:r>
          <w:instrText>PAGE   \* MERGEFORMAT</w:instrText>
        </w:r>
        <w:r>
          <w:fldChar w:fldCharType="separate"/>
        </w:r>
        <w:r w:rsidR="003A26EF">
          <w:rPr>
            <w:noProof/>
          </w:rPr>
          <w:t>21</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4F1F85" w:rsidRDefault="004F1F85" w:rsidP="00E42FF3">
      <w:pPr>
        <w:spacing w:after="0" w:line="240" w:lineRule="auto"/>
      </w:pPr>
      <w:r>
        <w:separator/>
      </w:r>
    </w:p>
  </w:footnote>
  <w:footnote w:type="continuationSeparator" w:id="0">
    <w:p w14:paraId="32902BFF" w14:textId="77777777" w:rsidR="004F1F85" w:rsidRDefault="004F1F8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F2337A"/>
    <w:multiLevelType w:val="hybridMultilevel"/>
    <w:tmpl w:val="31F03472"/>
    <w:lvl w:ilvl="0" w:tplc="964ED38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E95A2E"/>
    <w:multiLevelType w:val="multilevel"/>
    <w:tmpl w:val="9F46EF30"/>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1D19CB"/>
    <w:multiLevelType w:val="multilevel"/>
    <w:tmpl w:val="6D6650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741660"/>
    <w:multiLevelType w:val="multilevel"/>
    <w:tmpl w:val="2108B3D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5"/>
  </w:num>
  <w:num w:numId="3">
    <w:abstractNumId w:val="36"/>
  </w:num>
  <w:num w:numId="4">
    <w:abstractNumId w:val="6"/>
  </w:num>
  <w:num w:numId="5">
    <w:abstractNumId w:val="26"/>
  </w:num>
  <w:num w:numId="6">
    <w:abstractNumId w:val="1"/>
  </w:num>
  <w:num w:numId="7">
    <w:abstractNumId w:val="34"/>
  </w:num>
  <w:num w:numId="8">
    <w:abstractNumId w:val="28"/>
  </w:num>
  <w:num w:numId="9">
    <w:abstractNumId w:val="13"/>
  </w:num>
  <w:num w:numId="10">
    <w:abstractNumId w:val="31"/>
  </w:num>
  <w:num w:numId="11">
    <w:abstractNumId w:val="2"/>
  </w:num>
  <w:num w:numId="12">
    <w:abstractNumId w:val="33"/>
  </w:num>
  <w:num w:numId="13">
    <w:abstractNumId w:val="29"/>
  </w:num>
  <w:num w:numId="14">
    <w:abstractNumId w:val="24"/>
  </w:num>
  <w:num w:numId="15">
    <w:abstractNumId w:val="32"/>
  </w:num>
  <w:num w:numId="16">
    <w:abstractNumId w:val="42"/>
  </w:num>
  <w:num w:numId="17">
    <w:abstractNumId w:val="7"/>
  </w:num>
  <w:num w:numId="18">
    <w:abstractNumId w:val="37"/>
  </w:num>
  <w:num w:numId="19">
    <w:abstractNumId w:val="25"/>
  </w:num>
  <w:num w:numId="20">
    <w:abstractNumId w:val="9"/>
  </w:num>
  <w:num w:numId="21">
    <w:abstractNumId w:val="30"/>
  </w:num>
  <w:num w:numId="22">
    <w:abstractNumId w:val="0"/>
  </w:num>
  <w:num w:numId="23">
    <w:abstractNumId w:val="8"/>
  </w:num>
  <w:num w:numId="24">
    <w:abstractNumId w:val="14"/>
  </w:num>
  <w:num w:numId="25">
    <w:abstractNumId w:val="38"/>
  </w:num>
  <w:num w:numId="26">
    <w:abstractNumId w:val="21"/>
  </w:num>
  <w:num w:numId="27">
    <w:abstractNumId w:val="12"/>
  </w:num>
  <w:num w:numId="28">
    <w:abstractNumId w:val="17"/>
  </w:num>
  <w:num w:numId="29">
    <w:abstractNumId w:val="19"/>
  </w:num>
  <w:num w:numId="30">
    <w:abstractNumId w:val="3"/>
  </w:num>
  <w:num w:numId="31">
    <w:abstractNumId w:val="15"/>
  </w:num>
  <w:num w:numId="32">
    <w:abstractNumId w:val="22"/>
  </w:num>
  <w:num w:numId="33">
    <w:abstractNumId w:val="16"/>
  </w:num>
  <w:num w:numId="34">
    <w:abstractNumId w:val="40"/>
  </w:num>
  <w:num w:numId="35">
    <w:abstractNumId w:val="4"/>
  </w:num>
  <w:num w:numId="36">
    <w:abstractNumId w:val="18"/>
  </w:num>
  <w:num w:numId="37">
    <w:abstractNumId w:val="23"/>
  </w:num>
  <w:num w:numId="38">
    <w:abstractNumId w:val="10"/>
  </w:num>
  <w:num w:numId="39">
    <w:abstractNumId w:val="20"/>
  </w:num>
  <w:num w:numId="40">
    <w:abstractNumId w:val="43"/>
  </w:num>
  <w:num w:numId="41">
    <w:abstractNumId w:val="35"/>
  </w:num>
  <w:num w:numId="42">
    <w:abstractNumId w:val="39"/>
  </w:num>
  <w:num w:numId="43">
    <w:abstractNumId w:val="27"/>
  </w:num>
  <w:num w:numId="4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31CA7"/>
    <w:rsid w:val="00040E71"/>
    <w:rsid w:val="00043D85"/>
    <w:rsid w:val="0004519F"/>
    <w:rsid w:val="00054FBE"/>
    <w:rsid w:val="0006022E"/>
    <w:rsid w:val="000623F6"/>
    <w:rsid w:val="00090BEA"/>
    <w:rsid w:val="000910FC"/>
    <w:rsid w:val="000B34BB"/>
    <w:rsid w:val="000B3B70"/>
    <w:rsid w:val="000B52E8"/>
    <w:rsid w:val="000B7422"/>
    <w:rsid w:val="000C0C0D"/>
    <w:rsid w:val="000C0FBC"/>
    <w:rsid w:val="000C10A2"/>
    <w:rsid w:val="000C6DA8"/>
    <w:rsid w:val="000D0217"/>
    <w:rsid w:val="000D06AD"/>
    <w:rsid w:val="000D317C"/>
    <w:rsid w:val="000E0A04"/>
    <w:rsid w:val="000E52A9"/>
    <w:rsid w:val="000E7740"/>
    <w:rsid w:val="000F6D9C"/>
    <w:rsid w:val="00100BDE"/>
    <w:rsid w:val="00102532"/>
    <w:rsid w:val="00106DDC"/>
    <w:rsid w:val="001201AF"/>
    <w:rsid w:val="00130689"/>
    <w:rsid w:val="00130937"/>
    <w:rsid w:val="0014540C"/>
    <w:rsid w:val="00150596"/>
    <w:rsid w:val="00165639"/>
    <w:rsid w:val="00180990"/>
    <w:rsid w:val="001A38BC"/>
    <w:rsid w:val="001B44CB"/>
    <w:rsid w:val="001D209F"/>
    <w:rsid w:val="001E24A7"/>
    <w:rsid w:val="001F6E69"/>
    <w:rsid w:val="001F7232"/>
    <w:rsid w:val="002144DD"/>
    <w:rsid w:val="00223CFB"/>
    <w:rsid w:val="0023503B"/>
    <w:rsid w:val="00241413"/>
    <w:rsid w:val="0024335F"/>
    <w:rsid w:val="00245388"/>
    <w:rsid w:val="0025246C"/>
    <w:rsid w:val="002553A5"/>
    <w:rsid w:val="00257918"/>
    <w:rsid w:val="00261EEE"/>
    <w:rsid w:val="00262E67"/>
    <w:rsid w:val="00264E15"/>
    <w:rsid w:val="00271A97"/>
    <w:rsid w:val="002B10AD"/>
    <w:rsid w:val="002B2148"/>
    <w:rsid w:val="002B29A3"/>
    <w:rsid w:val="002C1FA1"/>
    <w:rsid w:val="002C5191"/>
    <w:rsid w:val="002D6143"/>
    <w:rsid w:val="002E4166"/>
    <w:rsid w:val="002F4374"/>
    <w:rsid w:val="0030422B"/>
    <w:rsid w:val="00314364"/>
    <w:rsid w:val="00321AD1"/>
    <w:rsid w:val="0032637F"/>
    <w:rsid w:val="00332820"/>
    <w:rsid w:val="00347265"/>
    <w:rsid w:val="00350E5F"/>
    <w:rsid w:val="00360E50"/>
    <w:rsid w:val="00367714"/>
    <w:rsid w:val="003765CC"/>
    <w:rsid w:val="00376A8E"/>
    <w:rsid w:val="00387D6B"/>
    <w:rsid w:val="0039712F"/>
    <w:rsid w:val="003978C9"/>
    <w:rsid w:val="003A26EF"/>
    <w:rsid w:val="003A3C44"/>
    <w:rsid w:val="003A5F8F"/>
    <w:rsid w:val="003B6591"/>
    <w:rsid w:val="003C406F"/>
    <w:rsid w:val="003C4F7F"/>
    <w:rsid w:val="003D7C03"/>
    <w:rsid w:val="003E6575"/>
    <w:rsid w:val="003F3420"/>
    <w:rsid w:val="003F5F33"/>
    <w:rsid w:val="00403F4D"/>
    <w:rsid w:val="00422159"/>
    <w:rsid w:val="00426B67"/>
    <w:rsid w:val="00427828"/>
    <w:rsid w:val="004302A7"/>
    <w:rsid w:val="0046738A"/>
    <w:rsid w:val="004673F7"/>
    <w:rsid w:val="00470284"/>
    <w:rsid w:val="00471EBA"/>
    <w:rsid w:val="00482879"/>
    <w:rsid w:val="0048725C"/>
    <w:rsid w:val="004A157C"/>
    <w:rsid w:val="004A5A73"/>
    <w:rsid w:val="004C5CF1"/>
    <w:rsid w:val="004D0CF2"/>
    <w:rsid w:val="004D156F"/>
    <w:rsid w:val="004D443D"/>
    <w:rsid w:val="004F00ED"/>
    <w:rsid w:val="004F1F85"/>
    <w:rsid w:val="004F429E"/>
    <w:rsid w:val="00505915"/>
    <w:rsid w:val="0050621E"/>
    <w:rsid w:val="0051770A"/>
    <w:rsid w:val="00524389"/>
    <w:rsid w:val="005329C1"/>
    <w:rsid w:val="00534A25"/>
    <w:rsid w:val="005413BD"/>
    <w:rsid w:val="005418B2"/>
    <w:rsid w:val="00546FE0"/>
    <w:rsid w:val="00547D20"/>
    <w:rsid w:val="005625C3"/>
    <w:rsid w:val="005706E9"/>
    <w:rsid w:val="00571D19"/>
    <w:rsid w:val="005730C8"/>
    <w:rsid w:val="00584216"/>
    <w:rsid w:val="00587705"/>
    <w:rsid w:val="00593CA0"/>
    <w:rsid w:val="005B11C8"/>
    <w:rsid w:val="005B6E04"/>
    <w:rsid w:val="005D1A2E"/>
    <w:rsid w:val="005D555E"/>
    <w:rsid w:val="005D6D22"/>
    <w:rsid w:val="005E63A7"/>
    <w:rsid w:val="005F1D51"/>
    <w:rsid w:val="00603C9C"/>
    <w:rsid w:val="00603DD0"/>
    <w:rsid w:val="006058D9"/>
    <w:rsid w:val="00631D66"/>
    <w:rsid w:val="0064097D"/>
    <w:rsid w:val="00641175"/>
    <w:rsid w:val="006465DC"/>
    <w:rsid w:val="006528A6"/>
    <w:rsid w:val="00662697"/>
    <w:rsid w:val="00666DD5"/>
    <w:rsid w:val="00685B99"/>
    <w:rsid w:val="006A3A08"/>
    <w:rsid w:val="006A63E0"/>
    <w:rsid w:val="006A67D6"/>
    <w:rsid w:val="006C0230"/>
    <w:rsid w:val="006E2D9A"/>
    <w:rsid w:val="006F0B57"/>
    <w:rsid w:val="006F1D12"/>
    <w:rsid w:val="007221BF"/>
    <w:rsid w:val="007258AA"/>
    <w:rsid w:val="00730045"/>
    <w:rsid w:val="007325FD"/>
    <w:rsid w:val="00732D34"/>
    <w:rsid w:val="00733B55"/>
    <w:rsid w:val="007639B4"/>
    <w:rsid w:val="007663CD"/>
    <w:rsid w:val="007667EA"/>
    <w:rsid w:val="007A0028"/>
    <w:rsid w:val="007A0642"/>
    <w:rsid w:val="007B2604"/>
    <w:rsid w:val="007B269E"/>
    <w:rsid w:val="007D0BC8"/>
    <w:rsid w:val="007D159B"/>
    <w:rsid w:val="007E5415"/>
    <w:rsid w:val="00806AEF"/>
    <w:rsid w:val="00806E82"/>
    <w:rsid w:val="0081396B"/>
    <w:rsid w:val="00823E21"/>
    <w:rsid w:val="00836C55"/>
    <w:rsid w:val="00837E87"/>
    <w:rsid w:val="00846D60"/>
    <w:rsid w:val="00870959"/>
    <w:rsid w:val="0088306B"/>
    <w:rsid w:val="0088600A"/>
    <w:rsid w:val="00886615"/>
    <w:rsid w:val="00886A9B"/>
    <w:rsid w:val="00891B1A"/>
    <w:rsid w:val="008A6C5C"/>
    <w:rsid w:val="008B6960"/>
    <w:rsid w:val="008C78E1"/>
    <w:rsid w:val="008E1A09"/>
    <w:rsid w:val="008E52F4"/>
    <w:rsid w:val="008E7F70"/>
    <w:rsid w:val="008F18DD"/>
    <w:rsid w:val="00904D87"/>
    <w:rsid w:val="00905D5B"/>
    <w:rsid w:val="009069EE"/>
    <w:rsid w:val="00910D6B"/>
    <w:rsid w:val="009122D3"/>
    <w:rsid w:val="009146C4"/>
    <w:rsid w:val="009176EA"/>
    <w:rsid w:val="0092074E"/>
    <w:rsid w:val="009330AA"/>
    <w:rsid w:val="009352BD"/>
    <w:rsid w:val="009554D5"/>
    <w:rsid w:val="00957657"/>
    <w:rsid w:val="00965530"/>
    <w:rsid w:val="0096665B"/>
    <w:rsid w:val="00983998"/>
    <w:rsid w:val="00984749"/>
    <w:rsid w:val="00986919"/>
    <w:rsid w:val="00990731"/>
    <w:rsid w:val="009C1992"/>
    <w:rsid w:val="009C6FC0"/>
    <w:rsid w:val="009C7DEE"/>
    <w:rsid w:val="009D196D"/>
    <w:rsid w:val="009D63CC"/>
    <w:rsid w:val="009F74A4"/>
    <w:rsid w:val="00A02B17"/>
    <w:rsid w:val="00A118F1"/>
    <w:rsid w:val="00A15D9F"/>
    <w:rsid w:val="00A15E81"/>
    <w:rsid w:val="00A24DDE"/>
    <w:rsid w:val="00A322A5"/>
    <w:rsid w:val="00A32AE4"/>
    <w:rsid w:val="00A36D77"/>
    <w:rsid w:val="00A572A6"/>
    <w:rsid w:val="00A57CB4"/>
    <w:rsid w:val="00A61E59"/>
    <w:rsid w:val="00A66F84"/>
    <w:rsid w:val="00A7568E"/>
    <w:rsid w:val="00A77BDF"/>
    <w:rsid w:val="00A87BBE"/>
    <w:rsid w:val="00A94EDC"/>
    <w:rsid w:val="00A95517"/>
    <w:rsid w:val="00AA3E07"/>
    <w:rsid w:val="00AA6E3F"/>
    <w:rsid w:val="00AB26FC"/>
    <w:rsid w:val="00AB41B2"/>
    <w:rsid w:val="00AC7DD0"/>
    <w:rsid w:val="00AD439B"/>
    <w:rsid w:val="00AF217D"/>
    <w:rsid w:val="00AF7289"/>
    <w:rsid w:val="00B17100"/>
    <w:rsid w:val="00B2714E"/>
    <w:rsid w:val="00B42ED3"/>
    <w:rsid w:val="00B50A8E"/>
    <w:rsid w:val="00B52B09"/>
    <w:rsid w:val="00B76727"/>
    <w:rsid w:val="00B76C4A"/>
    <w:rsid w:val="00B77CCD"/>
    <w:rsid w:val="00BB05AC"/>
    <w:rsid w:val="00BD6430"/>
    <w:rsid w:val="00C0489A"/>
    <w:rsid w:val="00C05220"/>
    <w:rsid w:val="00C23DEA"/>
    <w:rsid w:val="00C37C04"/>
    <w:rsid w:val="00C412C6"/>
    <w:rsid w:val="00C47AC9"/>
    <w:rsid w:val="00C61209"/>
    <w:rsid w:val="00C621CE"/>
    <w:rsid w:val="00C7088F"/>
    <w:rsid w:val="00C92452"/>
    <w:rsid w:val="00C97D54"/>
    <w:rsid w:val="00CC605C"/>
    <w:rsid w:val="00CE4A76"/>
    <w:rsid w:val="00CF45C2"/>
    <w:rsid w:val="00D12898"/>
    <w:rsid w:val="00D17E86"/>
    <w:rsid w:val="00D32F62"/>
    <w:rsid w:val="00D349F1"/>
    <w:rsid w:val="00D524F5"/>
    <w:rsid w:val="00D637C9"/>
    <w:rsid w:val="00D72FEE"/>
    <w:rsid w:val="00D86150"/>
    <w:rsid w:val="00D9355E"/>
    <w:rsid w:val="00DB0513"/>
    <w:rsid w:val="00DB26DA"/>
    <w:rsid w:val="00DB7A14"/>
    <w:rsid w:val="00DC2FA3"/>
    <w:rsid w:val="00DD2383"/>
    <w:rsid w:val="00DD7AF5"/>
    <w:rsid w:val="00DE5088"/>
    <w:rsid w:val="00E05C5A"/>
    <w:rsid w:val="00E13104"/>
    <w:rsid w:val="00E223C5"/>
    <w:rsid w:val="00E238AB"/>
    <w:rsid w:val="00E42FF3"/>
    <w:rsid w:val="00E86FA0"/>
    <w:rsid w:val="00E879CE"/>
    <w:rsid w:val="00EC2356"/>
    <w:rsid w:val="00EC6141"/>
    <w:rsid w:val="00EC777A"/>
    <w:rsid w:val="00ED558B"/>
    <w:rsid w:val="00EE0297"/>
    <w:rsid w:val="00EE4C36"/>
    <w:rsid w:val="00EE65EC"/>
    <w:rsid w:val="00EF2CB7"/>
    <w:rsid w:val="00F00B40"/>
    <w:rsid w:val="00F03BF9"/>
    <w:rsid w:val="00F065F4"/>
    <w:rsid w:val="00F0784C"/>
    <w:rsid w:val="00F369DF"/>
    <w:rsid w:val="00F441CF"/>
    <w:rsid w:val="00F449D9"/>
    <w:rsid w:val="00F464DE"/>
    <w:rsid w:val="00F60016"/>
    <w:rsid w:val="00F6320E"/>
    <w:rsid w:val="00F66C71"/>
    <w:rsid w:val="00F73F80"/>
    <w:rsid w:val="00F74527"/>
    <w:rsid w:val="00F802CE"/>
    <w:rsid w:val="00F81A7B"/>
    <w:rsid w:val="00F83528"/>
    <w:rsid w:val="00F9391D"/>
    <w:rsid w:val="00FA736D"/>
    <w:rsid w:val="00FC4A03"/>
    <w:rsid w:val="00FC4E35"/>
    <w:rsid w:val="00FD0446"/>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1151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80748F"/>
    <w:rsid w:val="00864732"/>
    <w:rsid w:val="009E2391"/>
    <w:rsid w:val="00A3148D"/>
    <w:rsid w:val="00AC31B5"/>
    <w:rsid w:val="00AF1EE1"/>
    <w:rsid w:val="00B14DD2"/>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A501D-668B-411E-9DA5-7E2D4393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21</Pages>
  <Words>6927</Words>
  <Characters>38099</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32</cp:revision>
  <dcterms:created xsi:type="dcterms:W3CDTF">2023-07-03T14:16:00Z</dcterms:created>
  <dcterms:modified xsi:type="dcterms:W3CDTF">2025-01-24T15:34:00Z</dcterms:modified>
</cp:coreProperties>
</file>