
<file path=[Content_Types].xml><?xml version="1.0" encoding="utf-8"?>
<Types xmlns="http://schemas.openxmlformats.org/package/2006/content-types">
  <Default Extension="(null)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B8645" w14:textId="77777777" w:rsidR="009231F6" w:rsidRPr="009231F6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n°3 </w:t>
      </w:r>
      <w:r w:rsidRPr="009231F6">
        <w:rPr>
          <w:rFonts w:ascii="Calibri" w:hAnsi="Calibri" w:cs="Calibri"/>
          <w:b/>
          <w:bCs/>
          <w:szCs w:val="24"/>
        </w:rPr>
        <w:t>à la Convention d’occupation temporaire du domaine public</w:t>
      </w:r>
    </w:p>
    <w:p w14:paraId="09352D7C" w14:textId="604AF1C9" w:rsidR="009231F6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  <w:r w:rsidRPr="009231F6">
        <w:rPr>
          <w:rFonts w:ascii="Calibri" w:hAnsi="Calibri" w:cs="Calibri"/>
          <w:b/>
          <w:bCs/>
          <w:szCs w:val="24"/>
        </w:rPr>
        <w:t>Distributeurs automatiques</w:t>
      </w:r>
    </w:p>
    <w:p w14:paraId="236B6DD7" w14:textId="77777777" w:rsidR="009231F6" w:rsidRPr="00045B4A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</w:p>
    <w:p w14:paraId="581EB407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  <w:r w:rsidRPr="00045B4A">
        <w:rPr>
          <w:rFonts w:ascii="Calibri" w:hAnsi="Calibri" w:cs="Calibri"/>
          <w:b/>
          <w:bCs/>
        </w:rPr>
        <w:t xml:space="preserve">Fiche d’identification </w:t>
      </w:r>
      <w:r>
        <w:rPr>
          <w:rFonts w:ascii="Calibri" w:hAnsi="Calibri" w:cs="Calibri"/>
          <w:b/>
          <w:bCs/>
        </w:rPr>
        <w:t>des gestionnaires de la Convention</w:t>
      </w:r>
      <w:r w:rsidRPr="00045B4A">
        <w:rPr>
          <w:rFonts w:ascii="Calibri" w:hAnsi="Calibri" w:cs="Calibri"/>
          <w:b/>
          <w:bCs/>
        </w:rPr>
        <w:br/>
      </w:r>
    </w:p>
    <w:p w14:paraId="2CED6369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9231F6" w:rsidRPr="00045B4A" w14:paraId="150A754E" w14:textId="77777777" w:rsidTr="001B7C13">
        <w:tc>
          <w:tcPr>
            <w:tcW w:w="8487" w:type="dxa"/>
            <w:gridSpan w:val="2"/>
          </w:tcPr>
          <w:p w14:paraId="2A0B7815" w14:textId="77777777" w:rsidR="009231F6" w:rsidRPr="00115979" w:rsidRDefault="009231F6" w:rsidP="001B7C1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Université</w:t>
            </w:r>
          </w:p>
        </w:tc>
      </w:tr>
      <w:tr w:rsidR="009231F6" w:rsidRPr="00045B4A" w14:paraId="14CF21C4" w14:textId="77777777" w:rsidTr="001B7C13">
        <w:tc>
          <w:tcPr>
            <w:tcW w:w="2689" w:type="dxa"/>
          </w:tcPr>
          <w:p w14:paraId="4D42E33D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administratif</w:t>
            </w:r>
          </w:p>
        </w:tc>
        <w:tc>
          <w:tcPr>
            <w:tcW w:w="5798" w:type="dxa"/>
          </w:tcPr>
          <w:p w14:paraId="1A1473F4" w14:textId="67176080" w:rsidR="009231F6" w:rsidRPr="00F32704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Service </w:t>
            </w:r>
            <w:r w:rsidR="00F32704" w:rsidRPr="00F32704">
              <w:rPr>
                <w:rFonts w:asciiTheme="majorHAnsi" w:hAnsiTheme="majorHAnsi" w:cstheme="majorHAnsi"/>
                <w:sz w:val="21"/>
                <w:szCs w:val="21"/>
              </w:rPr>
              <w:t>de la commande publique</w:t>
            </w:r>
          </w:p>
          <w:p w14:paraId="1DB1147C" w14:textId="4F5B4731" w:rsidR="009231F6" w:rsidRPr="00F32704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hyperlink r:id="rId6" w:history="1">
              <w:r w:rsidR="00F32704" w:rsidRPr="00F32704">
                <w:rPr>
                  <w:rStyle w:val="Lienhypertexte"/>
                  <w:rFonts w:asciiTheme="majorHAnsi" w:hAnsiTheme="majorHAnsi" w:cstheme="majorHAnsi"/>
                  <w:sz w:val="21"/>
                  <w:szCs w:val="21"/>
                </w:rPr>
                <w:t>commande-publique@univ-tours.fr</w:t>
              </w:r>
            </w:hyperlink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</w:p>
          <w:p w14:paraId="2D6B9F68" w14:textId="77777777" w:rsidR="009231F6" w:rsidRPr="00115979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>Tél. : 02 47 36 81 28</w:t>
            </w:r>
          </w:p>
        </w:tc>
      </w:tr>
      <w:tr w:rsidR="009231F6" w:rsidRPr="00045B4A" w14:paraId="32DD517C" w14:textId="77777777" w:rsidTr="001B7C13">
        <w:tc>
          <w:tcPr>
            <w:tcW w:w="2689" w:type="dxa"/>
          </w:tcPr>
          <w:p w14:paraId="694F0C88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financier</w:t>
            </w:r>
          </w:p>
        </w:tc>
        <w:tc>
          <w:tcPr>
            <w:tcW w:w="5798" w:type="dxa"/>
          </w:tcPr>
          <w:p w14:paraId="18A09D51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Nom : Antenne financière de l’immobilier</w:t>
            </w:r>
          </w:p>
          <w:p w14:paraId="64BFF315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hyperlink r:id="rId7" w:history="1">
              <w:r w:rsidRPr="005B15C4">
                <w:rPr>
                  <w:rStyle w:val="Lienhypertexte"/>
                  <w:rFonts w:asciiTheme="majorHAnsi" w:hAnsiTheme="majorHAnsi" w:cstheme="majorHAnsi"/>
                  <w:sz w:val="21"/>
                  <w:szCs w:val="21"/>
                </w:rPr>
                <w:t>afi@univ-tours.fr</w:t>
              </w:r>
            </w:hyperlink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</w:p>
        </w:tc>
      </w:tr>
    </w:tbl>
    <w:p w14:paraId="6F8BC841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p w14:paraId="608E4705" w14:textId="77777777" w:rsidR="009231F6" w:rsidRPr="00045B4A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9231F6" w:rsidRPr="00045B4A" w14:paraId="47B0C9E9" w14:textId="77777777" w:rsidTr="001B7C13">
        <w:tc>
          <w:tcPr>
            <w:tcW w:w="8487" w:type="dxa"/>
            <w:gridSpan w:val="2"/>
          </w:tcPr>
          <w:p w14:paraId="4D4769C0" w14:textId="77777777" w:rsidR="009231F6" w:rsidRPr="00115979" w:rsidRDefault="009231F6" w:rsidP="001B7C1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115979">
              <w:rPr>
                <w:rFonts w:ascii="Calibri" w:hAnsi="Calibri" w:cs="Calibri"/>
                <w:b/>
                <w:bCs/>
                <w:sz w:val="21"/>
                <w:szCs w:val="21"/>
              </w:rPr>
              <w:t>Occupant</w:t>
            </w:r>
          </w:p>
        </w:tc>
      </w:tr>
      <w:tr w:rsidR="009231F6" w:rsidRPr="00045B4A" w14:paraId="165F6728" w14:textId="77777777" w:rsidTr="001B7C13">
        <w:tc>
          <w:tcPr>
            <w:tcW w:w="2689" w:type="dxa"/>
          </w:tcPr>
          <w:p w14:paraId="643EBD58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administratif</w:t>
            </w:r>
          </w:p>
        </w:tc>
        <w:tc>
          <w:tcPr>
            <w:tcW w:w="5798" w:type="dxa"/>
          </w:tcPr>
          <w:p w14:paraId="55F2C0AB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0" w:name="Texte84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0"/>
          </w:p>
          <w:p w14:paraId="5CD648F2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23B94A2D" w14:textId="77777777" w:rsidR="009231F6" w:rsidRPr="00115979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1" w:name="Texte83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1"/>
          </w:p>
        </w:tc>
      </w:tr>
      <w:tr w:rsidR="009231F6" w:rsidRPr="00045B4A" w14:paraId="18A4F135" w14:textId="77777777" w:rsidTr="001B7C13">
        <w:tc>
          <w:tcPr>
            <w:tcW w:w="2689" w:type="dxa"/>
          </w:tcPr>
          <w:p w14:paraId="650535F5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financier</w:t>
            </w:r>
          </w:p>
        </w:tc>
        <w:tc>
          <w:tcPr>
            <w:tcW w:w="5798" w:type="dxa"/>
          </w:tcPr>
          <w:p w14:paraId="13F3DC56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0D588B0A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18DAB02A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</w:tc>
      </w:tr>
      <w:tr w:rsidR="009231F6" w:rsidRPr="00045B4A" w14:paraId="225888D6" w14:textId="77777777" w:rsidTr="001B7C13">
        <w:tc>
          <w:tcPr>
            <w:tcW w:w="2689" w:type="dxa"/>
          </w:tcPr>
          <w:p w14:paraId="0AC64FB4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Service client</w:t>
            </w:r>
          </w:p>
        </w:tc>
        <w:tc>
          <w:tcPr>
            <w:tcW w:w="5798" w:type="dxa"/>
          </w:tcPr>
          <w:p w14:paraId="74EC70DF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2DB31BF7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4B449D6F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Le cas échéant, URL plateforme dématérialisée de déclaration des incidents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2" w:name="Texte85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2"/>
          </w:p>
        </w:tc>
      </w:tr>
    </w:tbl>
    <w:p w14:paraId="39864798" w14:textId="77777777" w:rsidR="009231F6" w:rsidRPr="00BD707E" w:rsidRDefault="009231F6" w:rsidP="009231F6">
      <w:pPr>
        <w:spacing w:line="240" w:lineRule="auto"/>
        <w:rPr>
          <w:rFonts w:asciiTheme="majorHAnsi" w:hAnsiTheme="majorHAnsi" w:cstheme="majorHAnsi"/>
          <w:smallCaps/>
          <w:sz w:val="21"/>
          <w:szCs w:val="21"/>
        </w:rPr>
      </w:pPr>
    </w:p>
    <w:p w14:paraId="001ABF35" w14:textId="77777777" w:rsidR="0099642C" w:rsidRDefault="0099642C"/>
    <w:sectPr w:rsidR="0099642C" w:rsidSect="009231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97" w:right="1418" w:bottom="2108" w:left="1985" w:header="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92A84" w14:textId="77777777" w:rsidR="009231F6" w:rsidRDefault="009231F6" w:rsidP="009231F6">
      <w:pPr>
        <w:spacing w:line="240" w:lineRule="auto"/>
      </w:pPr>
      <w:r>
        <w:separator/>
      </w:r>
    </w:p>
  </w:endnote>
  <w:endnote w:type="continuationSeparator" w:id="0">
    <w:p w14:paraId="66176319" w14:textId="77777777" w:rsidR="009231F6" w:rsidRDefault="009231F6" w:rsidP="009231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7794A" w14:textId="77777777" w:rsidR="009231F6" w:rsidRDefault="009231F6" w:rsidP="002E70D1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4A14C74D" w14:textId="77777777" w:rsidR="009231F6" w:rsidRDefault="009231F6" w:rsidP="002E70D1">
    <w:pPr>
      <w:pStyle w:val="Pieddepage"/>
      <w:ind w:right="360"/>
      <w:rPr>
        <w:rStyle w:val="Numrodepage"/>
      </w:rPr>
    </w:pPr>
  </w:p>
  <w:p w14:paraId="1A2EB063" w14:textId="77777777" w:rsidR="009231F6" w:rsidRDefault="009231F6" w:rsidP="00794460">
    <w:pPr>
      <w:pStyle w:val="Pieddepage"/>
    </w:pPr>
  </w:p>
  <w:p w14:paraId="0C319086" w14:textId="77777777" w:rsidR="009231F6" w:rsidRDefault="009231F6" w:rsidP="00794460"/>
  <w:p w14:paraId="64820DE3" w14:textId="77777777" w:rsidR="009231F6" w:rsidRDefault="009231F6" w:rsidP="00794460"/>
  <w:p w14:paraId="6C5BB9EB" w14:textId="77777777" w:rsidR="009231F6" w:rsidRDefault="009231F6" w:rsidP="00794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0899" w14:textId="77777777" w:rsidR="009231F6" w:rsidRDefault="009231F6" w:rsidP="009C1A17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bookmarkStart w:id="3" w:name="_Hlk188967453"/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532EDDCD" w14:textId="77777777" w:rsidR="009231F6" w:rsidRPr="002E32E7" w:rsidRDefault="009231F6" w:rsidP="009C1A17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>
      <w:rPr>
        <w:rFonts w:ascii="Calibri" w:hAnsi="Calibri" w:cs="Calibri"/>
        <w:b/>
        <w:bCs/>
        <w:color w:val="44546A"/>
        <w:sz w:val="18"/>
        <w:szCs w:val="18"/>
      </w:rPr>
      <w:br/>
      <w:t xml:space="preserve">2025 </w:t>
    </w:r>
    <w:r w:rsidRPr="00823041">
      <w:rPr>
        <w:rFonts w:ascii="Calibri" w:hAnsi="Calibri" w:cs="Calibri"/>
        <w:b/>
        <w:bCs/>
        <w:color w:val="44546A"/>
        <w:sz w:val="18"/>
        <w:szCs w:val="18"/>
      </w:rPr>
      <w:t>– 2031</w:t>
    </w:r>
  </w:p>
  <w:bookmarkEnd w:id="3"/>
  <w:p w14:paraId="47FFE401" w14:textId="77777777" w:rsidR="009231F6" w:rsidRPr="00E4678E" w:rsidRDefault="009231F6" w:rsidP="00E4678E">
    <w:pPr>
      <w:pStyle w:val="Pieddepage"/>
      <w:spacing w:before="120"/>
      <w:ind w:right="357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E4678E">
      <w:rPr>
        <w:rFonts w:asciiTheme="majorHAnsi" w:hAnsiTheme="majorHAnsi" w:cstheme="majorHAnsi"/>
        <w:color w:val="44546A"/>
        <w:sz w:val="18"/>
        <w:szCs w:val="18"/>
      </w:rPr>
      <w:t>Page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begin"/>
    </w:r>
    <w:r w:rsidRPr="00E4678E">
      <w:rPr>
        <w:rFonts w:ascii="Calibri" w:hAnsi="Calibri" w:cs="Calibri"/>
        <w:b/>
        <w:bCs/>
        <w:color w:val="44546A"/>
        <w:sz w:val="18"/>
        <w:szCs w:val="18"/>
      </w:rPr>
      <w:instrText xml:space="preserve"> PAGE </w:instrTex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separate"/>
    </w:r>
    <w:r w:rsidRPr="00E4678E">
      <w:rPr>
        <w:rFonts w:ascii="Calibri" w:hAnsi="Calibri" w:cs="Calibri"/>
        <w:b/>
        <w:bCs/>
        <w:noProof/>
        <w:color w:val="44546A"/>
        <w:sz w:val="18"/>
        <w:szCs w:val="18"/>
      </w:rPr>
      <w:t>3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end"/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Theme="majorHAnsi" w:hAnsiTheme="majorHAnsi" w:cstheme="majorHAnsi"/>
        <w:color w:val="44546A"/>
        <w:sz w:val="18"/>
        <w:szCs w:val="18"/>
      </w:rPr>
      <w:t>sur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begin"/>
    </w:r>
    <w:r w:rsidRPr="00E4678E">
      <w:rPr>
        <w:rFonts w:ascii="Calibri" w:hAnsi="Calibri" w:cs="Calibri"/>
        <w:b/>
        <w:bCs/>
        <w:color w:val="44546A"/>
        <w:sz w:val="18"/>
        <w:szCs w:val="18"/>
      </w:rPr>
      <w:instrText xml:space="preserve"> NUMPAGES </w:instrTex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separate"/>
    </w:r>
    <w:r w:rsidRPr="00E4678E">
      <w:rPr>
        <w:rFonts w:ascii="Calibri" w:hAnsi="Calibri" w:cs="Calibri"/>
        <w:b/>
        <w:bCs/>
        <w:noProof/>
        <w:color w:val="44546A"/>
        <w:sz w:val="18"/>
        <w:szCs w:val="18"/>
      </w:rPr>
      <w:t>23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F51BA" w14:textId="77777777" w:rsidR="009231F6" w:rsidRPr="009231F6" w:rsidRDefault="009231F6" w:rsidP="009231F6">
    <w:pPr>
      <w:tabs>
        <w:tab w:val="center" w:pos="4536"/>
        <w:tab w:val="right" w:pos="9072"/>
      </w:tabs>
      <w:spacing w:line="240" w:lineRule="auto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9231F6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026F46B5" w14:textId="77777777" w:rsidR="009231F6" w:rsidRPr="009231F6" w:rsidRDefault="009231F6" w:rsidP="009231F6">
    <w:pPr>
      <w:tabs>
        <w:tab w:val="center" w:pos="4536"/>
        <w:tab w:val="right" w:pos="9072"/>
      </w:tabs>
      <w:spacing w:line="240" w:lineRule="auto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9231F6"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 w:rsidRPr="009231F6">
      <w:rPr>
        <w:rFonts w:ascii="Calibri" w:hAnsi="Calibri" w:cs="Calibri"/>
        <w:b/>
        <w:bCs/>
        <w:color w:val="44546A"/>
        <w:sz w:val="18"/>
        <w:szCs w:val="18"/>
      </w:rPr>
      <w:br/>
      <w:t>2025 – 2031</w:t>
    </w:r>
  </w:p>
  <w:p w14:paraId="6C5521D0" w14:textId="77777777" w:rsidR="009231F6" w:rsidRPr="000C45D3" w:rsidRDefault="009231F6" w:rsidP="00794460">
    <w:pPr>
      <w:pStyle w:val="Pieddepage"/>
      <w:rPr>
        <w:color w:val="424A54"/>
        <w:sz w:val="17"/>
        <w:szCs w:val="17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73219" wp14:editId="69D9D487">
              <wp:simplePos x="0" y="0"/>
              <wp:positionH relativeFrom="column">
                <wp:posOffset>-1089025</wp:posOffset>
              </wp:positionH>
              <wp:positionV relativeFrom="paragraph">
                <wp:posOffset>-499745</wp:posOffset>
              </wp:positionV>
              <wp:extent cx="2148840" cy="9029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8840" cy="9029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w14:anchorId="03F83FCF" id="Rectangle 3" o:spid="_x0000_s1026" style="position:absolute;margin-left:-85.75pt;margin-top:-39.35pt;width:169.2pt;height:7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A317" w14:textId="77777777" w:rsidR="009231F6" w:rsidRDefault="009231F6" w:rsidP="009231F6">
      <w:pPr>
        <w:spacing w:line="240" w:lineRule="auto"/>
      </w:pPr>
      <w:r>
        <w:separator/>
      </w:r>
    </w:p>
  </w:footnote>
  <w:footnote w:type="continuationSeparator" w:id="0">
    <w:p w14:paraId="17DBBD2B" w14:textId="77777777" w:rsidR="009231F6" w:rsidRDefault="009231F6" w:rsidP="009231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BB0E" w14:textId="77777777" w:rsidR="009231F6" w:rsidRDefault="009231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617E" w14:textId="77777777" w:rsidR="009231F6" w:rsidRPr="00346EA7" w:rsidRDefault="009231F6" w:rsidP="0079446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BF78521" wp14:editId="31BAF5CA">
          <wp:simplePos x="0" y="0"/>
          <wp:positionH relativeFrom="column">
            <wp:posOffset>-1255818</wp:posOffset>
          </wp:positionH>
          <wp:positionV relativeFrom="paragraph">
            <wp:posOffset>0</wp:posOffset>
          </wp:positionV>
          <wp:extent cx="1256400" cy="1080000"/>
          <wp:effectExtent l="0" t="0" r="0" b="0"/>
          <wp:wrapNone/>
          <wp:docPr id="1443421151" name="Image 1443421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n-tete suite U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4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29FF5C" w14:textId="77777777" w:rsidR="009231F6" w:rsidRDefault="009231F6" w:rsidP="00794460"/>
  <w:p w14:paraId="37362525" w14:textId="77777777" w:rsidR="009231F6" w:rsidRDefault="009231F6" w:rsidP="00794460"/>
  <w:p w14:paraId="333BC32D" w14:textId="77777777" w:rsidR="009231F6" w:rsidRDefault="009231F6" w:rsidP="007944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6EB57" w14:textId="77777777" w:rsidR="009231F6" w:rsidRDefault="009231F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F6"/>
    <w:rsid w:val="000A3D7B"/>
    <w:rsid w:val="00127C77"/>
    <w:rsid w:val="00220299"/>
    <w:rsid w:val="00245B14"/>
    <w:rsid w:val="00250CED"/>
    <w:rsid w:val="002D382B"/>
    <w:rsid w:val="00306D4B"/>
    <w:rsid w:val="00361446"/>
    <w:rsid w:val="003D3223"/>
    <w:rsid w:val="0048063F"/>
    <w:rsid w:val="00490164"/>
    <w:rsid w:val="004C42F4"/>
    <w:rsid w:val="00574FE5"/>
    <w:rsid w:val="005E5FC4"/>
    <w:rsid w:val="005E6D9D"/>
    <w:rsid w:val="005F7674"/>
    <w:rsid w:val="00600F3C"/>
    <w:rsid w:val="006175FE"/>
    <w:rsid w:val="006D7413"/>
    <w:rsid w:val="006E01EC"/>
    <w:rsid w:val="00701EF7"/>
    <w:rsid w:val="007A1F92"/>
    <w:rsid w:val="008343CE"/>
    <w:rsid w:val="00851CDF"/>
    <w:rsid w:val="008B3132"/>
    <w:rsid w:val="008B5AA3"/>
    <w:rsid w:val="009231F6"/>
    <w:rsid w:val="00983B0D"/>
    <w:rsid w:val="0099642C"/>
    <w:rsid w:val="009B22B7"/>
    <w:rsid w:val="00A778E7"/>
    <w:rsid w:val="00A92698"/>
    <w:rsid w:val="00AA7BFD"/>
    <w:rsid w:val="00AE7EE8"/>
    <w:rsid w:val="00B50F9D"/>
    <w:rsid w:val="00B553C3"/>
    <w:rsid w:val="00BB4E39"/>
    <w:rsid w:val="00BC72BA"/>
    <w:rsid w:val="00C417E4"/>
    <w:rsid w:val="00C91D2B"/>
    <w:rsid w:val="00D43E40"/>
    <w:rsid w:val="00D62518"/>
    <w:rsid w:val="00D9783C"/>
    <w:rsid w:val="00DA2296"/>
    <w:rsid w:val="00E75656"/>
    <w:rsid w:val="00E96878"/>
    <w:rsid w:val="00EE517B"/>
    <w:rsid w:val="00F16C9A"/>
    <w:rsid w:val="00F32704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6FC27"/>
  <w15:chartTrackingRefBased/>
  <w15:docId w15:val="{C8F8E503-02F2-42B6-AEA1-9AA633D5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1F6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9231F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31F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31F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31F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31F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31F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31F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31F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31F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3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3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3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31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31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31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31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31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31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3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3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31F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3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31F6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31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31F6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9231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3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31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31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31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231F6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9231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231F6"/>
    <w:rPr>
      <w:rFonts w:ascii="Work Sans" w:eastAsiaTheme="minorEastAsia" w:hAnsi="Work Sans"/>
    </w:rPr>
  </w:style>
  <w:style w:type="character" w:styleId="Numrodepage">
    <w:name w:val="page number"/>
    <w:basedOn w:val="Policepardfaut"/>
    <w:uiPriority w:val="99"/>
    <w:semiHidden/>
    <w:unhideWhenUsed/>
    <w:rsid w:val="009231F6"/>
  </w:style>
  <w:style w:type="character" w:styleId="Lienhypertexte">
    <w:name w:val="Hyperlink"/>
    <w:uiPriority w:val="99"/>
    <w:unhideWhenUsed/>
    <w:rsid w:val="009231F6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9231F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32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fi@univ-tours.f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ande-publique@univ-tours.f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(null)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743</Characters>
  <Application>Microsoft Office Word</Application>
  <DocSecurity>0</DocSecurity>
  <Lines>13</Lines>
  <Paragraphs>5</Paragraphs>
  <ScaleCrop>false</ScaleCrop>
  <Company>Universite de Tours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Joachim Lebied</cp:lastModifiedBy>
  <cp:revision>2</cp:revision>
  <dcterms:created xsi:type="dcterms:W3CDTF">2025-01-28T13:42:00Z</dcterms:created>
  <dcterms:modified xsi:type="dcterms:W3CDTF">2025-01-29T14:44:00Z</dcterms:modified>
</cp:coreProperties>
</file>