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6D" w:rsidRPr="0074100C" w:rsidRDefault="008E186D" w:rsidP="008E186D">
      <w:pPr>
        <w:jc w:val="center"/>
        <w:rPr>
          <w:rFonts w:cs="Arial"/>
          <w:b/>
          <w:sz w:val="28"/>
          <w:szCs w:val="28"/>
        </w:rPr>
      </w:pPr>
      <w:r w:rsidRPr="0074100C">
        <w:rPr>
          <w:rFonts w:cs="Arial"/>
          <w:b/>
          <w:sz w:val="28"/>
          <w:szCs w:val="28"/>
        </w:rPr>
        <w:t xml:space="preserve">ANNEXE </w:t>
      </w:r>
      <w:r w:rsidR="00CC610B">
        <w:rPr>
          <w:rFonts w:cs="Arial"/>
          <w:b/>
          <w:sz w:val="28"/>
          <w:szCs w:val="28"/>
        </w:rPr>
        <w:t>6</w:t>
      </w:r>
      <w:r w:rsidR="0074100C" w:rsidRPr="0074100C">
        <w:rPr>
          <w:rFonts w:cs="Arial"/>
          <w:b/>
          <w:sz w:val="28"/>
          <w:szCs w:val="28"/>
          <w:lang w:eastAsia="fr-FR"/>
        </w:rPr>
        <w:t xml:space="preserve"> DU CAHIER DES CLAUSES TECHNIQUES PARTICULIERES</w:t>
      </w:r>
    </w:p>
    <w:p w:rsidR="008E186D" w:rsidRPr="0074100C" w:rsidRDefault="008E186D" w:rsidP="008E186D">
      <w:pPr>
        <w:jc w:val="center"/>
        <w:rPr>
          <w:rFonts w:cs="Arial"/>
          <w:b/>
          <w:sz w:val="28"/>
          <w:szCs w:val="28"/>
        </w:rPr>
      </w:pPr>
      <w:r w:rsidRPr="0074100C">
        <w:rPr>
          <w:rFonts w:cs="Arial"/>
          <w:b/>
          <w:sz w:val="28"/>
          <w:szCs w:val="28"/>
        </w:rPr>
        <w:t>EXIGENCES TECHNIQUE</w:t>
      </w:r>
      <w:r w:rsidR="0074100C">
        <w:rPr>
          <w:rFonts w:cs="Arial"/>
          <w:b/>
          <w:sz w:val="28"/>
          <w:szCs w:val="28"/>
        </w:rPr>
        <w:t>S</w:t>
      </w:r>
      <w:r w:rsidRPr="0074100C">
        <w:rPr>
          <w:rFonts w:cs="Arial"/>
          <w:b/>
          <w:sz w:val="28"/>
          <w:szCs w:val="28"/>
        </w:rPr>
        <w:t xml:space="preserve"> POUR LE REMPLACEMENT DES GROUPES FROIDS</w:t>
      </w:r>
    </w:p>
    <w:p w:rsidR="008E186D" w:rsidRDefault="008E186D" w:rsidP="00BF3B06">
      <w:pPr>
        <w:jc w:val="both"/>
        <w:rPr>
          <w:rFonts w:asciiTheme="minorHAnsi" w:hAnsiTheme="minorHAnsi" w:cstheme="minorHAnsi"/>
        </w:rPr>
      </w:pPr>
    </w:p>
    <w:p w:rsidR="00BF3B06" w:rsidRPr="00190C8B" w:rsidRDefault="00BF3B06" w:rsidP="00CC610B">
      <w:pPr>
        <w:tabs>
          <w:tab w:val="left" w:pos="5653"/>
        </w:tabs>
        <w:jc w:val="both"/>
        <w:rPr>
          <w:rFonts w:asciiTheme="minorHAnsi" w:hAnsiTheme="minorHAnsi" w:cstheme="minorHAnsi"/>
          <w:sz w:val="22"/>
        </w:rPr>
      </w:pPr>
      <w:r w:rsidRPr="00190C8B">
        <w:rPr>
          <w:rFonts w:asciiTheme="minorHAnsi" w:hAnsiTheme="minorHAnsi" w:cstheme="minorHAnsi"/>
          <w:sz w:val="22"/>
        </w:rPr>
        <w:t>Pour la sélection des groupes de froid</w:t>
      </w:r>
      <w:r w:rsidR="008E186D" w:rsidRPr="00190C8B">
        <w:rPr>
          <w:rFonts w:asciiTheme="minorHAnsi" w:hAnsiTheme="minorHAnsi" w:cstheme="minorHAnsi"/>
          <w:sz w:val="22"/>
        </w:rPr>
        <w:t> :</w:t>
      </w:r>
      <w:r w:rsidR="00CC610B">
        <w:rPr>
          <w:rFonts w:asciiTheme="minorHAnsi" w:hAnsiTheme="minorHAnsi" w:cstheme="minorHAnsi"/>
          <w:sz w:val="22"/>
        </w:rPr>
        <w:tab/>
      </w:r>
    </w:p>
    <w:p w:rsidR="00BF3B06" w:rsidRPr="008E186D" w:rsidRDefault="00190C8B" w:rsidP="00BF3B06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La t</w:t>
      </w:r>
      <w:r w:rsidR="00BF3B06" w:rsidRPr="008E186D">
        <w:rPr>
          <w:rFonts w:asciiTheme="minorHAnsi" w:hAnsiTheme="minorHAnsi" w:cstheme="minorHAnsi"/>
          <w:sz w:val="22"/>
        </w:rPr>
        <w:t>empérature de dimens</w:t>
      </w:r>
      <w:r>
        <w:rPr>
          <w:rFonts w:asciiTheme="minorHAnsi" w:hAnsiTheme="minorHAnsi" w:cstheme="minorHAnsi"/>
          <w:sz w:val="22"/>
        </w:rPr>
        <w:t>ionnement des groupes de froid est 40°C extérieur.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>La température de l’eau glacée sera variable suivant la saison mais pouvant atteindre 6 /11°C en été.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>Le nouveau règlement F-GAZ (UE N°517/2014) entré en application au 1er janvier 2015, intègre une diminution progressive des mises sur le marché des fluides frigorigènes HFC.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>Le 1.2.3.4 ZE est actuellement l’alternative principale au F-Gaz mais d’autres fluides seront étudiés : par exemple CO</w:t>
      </w:r>
      <w:r w:rsidRPr="008E186D">
        <w:rPr>
          <w:rFonts w:asciiTheme="minorHAnsi" w:hAnsiTheme="minorHAnsi" w:cstheme="minorHAnsi"/>
          <w:sz w:val="22"/>
          <w:vertAlign w:val="subscript"/>
        </w:rPr>
        <w:t>2</w:t>
      </w:r>
      <w:r w:rsidRPr="008E186D">
        <w:rPr>
          <w:rFonts w:asciiTheme="minorHAnsi" w:hAnsiTheme="minorHAnsi" w:cstheme="minorHAnsi"/>
          <w:sz w:val="22"/>
        </w:rPr>
        <w:t>. Il est dem</w:t>
      </w:r>
      <w:r w:rsidR="00190C8B">
        <w:rPr>
          <w:rFonts w:asciiTheme="minorHAnsi" w:hAnsiTheme="minorHAnsi" w:cstheme="minorHAnsi"/>
          <w:sz w:val="22"/>
        </w:rPr>
        <w:t>andé :</w:t>
      </w:r>
      <w:r w:rsidRPr="008E186D">
        <w:rPr>
          <w:rFonts w:asciiTheme="minorHAnsi" w:hAnsiTheme="minorHAnsi" w:cstheme="minorHAnsi"/>
          <w:sz w:val="22"/>
        </w:rPr>
        <w:t xml:space="preserve"> une étude comparative des coûts, des rendements, des consommations.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>Les installations ne comporteront pas d’antigel, des traceurs seront prévus suivant besoins. Les traceurs seront alimentés uniquement lorsque le fluide, à protéger du gel, ne sera pas en circulation et lorsque la température extérieure sera négative. Un voyant de fonctionnement sera visible sur le tableau électrique.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>Le ou les groupes adapteront la puissance produite aux besoins de l’installation à l’aide de variateurs tant sur la partie compresseur, que pour le système d’évacuation des calories (moto-ventilateur des dry-</w:t>
      </w:r>
      <w:proofErr w:type="spellStart"/>
      <w:r w:rsidRPr="008E186D">
        <w:rPr>
          <w:rFonts w:asciiTheme="minorHAnsi" w:hAnsiTheme="minorHAnsi" w:cstheme="minorHAnsi"/>
          <w:sz w:val="22"/>
        </w:rPr>
        <w:t>coolers</w:t>
      </w:r>
      <w:proofErr w:type="spellEnd"/>
      <w:r w:rsidRPr="008E186D">
        <w:rPr>
          <w:rFonts w:asciiTheme="minorHAnsi" w:hAnsiTheme="minorHAnsi" w:cstheme="minorHAnsi"/>
          <w:sz w:val="22"/>
        </w:rPr>
        <w:t xml:space="preserve"> par exemple). Les circuits frigorifiques seront équipés de système de régulation sur le détendeur électronique permettant l’obtention d’une basse pression flottante. 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>Les circuits frigorifiques des groupes disposeront également de doubles soupapes de sécurité y compris vannes trois voies.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 xml:space="preserve">Les groupes de froid seront avec compresseurs scroll pour des puissances jusqu’à 200 </w:t>
      </w:r>
      <w:proofErr w:type="spellStart"/>
      <w:r w:rsidRPr="008E186D">
        <w:rPr>
          <w:rFonts w:asciiTheme="minorHAnsi" w:hAnsiTheme="minorHAnsi" w:cstheme="minorHAnsi"/>
          <w:sz w:val="22"/>
        </w:rPr>
        <w:t>kWf</w:t>
      </w:r>
      <w:proofErr w:type="spellEnd"/>
      <w:r w:rsidRPr="008E186D">
        <w:rPr>
          <w:rFonts w:asciiTheme="minorHAnsi" w:hAnsiTheme="minorHAnsi" w:cstheme="minorHAnsi"/>
          <w:sz w:val="22"/>
        </w:rPr>
        <w:t xml:space="preserve"> et à compresseurs à vis au-delà, ils disposeront de 2 circuits distincts.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 xml:space="preserve">La production d'eau glacée sera équipée d’une carte de dialogue </w:t>
      </w:r>
      <w:proofErr w:type="spellStart"/>
      <w:r w:rsidRPr="008E186D">
        <w:rPr>
          <w:rFonts w:asciiTheme="minorHAnsi" w:hAnsiTheme="minorHAnsi" w:cstheme="minorHAnsi"/>
          <w:sz w:val="22"/>
        </w:rPr>
        <w:t>modbus</w:t>
      </w:r>
      <w:proofErr w:type="spellEnd"/>
      <w:r w:rsidRPr="008E186D">
        <w:rPr>
          <w:rFonts w:asciiTheme="minorHAnsi" w:hAnsiTheme="minorHAnsi" w:cstheme="minorHAnsi"/>
          <w:sz w:val="22"/>
        </w:rPr>
        <w:t xml:space="preserve"> permettant de remonter les différentes informations sur la GTC des valeurs de sondes, des états de fonctionnement, des valeurs de consignes. </w:t>
      </w:r>
    </w:p>
    <w:p w:rsidR="00BF3B06" w:rsidRPr="008E186D" w:rsidRDefault="00BF3B06" w:rsidP="00BF3B06">
      <w:pPr>
        <w:jc w:val="both"/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 xml:space="preserve">Le niveau acoustique des groupes de froid fera l’objet d’une étude spécifique </w:t>
      </w:r>
      <w:r w:rsidR="009E21BE" w:rsidRPr="008E186D">
        <w:rPr>
          <w:rFonts w:asciiTheme="minorHAnsi" w:hAnsiTheme="minorHAnsi" w:cstheme="minorHAnsi"/>
          <w:sz w:val="22"/>
        </w:rPr>
        <w:t>au regard de l’existant (-3dB(A) / existant).</w:t>
      </w:r>
    </w:p>
    <w:p w:rsidR="008E186D" w:rsidRDefault="00BF3B06">
      <w:pPr>
        <w:rPr>
          <w:rFonts w:asciiTheme="minorHAnsi" w:hAnsiTheme="minorHAnsi" w:cstheme="minorHAnsi"/>
          <w:sz w:val="22"/>
        </w:rPr>
      </w:pPr>
      <w:r w:rsidRPr="008E186D">
        <w:rPr>
          <w:rFonts w:asciiTheme="minorHAnsi" w:hAnsiTheme="minorHAnsi" w:cstheme="minorHAnsi"/>
          <w:sz w:val="22"/>
        </w:rPr>
        <w:t>Chaque plan d'implantation devra préciser les possibilités d'acheminement des gros équipements et la possibilité de réalisation de la maintenance lourde (accès aux batteries terminales, au groupe moto-ventilateur pour démontage par exemple).</w:t>
      </w:r>
    </w:p>
    <w:p w:rsidR="00190C8B" w:rsidRPr="008E186D" w:rsidRDefault="00190C8B">
      <w:pPr>
        <w:rPr>
          <w:rFonts w:asciiTheme="minorHAnsi" w:hAnsiTheme="minorHAnsi" w:cstheme="minorHAnsi"/>
          <w:sz w:val="22"/>
        </w:rPr>
      </w:pP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lastRenderedPageBreak/>
        <w:t>D’une manière générale, l’étude des alimentations électriques des équipements de CVC sera liée à l’exigence de disponibilité des installations.</w:t>
      </w: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L’étude sera menée suivant les exigences de la partie courant fort, notamment vis-à-vis de la justification du dimensionnement à l’aide du logiciel CANECO.</w:t>
      </w: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Pour les alimentions électrique</w:t>
      </w:r>
      <w:r w:rsidR="00190C8B">
        <w:rPr>
          <w:rFonts w:asciiTheme="minorHAnsi" w:hAnsiTheme="minorHAnsi" w:cstheme="minorHAnsi"/>
          <w:sz w:val="22"/>
          <w:szCs w:val="22"/>
        </w:rPr>
        <w:t>s</w:t>
      </w:r>
      <w:r w:rsidRPr="008E186D">
        <w:rPr>
          <w:rFonts w:asciiTheme="minorHAnsi" w:hAnsiTheme="minorHAnsi" w:cstheme="minorHAnsi"/>
          <w:sz w:val="22"/>
          <w:szCs w:val="22"/>
        </w:rPr>
        <w:t xml:space="preserve"> des groupes de froid la règle suivante est à adopter pour le choix de l’intensité à renseigner au lot électricité :</w:t>
      </w: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 xml:space="preserve">•Pour un groupe de froid disposant d’un dispositif de limitation d’intensité : </w:t>
      </w:r>
    </w:p>
    <w:p w:rsidR="00BF3B06" w:rsidRPr="008E186D" w:rsidRDefault="00BF3B06" w:rsidP="00BF3B06">
      <w:pPr>
        <w:pStyle w:val="StyleJustifi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Intensité nominale complétée d’une marge de 20%, avec l’intensité nominale calculée sur la base d’un régime d’eau glacée 6°C/11°</w:t>
      </w:r>
      <w:r w:rsidR="003D5C09" w:rsidRPr="008E186D">
        <w:rPr>
          <w:rFonts w:asciiTheme="minorHAnsi" w:hAnsiTheme="minorHAnsi" w:cstheme="minorHAnsi"/>
          <w:sz w:val="22"/>
          <w:szCs w:val="22"/>
        </w:rPr>
        <w:t>C (</w:t>
      </w:r>
      <w:r w:rsidRPr="008E186D">
        <w:rPr>
          <w:rFonts w:asciiTheme="minorHAnsi" w:hAnsiTheme="minorHAnsi" w:cstheme="minorHAnsi"/>
          <w:sz w:val="22"/>
          <w:szCs w:val="22"/>
        </w:rPr>
        <w:t>ou 6/12°C dans le cas de l’HFME) pour une température d’air de 40°C,</w:t>
      </w:r>
    </w:p>
    <w:p w:rsidR="00BF3B06" w:rsidRPr="008E186D" w:rsidRDefault="00BF3B06" w:rsidP="00BF3B06">
      <w:pPr>
        <w:pStyle w:val="StyleJustifi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Une intensité &lt; Imax.</w:t>
      </w: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• pour un groupe de froid ne possédant pas de dispositif de limitation de l’intensité :</w:t>
      </w:r>
    </w:p>
    <w:p w:rsidR="00BF3B06" w:rsidRPr="008E186D" w:rsidRDefault="003D5C09" w:rsidP="00BF3B06">
      <w:pPr>
        <w:pStyle w:val="StyleJustifi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Une</w:t>
      </w:r>
      <w:r w:rsidR="00BF3B06" w:rsidRPr="008E186D">
        <w:rPr>
          <w:rFonts w:asciiTheme="minorHAnsi" w:hAnsiTheme="minorHAnsi" w:cstheme="minorHAnsi"/>
          <w:sz w:val="22"/>
          <w:szCs w:val="22"/>
        </w:rPr>
        <w:t xml:space="preserve"> intensité égale à l’Imax,</w:t>
      </w: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L’intérêt de prendre une marge de 20% de l’intensité nominale est de permettre de fonctionner/redémarrer dans des cas critiques.</w:t>
      </w:r>
    </w:p>
    <w:p w:rsidR="00BF3B06" w:rsidRPr="008E186D" w:rsidRDefault="00BF3B06" w:rsidP="00BF3B06">
      <w:pPr>
        <w:pStyle w:val="StyleJustifi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Température extérieure supérieure à 40°C,</w:t>
      </w:r>
    </w:p>
    <w:p w:rsidR="00BF3B06" w:rsidRPr="008E186D" w:rsidRDefault="00BF3B06" w:rsidP="00BF3B06">
      <w:pPr>
        <w:pStyle w:val="StyleJustifi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Température du réseau d’eau plus chaude suite à un arrêt de production.</w:t>
      </w: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</w:p>
    <w:p w:rsidR="00BF3B06" w:rsidRPr="008E186D" w:rsidRDefault="00BF3B06" w:rsidP="00BF3B06">
      <w:pPr>
        <w:pStyle w:val="StyleJustifi"/>
        <w:rPr>
          <w:rFonts w:asciiTheme="minorHAnsi" w:hAnsiTheme="minorHAnsi" w:cstheme="minorHAnsi"/>
          <w:sz w:val="22"/>
          <w:szCs w:val="22"/>
        </w:rPr>
      </w:pPr>
      <w:r w:rsidRPr="008E186D">
        <w:rPr>
          <w:rFonts w:asciiTheme="minorHAnsi" w:hAnsiTheme="minorHAnsi" w:cstheme="minorHAnsi"/>
          <w:sz w:val="22"/>
          <w:szCs w:val="22"/>
        </w:rPr>
        <w:t>L’Imax du GF, c’est-à-dire l’Imax plaqué</w:t>
      </w:r>
      <w:bookmarkStart w:id="0" w:name="_GoBack"/>
      <w:bookmarkEnd w:id="0"/>
      <w:r w:rsidRPr="008E186D">
        <w:rPr>
          <w:rFonts w:asciiTheme="minorHAnsi" w:hAnsiTheme="minorHAnsi" w:cstheme="minorHAnsi"/>
          <w:sz w:val="22"/>
          <w:szCs w:val="22"/>
        </w:rPr>
        <w:t xml:space="preserve"> sur la machine est également à renseigner pour le dimensionnement du câble suivant norme électrique NFC 15 100 ou UTE C 15-105.</w:t>
      </w:r>
    </w:p>
    <w:p w:rsidR="00BF3B06" w:rsidRDefault="00BF3B06"/>
    <w:sectPr w:rsidR="00BF3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59B"/>
    <w:multiLevelType w:val="hybridMultilevel"/>
    <w:tmpl w:val="00F8961E"/>
    <w:lvl w:ilvl="0" w:tplc="25801F08">
      <w:numFmt w:val="bullet"/>
      <w:lvlText w:val="-"/>
      <w:lvlJc w:val="left"/>
      <w:pPr>
        <w:ind w:left="1200" w:hanging="84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06"/>
    <w:rsid w:val="00190C8B"/>
    <w:rsid w:val="003C2A16"/>
    <w:rsid w:val="003D5C09"/>
    <w:rsid w:val="0074100C"/>
    <w:rsid w:val="008E186D"/>
    <w:rsid w:val="00914072"/>
    <w:rsid w:val="009E21BE"/>
    <w:rsid w:val="00BF3B06"/>
    <w:rsid w:val="00CC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2B2B3-D012-4B41-A39D-37E14F37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F3B06"/>
    <w:pPr>
      <w:spacing w:after="200" w:line="276" w:lineRule="auto"/>
    </w:pPr>
    <w:rPr>
      <w:rFonts w:ascii="Arial" w:eastAsia="Times New Roman" w:hAnsi="Arial" w:cs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Justifi">
    <w:name w:val="Style Justifié"/>
    <w:basedOn w:val="Normal"/>
    <w:rsid w:val="00BF3B06"/>
    <w:pPr>
      <w:spacing w:after="1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AGNIEL, Fabrice</dc:creator>
  <cp:keywords/>
  <dc:description/>
  <cp:lastModifiedBy>BERTRAND, Maxence</cp:lastModifiedBy>
  <cp:revision>5</cp:revision>
  <dcterms:created xsi:type="dcterms:W3CDTF">2024-11-12T11:00:00Z</dcterms:created>
  <dcterms:modified xsi:type="dcterms:W3CDTF">2025-01-15T12:29:00Z</dcterms:modified>
</cp:coreProperties>
</file>