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1658" w14:textId="27C7A2CC" w:rsidR="00EE3428" w:rsidRDefault="00035DCC">
      <w:pPr>
        <w:ind w:left="2640" w:right="2660"/>
        <w:rPr>
          <w:sz w:val="2"/>
        </w:rPr>
      </w:pPr>
      <w:r>
        <w:rPr>
          <w:noProof/>
        </w:rPr>
        <w:drawing>
          <wp:inline distT="0" distB="0" distL="0" distR="0" wp14:anchorId="616658E1" wp14:editId="0998036A">
            <wp:extent cx="274320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971550"/>
                    </a:xfrm>
                    <a:prstGeom prst="rect">
                      <a:avLst/>
                    </a:prstGeom>
                    <a:noFill/>
                    <a:ln>
                      <a:noFill/>
                    </a:ln>
                  </pic:spPr>
                </pic:pic>
              </a:graphicData>
            </a:graphic>
          </wp:inline>
        </w:drawing>
      </w:r>
    </w:p>
    <w:p w14:paraId="1389003E" w14:textId="77777777" w:rsidR="00EE3428" w:rsidRDefault="00EE3428">
      <w:pPr>
        <w:spacing w:after="160" w:line="240" w:lineRule="exact"/>
      </w:pPr>
    </w:p>
    <w:tbl>
      <w:tblPr>
        <w:tblW w:w="0" w:type="auto"/>
        <w:tblLayout w:type="fixed"/>
        <w:tblLook w:val="04A0" w:firstRow="1" w:lastRow="0" w:firstColumn="1" w:lastColumn="0" w:noHBand="0" w:noVBand="1"/>
      </w:tblPr>
      <w:tblGrid>
        <w:gridCol w:w="9620"/>
      </w:tblGrid>
      <w:tr w:rsidR="00EE3428" w14:paraId="33D8BA72" w14:textId="77777777">
        <w:tc>
          <w:tcPr>
            <w:tcW w:w="9620" w:type="dxa"/>
            <w:shd w:val="clear" w:color="666553" w:fill="666553"/>
            <w:tcMar>
              <w:top w:w="30" w:type="dxa"/>
              <w:left w:w="0" w:type="dxa"/>
              <w:bottom w:w="0" w:type="dxa"/>
              <w:right w:w="0" w:type="dxa"/>
            </w:tcMar>
            <w:vAlign w:val="center"/>
          </w:tcPr>
          <w:p w14:paraId="09DB0EF0" w14:textId="77777777" w:rsidR="00EE3428" w:rsidRDefault="00035DCC">
            <w:pPr>
              <w:jc w:val="center"/>
              <w:rPr>
                <w:rFonts w:ascii="Century Gothic" w:eastAsia="Century Gothic" w:hAnsi="Century Gothic" w:cs="Century Gothic"/>
                <w:b/>
                <w:color w:val="FFFFFF"/>
                <w:sz w:val="28"/>
                <w:lang w:val="fr-FR"/>
              </w:rPr>
            </w:pPr>
            <w:r>
              <w:rPr>
                <w:rFonts w:ascii="Century Gothic" w:eastAsia="Century Gothic" w:hAnsi="Century Gothic" w:cs="Century Gothic"/>
                <w:b/>
                <w:color w:val="FFFFFF"/>
                <w:sz w:val="28"/>
                <w:lang w:val="fr-FR"/>
              </w:rPr>
              <w:t>RÈGLEMENT DE LA CONSULTATION</w:t>
            </w:r>
          </w:p>
        </w:tc>
      </w:tr>
    </w:tbl>
    <w:p w14:paraId="1C75762B" w14:textId="77777777" w:rsidR="00EE3428" w:rsidRDefault="00035DCC">
      <w:pPr>
        <w:spacing w:line="240" w:lineRule="exact"/>
      </w:pPr>
      <w:r>
        <w:t xml:space="preserve"> </w:t>
      </w:r>
    </w:p>
    <w:p w14:paraId="6142FF6C" w14:textId="77777777" w:rsidR="00EE3428" w:rsidRDefault="00EE3428">
      <w:pPr>
        <w:spacing w:after="120" w:line="240" w:lineRule="exact"/>
      </w:pPr>
    </w:p>
    <w:p w14:paraId="624DCE17" w14:textId="77777777" w:rsidR="00EE3428" w:rsidRDefault="00035DCC">
      <w:pPr>
        <w:jc w:val="center"/>
        <w:rPr>
          <w:rFonts w:ascii="Century Gothic" w:eastAsia="Century Gothic" w:hAnsi="Century Gothic" w:cs="Century Gothic"/>
          <w:b/>
          <w:color w:val="000000"/>
          <w:sz w:val="28"/>
          <w:lang w:val="fr-FR"/>
        </w:rPr>
      </w:pPr>
      <w:r>
        <w:rPr>
          <w:rFonts w:ascii="Century Gothic" w:eastAsia="Century Gothic" w:hAnsi="Century Gothic" w:cs="Century Gothic"/>
          <w:b/>
          <w:color w:val="000000"/>
          <w:sz w:val="28"/>
          <w:lang w:val="fr-FR"/>
        </w:rPr>
        <w:t>MARCHÉ PUBLIC D'ÉTUDES</w:t>
      </w:r>
    </w:p>
    <w:p w14:paraId="5DE82BDC" w14:textId="77777777" w:rsidR="00EE3428" w:rsidRDefault="00EE3428">
      <w:pPr>
        <w:spacing w:line="240" w:lineRule="exact"/>
      </w:pPr>
    </w:p>
    <w:p w14:paraId="2EE77927" w14:textId="77777777" w:rsidR="00EE3428" w:rsidRDefault="00EE3428">
      <w:pPr>
        <w:spacing w:line="240" w:lineRule="exact"/>
      </w:pPr>
    </w:p>
    <w:p w14:paraId="011FAC08" w14:textId="77777777" w:rsidR="00EE3428" w:rsidRDefault="00EE3428">
      <w:pPr>
        <w:spacing w:line="240" w:lineRule="exact"/>
      </w:pPr>
    </w:p>
    <w:p w14:paraId="371760BC" w14:textId="77777777" w:rsidR="00EE3428" w:rsidRDefault="00EE3428">
      <w:pPr>
        <w:spacing w:line="240" w:lineRule="exact"/>
      </w:pPr>
    </w:p>
    <w:p w14:paraId="16E6DE1F" w14:textId="77777777" w:rsidR="00EE3428" w:rsidRDefault="00EE3428">
      <w:pPr>
        <w:spacing w:line="240" w:lineRule="exact"/>
      </w:pPr>
    </w:p>
    <w:p w14:paraId="31E417B1" w14:textId="77777777" w:rsidR="00EE3428" w:rsidRDefault="00EE3428">
      <w:pPr>
        <w:spacing w:line="240" w:lineRule="exact"/>
      </w:pPr>
    </w:p>
    <w:p w14:paraId="166D9F45" w14:textId="77777777" w:rsidR="00EE3428" w:rsidRDefault="00EE3428">
      <w:pPr>
        <w:spacing w:line="240" w:lineRule="exact"/>
      </w:pPr>
    </w:p>
    <w:p w14:paraId="0683D5DD" w14:textId="77777777" w:rsidR="00EE3428" w:rsidRDefault="00EE3428">
      <w:pPr>
        <w:spacing w:after="180" w:line="240" w:lineRule="exact"/>
      </w:pPr>
    </w:p>
    <w:tbl>
      <w:tblPr>
        <w:tblW w:w="0" w:type="auto"/>
        <w:tblInd w:w="1260" w:type="dxa"/>
        <w:tblLayout w:type="fixed"/>
        <w:tblLook w:val="04A0" w:firstRow="1" w:lastRow="0" w:firstColumn="1" w:lastColumn="0" w:noHBand="0" w:noVBand="1"/>
      </w:tblPr>
      <w:tblGrid>
        <w:gridCol w:w="7100"/>
      </w:tblGrid>
      <w:tr w:rsidR="00EE3428" w14:paraId="244D77E0"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0AB030D1" w14:textId="444F75DC" w:rsidR="00EE3428" w:rsidRDefault="00035DCC">
            <w:pPr>
              <w:spacing w:line="343" w:lineRule="exact"/>
              <w:jc w:val="center"/>
              <w:rPr>
                <w:rFonts w:ascii="Century Gothic" w:eastAsia="Century Gothic" w:hAnsi="Century Gothic" w:cs="Century Gothic"/>
                <w:b/>
                <w:color w:val="000000"/>
                <w:sz w:val="28"/>
                <w:lang w:val="fr-FR"/>
              </w:rPr>
            </w:pPr>
            <w:r>
              <w:rPr>
                <w:rFonts w:ascii="Century Gothic" w:eastAsia="Century Gothic" w:hAnsi="Century Gothic" w:cs="Century Gothic"/>
                <w:b/>
                <w:color w:val="000000"/>
                <w:sz w:val="28"/>
                <w:lang w:val="fr-FR"/>
              </w:rPr>
              <w:t>Assistance à maitrise d'ouvrage, études de programmation et conduite d'opération pour la construction d'un</w:t>
            </w:r>
            <w:r w:rsidR="008C208C">
              <w:rPr>
                <w:rFonts w:ascii="Century Gothic" w:eastAsia="Century Gothic" w:hAnsi="Century Gothic" w:cs="Century Gothic"/>
                <w:b/>
                <w:color w:val="000000"/>
                <w:sz w:val="28"/>
                <w:lang w:val="fr-FR"/>
              </w:rPr>
              <w:t xml:space="preserve"> hôpital de jour sur Briec</w:t>
            </w:r>
          </w:p>
        </w:tc>
      </w:tr>
    </w:tbl>
    <w:p w14:paraId="4AFC9DD2" w14:textId="77777777" w:rsidR="00EE3428" w:rsidRDefault="00035DCC">
      <w:pPr>
        <w:spacing w:line="240" w:lineRule="exact"/>
      </w:pPr>
      <w:r>
        <w:t xml:space="preserve"> </w:t>
      </w:r>
    </w:p>
    <w:p w14:paraId="583F6C23" w14:textId="77777777" w:rsidR="00EE3428" w:rsidRDefault="00EE3428">
      <w:pPr>
        <w:spacing w:after="180" w:line="240" w:lineRule="exact"/>
      </w:pPr>
    </w:p>
    <w:p w14:paraId="1424554E" w14:textId="77777777" w:rsidR="00EE3428" w:rsidRDefault="00035DCC">
      <w:pPr>
        <w:spacing w:before="40"/>
        <w:jc w:val="center"/>
        <w:rPr>
          <w:rFonts w:ascii="Century Gothic" w:eastAsia="Century Gothic" w:hAnsi="Century Gothic" w:cs="Century Gothic"/>
          <w:color w:val="000000"/>
          <w:lang w:val="fr-FR"/>
        </w:rPr>
      </w:pPr>
      <w:r>
        <w:rPr>
          <w:rFonts w:ascii="Century Gothic" w:eastAsia="Century Gothic" w:hAnsi="Century Gothic" w:cs="Century Gothic"/>
          <w:color w:val="000000"/>
          <w:lang w:val="fr-FR"/>
        </w:rPr>
        <w:t>Date et heure limites de réception des offres :</w:t>
      </w:r>
    </w:p>
    <w:p w14:paraId="50E95BF7" w14:textId="77777777" w:rsidR="00EE3428" w:rsidRDefault="00035DCC">
      <w:pPr>
        <w:spacing w:before="40"/>
        <w:jc w:val="center"/>
        <w:rPr>
          <w:rFonts w:ascii="Century Gothic" w:eastAsia="Century Gothic" w:hAnsi="Century Gothic" w:cs="Century Gothic"/>
          <w:color w:val="000000"/>
          <w:lang w:val="fr-FR"/>
        </w:rPr>
      </w:pPr>
      <w:proofErr w:type="gramStart"/>
      <w:r>
        <w:rPr>
          <w:rFonts w:ascii="Century Gothic" w:eastAsia="Century Gothic" w:hAnsi="Century Gothic" w:cs="Century Gothic"/>
          <w:color w:val="000000"/>
          <w:lang w:val="fr-FR"/>
        </w:rPr>
        <w:t>lundi</w:t>
      </w:r>
      <w:proofErr w:type="gramEnd"/>
      <w:r>
        <w:rPr>
          <w:rFonts w:ascii="Century Gothic" w:eastAsia="Century Gothic" w:hAnsi="Century Gothic" w:cs="Century Gothic"/>
          <w:color w:val="000000"/>
          <w:lang w:val="fr-FR"/>
        </w:rPr>
        <w:t xml:space="preserve"> 04 mars 2024 à 20:00</w:t>
      </w:r>
    </w:p>
    <w:p w14:paraId="2379E946" w14:textId="77777777" w:rsidR="00EE3428" w:rsidRDefault="00EE3428">
      <w:pPr>
        <w:spacing w:line="240" w:lineRule="exact"/>
      </w:pPr>
    </w:p>
    <w:p w14:paraId="16F6F467" w14:textId="77777777" w:rsidR="00EE3428" w:rsidRDefault="00EE3428">
      <w:pPr>
        <w:spacing w:line="240" w:lineRule="exact"/>
      </w:pPr>
    </w:p>
    <w:p w14:paraId="1B0AE252" w14:textId="77777777" w:rsidR="00EE3428" w:rsidRDefault="00EE3428">
      <w:pPr>
        <w:spacing w:line="240" w:lineRule="exact"/>
      </w:pPr>
    </w:p>
    <w:p w14:paraId="0B992189" w14:textId="77777777" w:rsidR="00EE3428" w:rsidRDefault="00EE3428">
      <w:pPr>
        <w:spacing w:line="240" w:lineRule="exact"/>
      </w:pPr>
    </w:p>
    <w:p w14:paraId="0CA82BA9" w14:textId="77777777" w:rsidR="00EE3428" w:rsidRDefault="00EE3428">
      <w:pPr>
        <w:spacing w:line="240" w:lineRule="exact"/>
      </w:pPr>
    </w:p>
    <w:p w14:paraId="2A9FB049" w14:textId="77777777" w:rsidR="00EE3428" w:rsidRDefault="00EE3428">
      <w:pPr>
        <w:spacing w:line="240" w:lineRule="exact"/>
      </w:pPr>
    </w:p>
    <w:p w14:paraId="4B3ABBB5" w14:textId="77777777" w:rsidR="00EE3428" w:rsidRDefault="00EE3428">
      <w:pPr>
        <w:spacing w:line="240" w:lineRule="exact"/>
      </w:pPr>
    </w:p>
    <w:p w14:paraId="273FEAC5" w14:textId="77777777" w:rsidR="00EE3428" w:rsidRDefault="00EE3428">
      <w:pPr>
        <w:spacing w:line="240" w:lineRule="exact"/>
      </w:pPr>
    </w:p>
    <w:p w14:paraId="5A1E3D24" w14:textId="77777777" w:rsidR="00EE3428" w:rsidRDefault="00035DCC">
      <w:pPr>
        <w:spacing w:line="294" w:lineRule="exact"/>
        <w:jc w:val="center"/>
        <w:rPr>
          <w:rFonts w:ascii="Century Gothic" w:eastAsia="Century Gothic" w:hAnsi="Century Gothic" w:cs="Century Gothic"/>
          <w:b/>
          <w:color w:val="000000"/>
          <w:lang w:val="fr-FR"/>
        </w:rPr>
      </w:pPr>
      <w:r>
        <w:rPr>
          <w:rFonts w:ascii="Century Gothic" w:eastAsia="Century Gothic" w:hAnsi="Century Gothic" w:cs="Century Gothic"/>
          <w:b/>
          <w:color w:val="000000"/>
          <w:lang w:val="fr-FR"/>
        </w:rPr>
        <w:t>EPSM DU FINISTERE SUD</w:t>
      </w:r>
    </w:p>
    <w:p w14:paraId="551C630C" w14:textId="77777777" w:rsidR="00EE3428" w:rsidRDefault="00035DCC">
      <w:pPr>
        <w:spacing w:line="294" w:lineRule="exact"/>
        <w:jc w:val="center"/>
        <w:rPr>
          <w:rFonts w:ascii="Century Gothic" w:eastAsia="Century Gothic" w:hAnsi="Century Gothic" w:cs="Century Gothic"/>
          <w:color w:val="000000"/>
          <w:lang w:val="fr-FR"/>
        </w:rPr>
      </w:pPr>
      <w:r>
        <w:rPr>
          <w:rFonts w:ascii="Century Gothic" w:eastAsia="Century Gothic" w:hAnsi="Century Gothic" w:cs="Century Gothic"/>
          <w:b/>
          <w:color w:val="000000"/>
          <w:lang w:val="fr-FR"/>
        </w:rPr>
        <w:t xml:space="preserve">Référent achats </w:t>
      </w:r>
    </w:p>
    <w:p w14:paraId="3D109C73" w14:textId="77777777" w:rsidR="00EE3428" w:rsidRDefault="00035DCC">
      <w:pPr>
        <w:spacing w:line="294" w:lineRule="exact"/>
        <w:jc w:val="center"/>
        <w:rPr>
          <w:rFonts w:ascii="Century Gothic" w:eastAsia="Century Gothic" w:hAnsi="Century Gothic" w:cs="Century Gothic"/>
          <w:color w:val="000000"/>
          <w:lang w:val="fr-FR"/>
        </w:rPr>
      </w:pPr>
      <w:r>
        <w:rPr>
          <w:rFonts w:ascii="Century Gothic" w:eastAsia="Century Gothic" w:hAnsi="Century Gothic" w:cs="Century Gothic"/>
          <w:color w:val="000000"/>
          <w:lang w:val="fr-FR"/>
        </w:rPr>
        <w:t>18 HENT GLAZ</w:t>
      </w:r>
    </w:p>
    <w:p w14:paraId="414EC07E" w14:textId="77777777" w:rsidR="00EE3428" w:rsidRDefault="00035DCC">
      <w:pPr>
        <w:spacing w:line="294" w:lineRule="exact"/>
        <w:jc w:val="center"/>
        <w:rPr>
          <w:rFonts w:ascii="Century Gothic" w:eastAsia="Century Gothic" w:hAnsi="Century Gothic" w:cs="Century Gothic"/>
          <w:color w:val="000000"/>
          <w:lang w:val="fr-FR"/>
        </w:rPr>
      </w:pPr>
      <w:r>
        <w:rPr>
          <w:rFonts w:ascii="Century Gothic" w:eastAsia="Century Gothic" w:hAnsi="Century Gothic" w:cs="Century Gothic"/>
          <w:color w:val="000000"/>
          <w:lang w:val="fr-FR"/>
        </w:rPr>
        <w:t>CS 16003</w:t>
      </w:r>
    </w:p>
    <w:p w14:paraId="053B7E04" w14:textId="77777777" w:rsidR="00EE3428" w:rsidRDefault="00035DCC">
      <w:pPr>
        <w:spacing w:line="294" w:lineRule="exact"/>
        <w:jc w:val="center"/>
        <w:rPr>
          <w:rFonts w:ascii="Century Gothic" w:eastAsia="Century Gothic" w:hAnsi="Century Gothic" w:cs="Century Gothic"/>
          <w:color w:val="000000"/>
          <w:lang w:val="fr-FR"/>
        </w:rPr>
      </w:pPr>
      <w:r>
        <w:rPr>
          <w:rFonts w:ascii="Century Gothic" w:eastAsia="Century Gothic" w:hAnsi="Century Gothic" w:cs="Century Gothic"/>
          <w:color w:val="000000"/>
          <w:lang w:val="fr-FR"/>
        </w:rPr>
        <w:t>29107 QUIMPER Cedex</w:t>
      </w:r>
    </w:p>
    <w:p w14:paraId="565E0391" w14:textId="77777777" w:rsidR="00EE3428" w:rsidRDefault="00EE3428">
      <w:pPr>
        <w:spacing w:line="294" w:lineRule="exact"/>
        <w:jc w:val="center"/>
        <w:rPr>
          <w:rFonts w:ascii="Century Gothic" w:eastAsia="Century Gothic" w:hAnsi="Century Gothic" w:cs="Century Gothic"/>
          <w:color w:val="000000"/>
          <w:lang w:val="fr-FR"/>
        </w:rPr>
        <w:sectPr w:rsidR="00EE3428">
          <w:pgSz w:w="11900" w:h="16840"/>
          <w:pgMar w:top="1400" w:right="1140" w:bottom="1440" w:left="1140" w:header="1400" w:footer="1440" w:gutter="0"/>
          <w:cols w:space="708"/>
        </w:sectPr>
      </w:pPr>
    </w:p>
    <w:p w14:paraId="6FBBC0A4" w14:textId="77777777" w:rsidR="00EE3428" w:rsidRDefault="00EE3428">
      <w:pPr>
        <w:spacing w:line="240" w:lineRule="exact"/>
      </w:pPr>
    </w:p>
    <w:p w14:paraId="10DA5429" w14:textId="77777777" w:rsidR="00EE3428" w:rsidRDefault="00EE3428">
      <w:pPr>
        <w:spacing w:line="240" w:lineRule="exact"/>
      </w:pPr>
    </w:p>
    <w:p w14:paraId="22DB50AF" w14:textId="77777777" w:rsidR="00EE3428" w:rsidRDefault="00EE3428">
      <w:pPr>
        <w:spacing w:line="240" w:lineRule="exact"/>
      </w:pPr>
    </w:p>
    <w:p w14:paraId="52B30E5C" w14:textId="77777777" w:rsidR="00EE3428" w:rsidRDefault="00EE3428">
      <w:pPr>
        <w:spacing w:after="140" w:line="240" w:lineRule="exact"/>
      </w:pPr>
    </w:p>
    <w:tbl>
      <w:tblPr>
        <w:tblW w:w="0" w:type="auto"/>
        <w:tblLayout w:type="fixed"/>
        <w:tblLook w:val="04A0" w:firstRow="1" w:lastRow="0" w:firstColumn="1" w:lastColumn="0" w:noHBand="0" w:noVBand="1"/>
      </w:tblPr>
      <w:tblGrid>
        <w:gridCol w:w="1200"/>
        <w:gridCol w:w="2400"/>
        <w:gridCol w:w="6000"/>
      </w:tblGrid>
      <w:tr w:rsidR="00EE3428" w14:paraId="786C61D2" w14:textId="77777777">
        <w:trPr>
          <w:trHeight w:val="585"/>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3A3AAF85" w14:textId="77777777" w:rsidR="00EE3428" w:rsidRDefault="00035DCC">
            <w:pPr>
              <w:pStyle w:val="Titletable"/>
              <w:jc w:val="center"/>
              <w:rPr>
                <w:lang w:val="fr-FR"/>
              </w:rPr>
            </w:pPr>
            <w:r>
              <w:rPr>
                <w:lang w:val="fr-FR"/>
              </w:rPr>
              <w:t>L'ESSENTIEL DE LA PROCÉDURE</w:t>
            </w:r>
          </w:p>
        </w:tc>
      </w:tr>
      <w:tr w:rsidR="00EE3428" w14:paraId="086A244A" w14:textId="77777777">
        <w:trPr>
          <w:trHeight w:val="12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F1B3B1" w14:textId="77777777" w:rsidR="00EE3428" w:rsidRDefault="00EE3428">
            <w:pPr>
              <w:spacing w:after="220" w:line="240" w:lineRule="exact"/>
            </w:pPr>
          </w:p>
          <w:p w14:paraId="038777A1" w14:textId="3E5D7C72" w:rsidR="00EE3428" w:rsidRDefault="00035DCC">
            <w:pPr>
              <w:ind w:left="420"/>
              <w:rPr>
                <w:sz w:val="2"/>
              </w:rPr>
            </w:pPr>
            <w:r>
              <w:rPr>
                <w:noProof/>
              </w:rPr>
              <w:drawing>
                <wp:inline distT="0" distB="0" distL="0" distR="0" wp14:anchorId="2E6CA7A0" wp14:editId="55948920">
                  <wp:extent cx="228600" cy="228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5055F" w14:textId="77777777" w:rsidR="00EE3428" w:rsidRDefault="00035DCC">
            <w:pPr>
              <w:spacing w:before="4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Objet</w:t>
            </w:r>
          </w:p>
          <w:p w14:paraId="7EABFBF4" w14:textId="77777777" w:rsidR="00EE3428" w:rsidRDefault="00EE3428">
            <w:pPr>
              <w:spacing w:after="40" w:line="240" w:lineRule="exact"/>
            </w:pP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EDB5F4" w14:textId="7F2A06D5" w:rsidR="00EE3428" w:rsidRDefault="00035DCC">
            <w:pPr>
              <w:spacing w:before="120" w:after="120" w:line="245" w:lineRule="exact"/>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Assistance à maitrise d'ouvrage, études de programmation et conduite d'opération pour la construction d'un</w:t>
            </w:r>
            <w:r w:rsidR="00C471B7">
              <w:rPr>
                <w:rFonts w:ascii="Century Gothic" w:eastAsia="Century Gothic" w:hAnsi="Century Gothic" w:cs="Century Gothic"/>
                <w:color w:val="000000"/>
                <w:sz w:val="20"/>
                <w:lang w:val="fr-FR"/>
              </w:rPr>
              <w:t xml:space="preserve"> hôpital de jour sur Briec</w:t>
            </w:r>
          </w:p>
        </w:tc>
      </w:tr>
      <w:tr w:rsidR="00EE3428" w14:paraId="301BDCC0"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FEEBC5" w14:textId="77777777" w:rsidR="00EE3428" w:rsidRDefault="00EE3428">
            <w:pPr>
              <w:spacing w:line="220" w:lineRule="exact"/>
              <w:rPr>
                <w:sz w:val="22"/>
              </w:rPr>
            </w:pPr>
          </w:p>
          <w:p w14:paraId="50A7C9F2" w14:textId="020347F8" w:rsidR="00EE3428" w:rsidRDefault="00035DCC">
            <w:pPr>
              <w:ind w:left="420"/>
              <w:rPr>
                <w:sz w:val="2"/>
              </w:rPr>
            </w:pPr>
            <w:r>
              <w:rPr>
                <w:noProof/>
              </w:rPr>
              <w:drawing>
                <wp:inline distT="0" distB="0" distL="0" distR="0" wp14:anchorId="19677095" wp14:editId="1F224D7C">
                  <wp:extent cx="228600" cy="228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FB199C" w14:textId="77777777" w:rsidR="00EE3428" w:rsidRDefault="00035DCC">
            <w:pPr>
              <w:spacing w:before="200" w:after="1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12678F"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Procédure adaptée ouverte</w:t>
            </w:r>
          </w:p>
        </w:tc>
      </w:tr>
      <w:tr w:rsidR="00EE3428" w14:paraId="73EC04FC"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F078B5" w14:textId="77777777" w:rsidR="00EE3428" w:rsidRDefault="00EE3428">
            <w:pPr>
              <w:spacing w:line="220" w:lineRule="exact"/>
              <w:rPr>
                <w:sz w:val="22"/>
              </w:rPr>
            </w:pPr>
          </w:p>
          <w:p w14:paraId="1F53921F" w14:textId="62A532D4" w:rsidR="00EE3428" w:rsidRDefault="00035DCC">
            <w:pPr>
              <w:ind w:left="420"/>
              <w:rPr>
                <w:sz w:val="2"/>
              </w:rPr>
            </w:pPr>
            <w:r>
              <w:rPr>
                <w:noProof/>
              </w:rPr>
              <w:drawing>
                <wp:inline distT="0" distB="0" distL="0" distR="0" wp14:anchorId="3056B43C" wp14:editId="7EC18F59">
                  <wp:extent cx="228600" cy="228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1964FC" w14:textId="77777777" w:rsidR="00EE3428" w:rsidRDefault="00035DCC">
            <w:pPr>
              <w:spacing w:before="200" w:after="1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43FA74"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Marché public</w:t>
            </w:r>
          </w:p>
        </w:tc>
      </w:tr>
      <w:tr w:rsidR="00EE3428" w14:paraId="5B6C7E02"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883760" w14:textId="77777777" w:rsidR="00EE3428" w:rsidRDefault="00EE3428">
            <w:pPr>
              <w:spacing w:line="220" w:lineRule="exact"/>
              <w:rPr>
                <w:sz w:val="22"/>
              </w:rPr>
            </w:pPr>
          </w:p>
          <w:p w14:paraId="44C13338" w14:textId="0A177341" w:rsidR="00EE3428" w:rsidRDefault="00035DCC">
            <w:pPr>
              <w:ind w:left="420"/>
              <w:rPr>
                <w:sz w:val="2"/>
              </w:rPr>
            </w:pPr>
            <w:r>
              <w:rPr>
                <w:noProof/>
              </w:rPr>
              <w:drawing>
                <wp:inline distT="0" distB="0" distL="0" distR="0" wp14:anchorId="094D2CCE" wp14:editId="052C286C">
                  <wp:extent cx="228600" cy="228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D6C0E9" w14:textId="77777777" w:rsidR="00EE3428" w:rsidRDefault="00035DCC">
            <w:pPr>
              <w:spacing w:before="200" w:after="1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B3951E"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0</w:t>
            </w:r>
          </w:p>
        </w:tc>
      </w:tr>
      <w:tr w:rsidR="00EE3428" w14:paraId="60F72E6D"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2AF1F5" w14:textId="77777777" w:rsidR="00EE3428" w:rsidRDefault="00EE3428">
            <w:pPr>
              <w:spacing w:line="220" w:lineRule="exact"/>
              <w:rPr>
                <w:sz w:val="22"/>
              </w:rPr>
            </w:pPr>
          </w:p>
          <w:p w14:paraId="46913F09" w14:textId="18735423" w:rsidR="00EE3428" w:rsidRDefault="00035DCC">
            <w:pPr>
              <w:ind w:left="420"/>
              <w:rPr>
                <w:sz w:val="2"/>
              </w:rPr>
            </w:pPr>
            <w:r>
              <w:rPr>
                <w:noProof/>
              </w:rPr>
              <w:drawing>
                <wp:inline distT="0" distB="0" distL="0" distR="0" wp14:anchorId="70BC877E" wp14:editId="623B4FDA">
                  <wp:extent cx="228600" cy="228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2C2000" w14:textId="77777777" w:rsidR="00EE3428" w:rsidRDefault="00035DCC">
            <w:pPr>
              <w:spacing w:before="120" w:after="120" w:line="245" w:lineRule="exact"/>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D470C6"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120 jours</w:t>
            </w:r>
          </w:p>
        </w:tc>
      </w:tr>
      <w:tr w:rsidR="00EE3428" w14:paraId="0775CB8E"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BCE4EB" w14:textId="77777777" w:rsidR="00EE3428" w:rsidRDefault="00EE3428">
            <w:pPr>
              <w:spacing w:line="220" w:lineRule="exact"/>
              <w:rPr>
                <w:sz w:val="22"/>
              </w:rPr>
            </w:pPr>
          </w:p>
          <w:p w14:paraId="3AA6AC44" w14:textId="3C48EE80" w:rsidR="00EE3428" w:rsidRDefault="00035DCC">
            <w:pPr>
              <w:ind w:left="420"/>
              <w:rPr>
                <w:sz w:val="2"/>
              </w:rPr>
            </w:pPr>
            <w:r>
              <w:rPr>
                <w:noProof/>
              </w:rPr>
              <w:drawing>
                <wp:inline distT="0" distB="0" distL="0" distR="0" wp14:anchorId="0BA6D082" wp14:editId="1080E7CA">
                  <wp:extent cx="228600" cy="228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2B7C94" w14:textId="77777777" w:rsidR="00EE3428" w:rsidRDefault="00035DCC">
            <w:pPr>
              <w:spacing w:before="120" w:after="120" w:line="245" w:lineRule="exact"/>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57055E"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Aucune forme de groupement imposée à l'attributaire</w:t>
            </w:r>
          </w:p>
        </w:tc>
      </w:tr>
      <w:tr w:rsidR="00EE3428" w14:paraId="0862450A"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0EC959" w14:textId="77777777" w:rsidR="00EE3428" w:rsidRDefault="00EE3428">
            <w:pPr>
              <w:spacing w:line="220" w:lineRule="exact"/>
              <w:rPr>
                <w:sz w:val="22"/>
              </w:rPr>
            </w:pPr>
          </w:p>
          <w:p w14:paraId="4B4F2F1A" w14:textId="0E60E191" w:rsidR="00EE3428" w:rsidRDefault="00035DCC">
            <w:pPr>
              <w:ind w:left="420"/>
              <w:rPr>
                <w:sz w:val="2"/>
              </w:rPr>
            </w:pPr>
            <w:r>
              <w:rPr>
                <w:noProof/>
              </w:rPr>
              <w:drawing>
                <wp:inline distT="0" distB="0" distL="0" distR="0" wp14:anchorId="1999B5B7" wp14:editId="7333340E">
                  <wp:extent cx="228600" cy="228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CED522" w14:textId="77777777" w:rsidR="00EE3428" w:rsidRDefault="00035DCC">
            <w:pPr>
              <w:spacing w:before="200" w:after="1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D34748"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Avec</w:t>
            </w:r>
          </w:p>
        </w:tc>
      </w:tr>
      <w:tr w:rsidR="00EE3428" w14:paraId="3A9F9F79"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FF46BB" w14:textId="77777777" w:rsidR="00EE3428" w:rsidRDefault="00EE3428">
            <w:pPr>
              <w:spacing w:line="220" w:lineRule="exact"/>
              <w:rPr>
                <w:sz w:val="22"/>
              </w:rPr>
            </w:pPr>
          </w:p>
          <w:p w14:paraId="28495352" w14:textId="06724FC7" w:rsidR="00EE3428" w:rsidRDefault="00035DCC">
            <w:pPr>
              <w:ind w:left="420"/>
              <w:rPr>
                <w:sz w:val="2"/>
              </w:rPr>
            </w:pPr>
            <w:r>
              <w:rPr>
                <w:noProof/>
              </w:rPr>
              <w:drawing>
                <wp:inline distT="0" distB="0" distL="0" distR="0" wp14:anchorId="38DCE095" wp14:editId="16C45EB7">
                  <wp:extent cx="228600" cy="228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0E2D09" w14:textId="77777777" w:rsidR="00EE3428" w:rsidRDefault="00035DCC">
            <w:pPr>
              <w:spacing w:before="200" w:after="1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E2673E"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Sans</w:t>
            </w:r>
          </w:p>
        </w:tc>
      </w:tr>
      <w:tr w:rsidR="00EE3428" w14:paraId="2C742B23"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B5B8A8" w14:textId="77777777" w:rsidR="00EE3428" w:rsidRDefault="00EE3428">
            <w:pPr>
              <w:spacing w:line="220" w:lineRule="exact"/>
              <w:rPr>
                <w:sz w:val="22"/>
              </w:rPr>
            </w:pPr>
          </w:p>
          <w:p w14:paraId="0E79B464" w14:textId="422D0FAF" w:rsidR="00EE3428" w:rsidRDefault="00035DCC">
            <w:pPr>
              <w:ind w:left="420"/>
              <w:rPr>
                <w:sz w:val="2"/>
              </w:rPr>
            </w:pPr>
            <w:r>
              <w:rPr>
                <w:noProof/>
              </w:rPr>
              <w:drawing>
                <wp:inline distT="0" distB="0" distL="0" distR="0" wp14:anchorId="0CA08953" wp14:editId="2377B37A">
                  <wp:extent cx="228600" cy="228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0A0C02" w14:textId="77777777" w:rsidR="00EE3428" w:rsidRDefault="00035DCC">
            <w:pPr>
              <w:spacing w:before="200" w:after="1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Clause sociale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7BA4F6"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Sans</w:t>
            </w:r>
          </w:p>
        </w:tc>
      </w:tr>
      <w:tr w:rsidR="00EE3428" w14:paraId="62950F01"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A7B946" w14:textId="77777777" w:rsidR="00EE3428" w:rsidRDefault="00EE3428">
            <w:pPr>
              <w:spacing w:line="220" w:lineRule="exact"/>
              <w:rPr>
                <w:sz w:val="22"/>
              </w:rPr>
            </w:pPr>
          </w:p>
          <w:p w14:paraId="607BB148" w14:textId="1ECB2F3C" w:rsidR="00EE3428" w:rsidRDefault="00035DCC">
            <w:pPr>
              <w:ind w:left="420"/>
              <w:rPr>
                <w:sz w:val="2"/>
              </w:rPr>
            </w:pPr>
            <w:r>
              <w:rPr>
                <w:noProof/>
              </w:rPr>
              <w:drawing>
                <wp:inline distT="0" distB="0" distL="0" distR="0" wp14:anchorId="05C0FCCA" wp14:editId="1FBFDE98">
                  <wp:extent cx="228600" cy="228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4D04EE" w14:textId="77777777" w:rsidR="00EE3428" w:rsidRDefault="00035DCC">
            <w:pPr>
              <w:spacing w:before="120" w:after="120" w:line="245" w:lineRule="exact"/>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C2D5E9"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Sans</w:t>
            </w:r>
          </w:p>
        </w:tc>
      </w:tr>
      <w:tr w:rsidR="00EE3428" w14:paraId="476867DF"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6D7E85" w14:textId="77777777" w:rsidR="00EE3428" w:rsidRDefault="00EE3428">
            <w:pPr>
              <w:spacing w:line="220" w:lineRule="exact"/>
              <w:rPr>
                <w:sz w:val="22"/>
              </w:rPr>
            </w:pPr>
          </w:p>
          <w:p w14:paraId="029B700A" w14:textId="2209A33E" w:rsidR="00EE3428" w:rsidRDefault="00035DCC">
            <w:pPr>
              <w:ind w:left="420"/>
              <w:rPr>
                <w:sz w:val="2"/>
              </w:rPr>
            </w:pPr>
            <w:r>
              <w:rPr>
                <w:noProof/>
              </w:rPr>
              <w:drawing>
                <wp:inline distT="0" distB="0" distL="0" distR="0" wp14:anchorId="57AE775F" wp14:editId="40268D5B">
                  <wp:extent cx="228600" cy="228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25DA32" w14:textId="77777777" w:rsidR="00EE3428" w:rsidRDefault="00035DCC">
            <w:pPr>
              <w:spacing w:before="200" w:after="1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306A3C"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2 ans et 6 mois</w:t>
            </w:r>
          </w:p>
        </w:tc>
      </w:tr>
      <w:tr w:rsidR="00EE3428" w14:paraId="267A4D22" w14:textId="77777777">
        <w:trPr>
          <w:trHeight w:val="785"/>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65BB51" w14:textId="77777777" w:rsidR="00EE3428" w:rsidRDefault="00EE3428">
            <w:pPr>
              <w:spacing w:line="220" w:lineRule="exact"/>
              <w:rPr>
                <w:sz w:val="22"/>
              </w:rPr>
            </w:pPr>
          </w:p>
          <w:p w14:paraId="58CFDC14" w14:textId="32338033" w:rsidR="00EE3428" w:rsidRDefault="00035DCC">
            <w:pPr>
              <w:ind w:left="420"/>
              <w:rPr>
                <w:sz w:val="2"/>
              </w:rPr>
            </w:pPr>
            <w:r>
              <w:rPr>
                <w:noProof/>
              </w:rPr>
              <w:drawing>
                <wp:inline distT="0" distB="0" distL="0" distR="0" wp14:anchorId="5B2654DF" wp14:editId="33A092FB">
                  <wp:extent cx="228600" cy="228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3ADA4F" w14:textId="77777777" w:rsidR="00EE3428" w:rsidRDefault="00035DCC">
            <w:pPr>
              <w:spacing w:before="200" w:after="180"/>
              <w:ind w:left="160" w:right="160"/>
              <w:rPr>
                <w:rFonts w:ascii="Century Gothic" w:eastAsia="Century Gothic" w:hAnsi="Century Gothic" w:cs="Century Gothic"/>
                <w:b/>
                <w:color w:val="000000"/>
                <w:sz w:val="20"/>
                <w:lang w:val="fr-FR"/>
              </w:rPr>
            </w:pPr>
            <w:r>
              <w:rPr>
                <w:rFonts w:ascii="Century Gothic" w:eastAsia="Century Gothic" w:hAnsi="Century Gothic" w:cs="Century Gothic"/>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5E9E2" w14:textId="77777777" w:rsidR="00EE3428" w:rsidRDefault="00035DCC">
            <w:pPr>
              <w:spacing w:before="200" w:after="180"/>
              <w:ind w:left="160" w:right="16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Sans</w:t>
            </w:r>
          </w:p>
        </w:tc>
      </w:tr>
    </w:tbl>
    <w:p w14:paraId="3CEDD683" w14:textId="77777777" w:rsidR="00EE3428" w:rsidRDefault="00EE3428">
      <w:pPr>
        <w:sectPr w:rsidR="00EE3428">
          <w:pgSz w:w="11900" w:h="16840"/>
          <w:pgMar w:top="1440" w:right="1160" w:bottom="1440" w:left="1140" w:header="1440" w:footer="1440" w:gutter="0"/>
          <w:cols w:space="708"/>
        </w:sectPr>
      </w:pPr>
    </w:p>
    <w:p w14:paraId="0B4B2C2C" w14:textId="77777777" w:rsidR="00EE3428" w:rsidRDefault="00035DCC">
      <w:pPr>
        <w:spacing w:after="60"/>
        <w:jc w:val="center"/>
        <w:rPr>
          <w:rFonts w:ascii="Century Gothic" w:eastAsia="Century Gothic" w:hAnsi="Century Gothic" w:cs="Century Gothic"/>
          <w:b/>
          <w:color w:val="000000"/>
          <w:lang w:val="fr-FR"/>
        </w:rPr>
      </w:pPr>
      <w:r>
        <w:rPr>
          <w:rFonts w:ascii="Century Gothic" w:eastAsia="Century Gothic" w:hAnsi="Century Gothic" w:cs="Century Gothic"/>
          <w:b/>
          <w:color w:val="000000"/>
          <w:lang w:val="fr-FR"/>
        </w:rPr>
        <w:lastRenderedPageBreak/>
        <w:t>SOMMAIRE</w:t>
      </w:r>
    </w:p>
    <w:p w14:paraId="5DEA3986" w14:textId="77777777" w:rsidR="00EE3428" w:rsidRDefault="00EE3428">
      <w:pPr>
        <w:spacing w:after="80" w:line="240" w:lineRule="exact"/>
      </w:pPr>
    </w:p>
    <w:p w14:paraId="5271B189" w14:textId="01F3BF08" w:rsidR="00185C95" w:rsidRDefault="00035DCC">
      <w:pPr>
        <w:pStyle w:val="TM1"/>
        <w:tabs>
          <w:tab w:val="right" w:leader="dot" w:pos="9610"/>
        </w:tabs>
        <w:rPr>
          <w:rFonts w:asciiTheme="minorHAnsi" w:eastAsiaTheme="minorEastAsia" w:hAnsiTheme="minorHAnsi" w:cstheme="minorBidi"/>
          <w:noProof/>
          <w:sz w:val="22"/>
          <w:szCs w:val="22"/>
          <w:lang w:val="fr-FR" w:eastAsia="fr-FR"/>
        </w:rPr>
      </w:pPr>
      <w:r>
        <w:rPr>
          <w:rFonts w:ascii="Century Gothic" w:eastAsia="Century Gothic" w:hAnsi="Century Gothic" w:cs="Century Gothic"/>
          <w:color w:val="000000"/>
          <w:sz w:val="22"/>
          <w:lang w:val="fr-FR"/>
        </w:rPr>
        <w:fldChar w:fldCharType="begin"/>
      </w:r>
      <w:r>
        <w:rPr>
          <w:rFonts w:ascii="Century Gothic" w:eastAsia="Century Gothic" w:hAnsi="Century Gothic" w:cs="Century Gothic"/>
          <w:color w:val="000000"/>
          <w:sz w:val="22"/>
          <w:lang w:val="fr-FR"/>
        </w:rPr>
        <w:instrText xml:space="preserve"> TOC \h </w:instrText>
      </w:r>
      <w:r>
        <w:rPr>
          <w:rFonts w:ascii="Century Gothic" w:eastAsia="Century Gothic" w:hAnsi="Century Gothic" w:cs="Century Gothic"/>
          <w:color w:val="000000"/>
          <w:sz w:val="22"/>
          <w:lang w:val="fr-FR"/>
        </w:rPr>
        <w:fldChar w:fldCharType="separate"/>
      </w:r>
      <w:hyperlink w:anchor="_Toc186199709" w:history="1">
        <w:r w:rsidR="00185C95" w:rsidRPr="006B367C">
          <w:rPr>
            <w:rStyle w:val="Lienhypertexte"/>
            <w:rFonts w:ascii="Century Gothic" w:eastAsia="Century Gothic" w:hAnsi="Century Gothic" w:cs="Century Gothic"/>
            <w:noProof/>
            <w:lang w:val="fr-FR"/>
          </w:rPr>
          <w:t>1 - Objet et étendue de la consultation</w:t>
        </w:r>
        <w:r w:rsidR="00185C95">
          <w:rPr>
            <w:noProof/>
          </w:rPr>
          <w:tab/>
        </w:r>
        <w:r w:rsidR="00185C95">
          <w:rPr>
            <w:noProof/>
          </w:rPr>
          <w:fldChar w:fldCharType="begin"/>
        </w:r>
        <w:r w:rsidR="00185C95">
          <w:rPr>
            <w:noProof/>
          </w:rPr>
          <w:instrText xml:space="preserve"> PAGEREF _Toc186199709 \h </w:instrText>
        </w:r>
        <w:r w:rsidR="00185C95">
          <w:rPr>
            <w:noProof/>
          </w:rPr>
        </w:r>
        <w:r w:rsidR="00185C95">
          <w:rPr>
            <w:noProof/>
          </w:rPr>
          <w:fldChar w:fldCharType="separate"/>
        </w:r>
        <w:r w:rsidR="00185C95">
          <w:rPr>
            <w:noProof/>
          </w:rPr>
          <w:t>1</w:t>
        </w:r>
        <w:r w:rsidR="00185C95">
          <w:rPr>
            <w:noProof/>
          </w:rPr>
          <w:fldChar w:fldCharType="end"/>
        </w:r>
      </w:hyperlink>
    </w:p>
    <w:p w14:paraId="6EB4B14E" w14:textId="389C7886"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10" w:history="1">
        <w:r w:rsidR="00185C95" w:rsidRPr="006B367C">
          <w:rPr>
            <w:rStyle w:val="Lienhypertexte"/>
            <w:rFonts w:ascii="Century Gothic" w:eastAsia="Century Gothic" w:hAnsi="Century Gothic" w:cs="Century Gothic"/>
            <w:noProof/>
            <w:lang w:val="fr-FR"/>
          </w:rPr>
          <w:t>1.1 - Objet</w:t>
        </w:r>
        <w:r w:rsidR="00185C95">
          <w:rPr>
            <w:noProof/>
          </w:rPr>
          <w:tab/>
        </w:r>
        <w:r w:rsidR="00185C95">
          <w:rPr>
            <w:noProof/>
          </w:rPr>
          <w:fldChar w:fldCharType="begin"/>
        </w:r>
        <w:r w:rsidR="00185C95">
          <w:rPr>
            <w:noProof/>
          </w:rPr>
          <w:instrText xml:space="preserve"> PAGEREF _Toc186199710 \h </w:instrText>
        </w:r>
        <w:r w:rsidR="00185C95">
          <w:rPr>
            <w:noProof/>
          </w:rPr>
        </w:r>
        <w:r w:rsidR="00185C95">
          <w:rPr>
            <w:noProof/>
          </w:rPr>
          <w:fldChar w:fldCharType="separate"/>
        </w:r>
        <w:r w:rsidR="00185C95">
          <w:rPr>
            <w:noProof/>
          </w:rPr>
          <w:t>1</w:t>
        </w:r>
        <w:r w:rsidR="00185C95">
          <w:rPr>
            <w:noProof/>
          </w:rPr>
          <w:fldChar w:fldCharType="end"/>
        </w:r>
      </w:hyperlink>
    </w:p>
    <w:p w14:paraId="2502E3B1" w14:textId="6B380182"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11" w:history="1">
        <w:r w:rsidR="00185C95" w:rsidRPr="006B367C">
          <w:rPr>
            <w:rStyle w:val="Lienhypertexte"/>
            <w:rFonts w:ascii="Century Gothic" w:eastAsia="Century Gothic" w:hAnsi="Century Gothic" w:cs="Century Gothic"/>
            <w:noProof/>
            <w:lang w:val="fr-FR"/>
          </w:rPr>
          <w:t>1.2 - Mode de passation</w:t>
        </w:r>
        <w:r w:rsidR="00185C95">
          <w:rPr>
            <w:noProof/>
          </w:rPr>
          <w:tab/>
        </w:r>
        <w:r w:rsidR="00185C95">
          <w:rPr>
            <w:noProof/>
          </w:rPr>
          <w:fldChar w:fldCharType="begin"/>
        </w:r>
        <w:r w:rsidR="00185C95">
          <w:rPr>
            <w:noProof/>
          </w:rPr>
          <w:instrText xml:space="preserve"> PAGEREF _Toc186199711 \h </w:instrText>
        </w:r>
        <w:r w:rsidR="00185C95">
          <w:rPr>
            <w:noProof/>
          </w:rPr>
        </w:r>
        <w:r w:rsidR="00185C95">
          <w:rPr>
            <w:noProof/>
          </w:rPr>
          <w:fldChar w:fldCharType="separate"/>
        </w:r>
        <w:r w:rsidR="00185C95">
          <w:rPr>
            <w:noProof/>
          </w:rPr>
          <w:t>1</w:t>
        </w:r>
        <w:r w:rsidR="00185C95">
          <w:rPr>
            <w:noProof/>
          </w:rPr>
          <w:fldChar w:fldCharType="end"/>
        </w:r>
      </w:hyperlink>
    </w:p>
    <w:p w14:paraId="7AE5B592" w14:textId="79022BC5"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12" w:history="1">
        <w:r w:rsidR="00185C95" w:rsidRPr="006B367C">
          <w:rPr>
            <w:rStyle w:val="Lienhypertexte"/>
            <w:rFonts w:ascii="Century Gothic" w:eastAsia="Century Gothic" w:hAnsi="Century Gothic" w:cs="Century Gothic"/>
            <w:noProof/>
            <w:lang w:val="fr-FR"/>
          </w:rPr>
          <w:t>1.3 - Type et forme de contrat</w:t>
        </w:r>
        <w:r w:rsidR="00185C95">
          <w:rPr>
            <w:noProof/>
          </w:rPr>
          <w:tab/>
        </w:r>
        <w:r w:rsidR="00185C95">
          <w:rPr>
            <w:noProof/>
          </w:rPr>
          <w:fldChar w:fldCharType="begin"/>
        </w:r>
        <w:r w:rsidR="00185C95">
          <w:rPr>
            <w:noProof/>
          </w:rPr>
          <w:instrText xml:space="preserve"> PAGEREF _Toc186199712 \h </w:instrText>
        </w:r>
        <w:r w:rsidR="00185C95">
          <w:rPr>
            <w:noProof/>
          </w:rPr>
        </w:r>
        <w:r w:rsidR="00185C95">
          <w:rPr>
            <w:noProof/>
          </w:rPr>
          <w:fldChar w:fldCharType="separate"/>
        </w:r>
        <w:r w:rsidR="00185C95">
          <w:rPr>
            <w:noProof/>
          </w:rPr>
          <w:t>1</w:t>
        </w:r>
        <w:r w:rsidR="00185C95">
          <w:rPr>
            <w:noProof/>
          </w:rPr>
          <w:fldChar w:fldCharType="end"/>
        </w:r>
      </w:hyperlink>
    </w:p>
    <w:p w14:paraId="59738BB0" w14:textId="3BBD8497"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13" w:history="1">
        <w:r w:rsidR="00185C95" w:rsidRPr="006B367C">
          <w:rPr>
            <w:rStyle w:val="Lienhypertexte"/>
            <w:rFonts w:ascii="Century Gothic" w:eastAsia="Century Gothic" w:hAnsi="Century Gothic" w:cs="Century Gothic"/>
            <w:noProof/>
            <w:lang w:val="fr-FR"/>
          </w:rPr>
          <w:t>1.4 - Décomposition de la consultation</w:t>
        </w:r>
        <w:r w:rsidR="00185C95">
          <w:rPr>
            <w:noProof/>
          </w:rPr>
          <w:tab/>
        </w:r>
        <w:r w:rsidR="00185C95">
          <w:rPr>
            <w:noProof/>
          </w:rPr>
          <w:fldChar w:fldCharType="begin"/>
        </w:r>
        <w:r w:rsidR="00185C95">
          <w:rPr>
            <w:noProof/>
          </w:rPr>
          <w:instrText xml:space="preserve"> PAGEREF _Toc186199713 \h </w:instrText>
        </w:r>
        <w:r w:rsidR="00185C95">
          <w:rPr>
            <w:noProof/>
          </w:rPr>
        </w:r>
        <w:r w:rsidR="00185C95">
          <w:rPr>
            <w:noProof/>
          </w:rPr>
          <w:fldChar w:fldCharType="separate"/>
        </w:r>
        <w:r w:rsidR="00185C95">
          <w:rPr>
            <w:noProof/>
          </w:rPr>
          <w:t>1</w:t>
        </w:r>
        <w:r w:rsidR="00185C95">
          <w:rPr>
            <w:noProof/>
          </w:rPr>
          <w:fldChar w:fldCharType="end"/>
        </w:r>
      </w:hyperlink>
    </w:p>
    <w:p w14:paraId="40C2BD46" w14:textId="7D5217C4"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14" w:history="1">
        <w:r w:rsidR="00185C95" w:rsidRPr="006B367C">
          <w:rPr>
            <w:rStyle w:val="Lienhypertexte"/>
            <w:rFonts w:ascii="Century Gothic" w:eastAsia="Century Gothic" w:hAnsi="Century Gothic" w:cs="Century Gothic"/>
            <w:noProof/>
            <w:lang w:val="fr-FR"/>
          </w:rPr>
          <w:t>1.5 - Nomenclature</w:t>
        </w:r>
        <w:r w:rsidR="00185C95">
          <w:rPr>
            <w:noProof/>
          </w:rPr>
          <w:tab/>
        </w:r>
        <w:r w:rsidR="00185C95">
          <w:rPr>
            <w:noProof/>
          </w:rPr>
          <w:fldChar w:fldCharType="begin"/>
        </w:r>
        <w:r w:rsidR="00185C95">
          <w:rPr>
            <w:noProof/>
          </w:rPr>
          <w:instrText xml:space="preserve"> PAGEREF _Toc186199714 \h </w:instrText>
        </w:r>
        <w:r w:rsidR="00185C95">
          <w:rPr>
            <w:noProof/>
          </w:rPr>
        </w:r>
        <w:r w:rsidR="00185C95">
          <w:rPr>
            <w:noProof/>
          </w:rPr>
          <w:fldChar w:fldCharType="separate"/>
        </w:r>
        <w:r w:rsidR="00185C95">
          <w:rPr>
            <w:noProof/>
          </w:rPr>
          <w:t>1</w:t>
        </w:r>
        <w:r w:rsidR="00185C95">
          <w:rPr>
            <w:noProof/>
          </w:rPr>
          <w:fldChar w:fldCharType="end"/>
        </w:r>
      </w:hyperlink>
    </w:p>
    <w:p w14:paraId="09E3F435" w14:textId="47CB76CF" w:rsidR="00185C95" w:rsidRDefault="00C471B7">
      <w:pPr>
        <w:pStyle w:val="TM1"/>
        <w:tabs>
          <w:tab w:val="right" w:leader="dot" w:pos="9610"/>
        </w:tabs>
        <w:rPr>
          <w:rFonts w:asciiTheme="minorHAnsi" w:eastAsiaTheme="minorEastAsia" w:hAnsiTheme="minorHAnsi" w:cstheme="minorBidi"/>
          <w:noProof/>
          <w:sz w:val="22"/>
          <w:szCs w:val="22"/>
          <w:lang w:val="fr-FR" w:eastAsia="fr-FR"/>
        </w:rPr>
      </w:pPr>
      <w:hyperlink w:anchor="_Toc186199715" w:history="1">
        <w:r w:rsidR="00185C95" w:rsidRPr="006B367C">
          <w:rPr>
            <w:rStyle w:val="Lienhypertexte"/>
            <w:rFonts w:ascii="Century Gothic" w:eastAsia="Century Gothic" w:hAnsi="Century Gothic" w:cs="Century Gothic"/>
            <w:noProof/>
            <w:lang w:val="fr-FR"/>
          </w:rPr>
          <w:t>2 - Conditions de la consultation</w:t>
        </w:r>
        <w:r w:rsidR="00185C95">
          <w:rPr>
            <w:noProof/>
          </w:rPr>
          <w:tab/>
        </w:r>
        <w:r w:rsidR="00185C95">
          <w:rPr>
            <w:noProof/>
          </w:rPr>
          <w:fldChar w:fldCharType="begin"/>
        </w:r>
        <w:r w:rsidR="00185C95">
          <w:rPr>
            <w:noProof/>
          </w:rPr>
          <w:instrText xml:space="preserve"> PAGEREF _Toc186199715 \h </w:instrText>
        </w:r>
        <w:r w:rsidR="00185C95">
          <w:rPr>
            <w:noProof/>
          </w:rPr>
        </w:r>
        <w:r w:rsidR="00185C95">
          <w:rPr>
            <w:noProof/>
          </w:rPr>
          <w:fldChar w:fldCharType="separate"/>
        </w:r>
        <w:r w:rsidR="00185C95">
          <w:rPr>
            <w:noProof/>
          </w:rPr>
          <w:t>1</w:t>
        </w:r>
        <w:r w:rsidR="00185C95">
          <w:rPr>
            <w:noProof/>
          </w:rPr>
          <w:fldChar w:fldCharType="end"/>
        </w:r>
      </w:hyperlink>
    </w:p>
    <w:p w14:paraId="091C5D90" w14:textId="39518DA9"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16" w:history="1">
        <w:r w:rsidR="00185C95" w:rsidRPr="006B367C">
          <w:rPr>
            <w:rStyle w:val="Lienhypertexte"/>
            <w:rFonts w:ascii="Century Gothic" w:eastAsia="Century Gothic" w:hAnsi="Century Gothic" w:cs="Century Gothic"/>
            <w:noProof/>
            <w:lang w:val="fr-FR"/>
          </w:rPr>
          <w:t>2.1 - Délai de validité des offres</w:t>
        </w:r>
        <w:r w:rsidR="00185C95">
          <w:rPr>
            <w:noProof/>
          </w:rPr>
          <w:tab/>
        </w:r>
        <w:r w:rsidR="00185C95">
          <w:rPr>
            <w:noProof/>
          </w:rPr>
          <w:fldChar w:fldCharType="begin"/>
        </w:r>
        <w:r w:rsidR="00185C95">
          <w:rPr>
            <w:noProof/>
          </w:rPr>
          <w:instrText xml:space="preserve"> PAGEREF _Toc186199716 \h </w:instrText>
        </w:r>
        <w:r w:rsidR="00185C95">
          <w:rPr>
            <w:noProof/>
          </w:rPr>
        </w:r>
        <w:r w:rsidR="00185C95">
          <w:rPr>
            <w:noProof/>
          </w:rPr>
          <w:fldChar w:fldCharType="separate"/>
        </w:r>
        <w:r w:rsidR="00185C95">
          <w:rPr>
            <w:noProof/>
          </w:rPr>
          <w:t>1</w:t>
        </w:r>
        <w:r w:rsidR="00185C95">
          <w:rPr>
            <w:noProof/>
          </w:rPr>
          <w:fldChar w:fldCharType="end"/>
        </w:r>
      </w:hyperlink>
    </w:p>
    <w:p w14:paraId="203E1BA8" w14:textId="3E176694"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17" w:history="1">
        <w:r w:rsidR="00185C95" w:rsidRPr="006B367C">
          <w:rPr>
            <w:rStyle w:val="Lienhypertexte"/>
            <w:rFonts w:ascii="Century Gothic" w:eastAsia="Century Gothic" w:hAnsi="Century Gothic" w:cs="Century Gothic"/>
            <w:noProof/>
            <w:lang w:val="fr-FR"/>
          </w:rPr>
          <w:t>2.2 - Forme juridique du groupement</w:t>
        </w:r>
        <w:r w:rsidR="00185C95">
          <w:rPr>
            <w:noProof/>
          </w:rPr>
          <w:tab/>
        </w:r>
        <w:r w:rsidR="00185C95">
          <w:rPr>
            <w:noProof/>
          </w:rPr>
          <w:fldChar w:fldCharType="begin"/>
        </w:r>
        <w:r w:rsidR="00185C95">
          <w:rPr>
            <w:noProof/>
          </w:rPr>
          <w:instrText xml:space="preserve"> PAGEREF _Toc186199717 \h </w:instrText>
        </w:r>
        <w:r w:rsidR="00185C95">
          <w:rPr>
            <w:noProof/>
          </w:rPr>
        </w:r>
        <w:r w:rsidR="00185C95">
          <w:rPr>
            <w:noProof/>
          </w:rPr>
          <w:fldChar w:fldCharType="separate"/>
        </w:r>
        <w:r w:rsidR="00185C95">
          <w:rPr>
            <w:noProof/>
          </w:rPr>
          <w:t>1</w:t>
        </w:r>
        <w:r w:rsidR="00185C95">
          <w:rPr>
            <w:noProof/>
          </w:rPr>
          <w:fldChar w:fldCharType="end"/>
        </w:r>
      </w:hyperlink>
    </w:p>
    <w:p w14:paraId="09B7B44E" w14:textId="1DDBDD15"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18" w:history="1">
        <w:r w:rsidR="00185C95" w:rsidRPr="006B367C">
          <w:rPr>
            <w:rStyle w:val="Lienhypertexte"/>
            <w:rFonts w:ascii="Century Gothic" w:eastAsia="Century Gothic" w:hAnsi="Century Gothic" w:cs="Century Gothic"/>
            <w:noProof/>
            <w:lang w:val="fr-FR"/>
          </w:rPr>
          <w:t>2.3 - Variantes</w:t>
        </w:r>
        <w:r w:rsidR="00185C95">
          <w:rPr>
            <w:noProof/>
          </w:rPr>
          <w:tab/>
        </w:r>
        <w:r w:rsidR="00185C95">
          <w:rPr>
            <w:noProof/>
          </w:rPr>
          <w:fldChar w:fldCharType="begin"/>
        </w:r>
        <w:r w:rsidR="00185C95">
          <w:rPr>
            <w:noProof/>
          </w:rPr>
          <w:instrText xml:space="preserve"> PAGEREF _Toc186199718 \h </w:instrText>
        </w:r>
        <w:r w:rsidR="00185C95">
          <w:rPr>
            <w:noProof/>
          </w:rPr>
        </w:r>
        <w:r w:rsidR="00185C95">
          <w:rPr>
            <w:noProof/>
          </w:rPr>
          <w:fldChar w:fldCharType="separate"/>
        </w:r>
        <w:r w:rsidR="00185C95">
          <w:rPr>
            <w:noProof/>
          </w:rPr>
          <w:t>1</w:t>
        </w:r>
        <w:r w:rsidR="00185C95">
          <w:rPr>
            <w:noProof/>
          </w:rPr>
          <w:fldChar w:fldCharType="end"/>
        </w:r>
      </w:hyperlink>
    </w:p>
    <w:p w14:paraId="678CD79F" w14:textId="48F26283" w:rsidR="00185C95" w:rsidRDefault="00C471B7">
      <w:pPr>
        <w:pStyle w:val="TM1"/>
        <w:tabs>
          <w:tab w:val="right" w:leader="dot" w:pos="9610"/>
        </w:tabs>
        <w:rPr>
          <w:rFonts w:asciiTheme="minorHAnsi" w:eastAsiaTheme="minorEastAsia" w:hAnsiTheme="minorHAnsi" w:cstheme="minorBidi"/>
          <w:noProof/>
          <w:sz w:val="22"/>
          <w:szCs w:val="22"/>
          <w:lang w:val="fr-FR" w:eastAsia="fr-FR"/>
        </w:rPr>
      </w:pPr>
      <w:hyperlink w:anchor="_Toc186199719" w:history="1">
        <w:r w:rsidR="00185C95" w:rsidRPr="006B367C">
          <w:rPr>
            <w:rStyle w:val="Lienhypertexte"/>
            <w:rFonts w:ascii="Century Gothic" w:eastAsia="Century Gothic" w:hAnsi="Century Gothic" w:cs="Century Gothic"/>
            <w:noProof/>
            <w:lang w:val="fr-FR"/>
          </w:rPr>
          <w:t>3 - Conditions relatives au contrat</w:t>
        </w:r>
        <w:r w:rsidR="00185C95">
          <w:rPr>
            <w:noProof/>
          </w:rPr>
          <w:tab/>
        </w:r>
        <w:r w:rsidR="00185C95">
          <w:rPr>
            <w:noProof/>
          </w:rPr>
          <w:fldChar w:fldCharType="begin"/>
        </w:r>
        <w:r w:rsidR="00185C95">
          <w:rPr>
            <w:noProof/>
          </w:rPr>
          <w:instrText xml:space="preserve"> PAGEREF _Toc186199719 \h </w:instrText>
        </w:r>
        <w:r w:rsidR="00185C95">
          <w:rPr>
            <w:noProof/>
          </w:rPr>
        </w:r>
        <w:r w:rsidR="00185C95">
          <w:rPr>
            <w:noProof/>
          </w:rPr>
          <w:fldChar w:fldCharType="separate"/>
        </w:r>
        <w:r w:rsidR="00185C95">
          <w:rPr>
            <w:noProof/>
          </w:rPr>
          <w:t>1</w:t>
        </w:r>
        <w:r w:rsidR="00185C95">
          <w:rPr>
            <w:noProof/>
          </w:rPr>
          <w:fldChar w:fldCharType="end"/>
        </w:r>
      </w:hyperlink>
    </w:p>
    <w:p w14:paraId="2138CCF3" w14:textId="595A2333"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20" w:history="1">
        <w:r w:rsidR="00185C95" w:rsidRPr="006B367C">
          <w:rPr>
            <w:rStyle w:val="Lienhypertexte"/>
            <w:rFonts w:ascii="Century Gothic" w:eastAsia="Century Gothic" w:hAnsi="Century Gothic" w:cs="Century Gothic"/>
            <w:noProof/>
            <w:lang w:val="fr-FR"/>
          </w:rPr>
          <w:t>3.1 - Modalités essentielles de financement et de paiement</w:t>
        </w:r>
        <w:r w:rsidR="00185C95">
          <w:rPr>
            <w:noProof/>
          </w:rPr>
          <w:tab/>
        </w:r>
        <w:r w:rsidR="00185C95">
          <w:rPr>
            <w:noProof/>
          </w:rPr>
          <w:fldChar w:fldCharType="begin"/>
        </w:r>
        <w:r w:rsidR="00185C95">
          <w:rPr>
            <w:noProof/>
          </w:rPr>
          <w:instrText xml:space="preserve"> PAGEREF _Toc186199720 \h </w:instrText>
        </w:r>
        <w:r w:rsidR="00185C95">
          <w:rPr>
            <w:noProof/>
          </w:rPr>
        </w:r>
        <w:r w:rsidR="00185C95">
          <w:rPr>
            <w:noProof/>
          </w:rPr>
          <w:fldChar w:fldCharType="separate"/>
        </w:r>
        <w:r w:rsidR="00185C95">
          <w:rPr>
            <w:noProof/>
          </w:rPr>
          <w:t>1</w:t>
        </w:r>
        <w:r w:rsidR="00185C95">
          <w:rPr>
            <w:noProof/>
          </w:rPr>
          <w:fldChar w:fldCharType="end"/>
        </w:r>
      </w:hyperlink>
    </w:p>
    <w:p w14:paraId="1B1B461E" w14:textId="27E6BFCB"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21" w:history="1">
        <w:r w:rsidR="00185C95" w:rsidRPr="006B367C">
          <w:rPr>
            <w:rStyle w:val="Lienhypertexte"/>
            <w:rFonts w:ascii="Century Gothic" w:eastAsia="Century Gothic" w:hAnsi="Century Gothic" w:cs="Century Gothic"/>
            <w:noProof/>
            <w:lang w:val="fr-FR"/>
          </w:rPr>
          <w:t>3.2 - Confidentialité et mesures de sécurité</w:t>
        </w:r>
        <w:r w:rsidR="00185C95">
          <w:rPr>
            <w:noProof/>
          </w:rPr>
          <w:tab/>
        </w:r>
        <w:r w:rsidR="00185C95">
          <w:rPr>
            <w:noProof/>
          </w:rPr>
          <w:fldChar w:fldCharType="begin"/>
        </w:r>
        <w:r w:rsidR="00185C95">
          <w:rPr>
            <w:noProof/>
          </w:rPr>
          <w:instrText xml:space="preserve"> PAGEREF _Toc186199721 \h </w:instrText>
        </w:r>
        <w:r w:rsidR="00185C95">
          <w:rPr>
            <w:noProof/>
          </w:rPr>
        </w:r>
        <w:r w:rsidR="00185C95">
          <w:rPr>
            <w:noProof/>
          </w:rPr>
          <w:fldChar w:fldCharType="separate"/>
        </w:r>
        <w:r w:rsidR="00185C95">
          <w:rPr>
            <w:noProof/>
          </w:rPr>
          <w:t>1</w:t>
        </w:r>
        <w:r w:rsidR="00185C95">
          <w:rPr>
            <w:noProof/>
          </w:rPr>
          <w:fldChar w:fldCharType="end"/>
        </w:r>
      </w:hyperlink>
    </w:p>
    <w:p w14:paraId="005DBD73" w14:textId="6633CC0B" w:rsidR="00185C95" w:rsidRDefault="00C471B7">
      <w:pPr>
        <w:pStyle w:val="TM1"/>
        <w:tabs>
          <w:tab w:val="right" w:leader="dot" w:pos="9610"/>
        </w:tabs>
        <w:rPr>
          <w:rFonts w:asciiTheme="minorHAnsi" w:eastAsiaTheme="minorEastAsia" w:hAnsiTheme="minorHAnsi" w:cstheme="minorBidi"/>
          <w:noProof/>
          <w:sz w:val="22"/>
          <w:szCs w:val="22"/>
          <w:lang w:val="fr-FR" w:eastAsia="fr-FR"/>
        </w:rPr>
      </w:pPr>
      <w:hyperlink w:anchor="_Toc186199722" w:history="1">
        <w:r w:rsidR="00185C95" w:rsidRPr="006B367C">
          <w:rPr>
            <w:rStyle w:val="Lienhypertexte"/>
            <w:rFonts w:ascii="Century Gothic" w:eastAsia="Century Gothic" w:hAnsi="Century Gothic" w:cs="Century Gothic"/>
            <w:noProof/>
            <w:lang w:val="fr-FR"/>
          </w:rPr>
          <w:t>4 - Contenu du dossier de consultation</w:t>
        </w:r>
        <w:r w:rsidR="00185C95">
          <w:rPr>
            <w:noProof/>
          </w:rPr>
          <w:tab/>
        </w:r>
        <w:r w:rsidR="00185C95">
          <w:rPr>
            <w:noProof/>
          </w:rPr>
          <w:fldChar w:fldCharType="begin"/>
        </w:r>
        <w:r w:rsidR="00185C95">
          <w:rPr>
            <w:noProof/>
          </w:rPr>
          <w:instrText xml:space="preserve"> PAGEREF _Toc186199722 \h </w:instrText>
        </w:r>
        <w:r w:rsidR="00185C95">
          <w:rPr>
            <w:noProof/>
          </w:rPr>
        </w:r>
        <w:r w:rsidR="00185C95">
          <w:rPr>
            <w:noProof/>
          </w:rPr>
          <w:fldChar w:fldCharType="separate"/>
        </w:r>
        <w:r w:rsidR="00185C95">
          <w:rPr>
            <w:noProof/>
          </w:rPr>
          <w:t>1</w:t>
        </w:r>
        <w:r w:rsidR="00185C95">
          <w:rPr>
            <w:noProof/>
          </w:rPr>
          <w:fldChar w:fldCharType="end"/>
        </w:r>
      </w:hyperlink>
    </w:p>
    <w:p w14:paraId="2739A25F" w14:textId="79E2AE9F" w:rsidR="00185C95" w:rsidRDefault="00C471B7">
      <w:pPr>
        <w:pStyle w:val="TM1"/>
        <w:tabs>
          <w:tab w:val="right" w:leader="dot" w:pos="9610"/>
        </w:tabs>
        <w:rPr>
          <w:rFonts w:asciiTheme="minorHAnsi" w:eastAsiaTheme="minorEastAsia" w:hAnsiTheme="minorHAnsi" w:cstheme="minorBidi"/>
          <w:noProof/>
          <w:sz w:val="22"/>
          <w:szCs w:val="22"/>
          <w:lang w:val="fr-FR" w:eastAsia="fr-FR"/>
        </w:rPr>
      </w:pPr>
      <w:hyperlink w:anchor="_Toc186199723" w:history="1">
        <w:r w:rsidR="00185C95" w:rsidRPr="006B367C">
          <w:rPr>
            <w:rStyle w:val="Lienhypertexte"/>
            <w:rFonts w:ascii="Century Gothic" w:eastAsia="Century Gothic" w:hAnsi="Century Gothic" w:cs="Century Gothic"/>
            <w:noProof/>
            <w:lang w:val="fr-FR"/>
          </w:rPr>
          <w:t>5 - Présentation des candidatures et des offres</w:t>
        </w:r>
        <w:r w:rsidR="00185C95">
          <w:rPr>
            <w:noProof/>
          </w:rPr>
          <w:tab/>
        </w:r>
        <w:r w:rsidR="00185C95">
          <w:rPr>
            <w:noProof/>
          </w:rPr>
          <w:fldChar w:fldCharType="begin"/>
        </w:r>
        <w:r w:rsidR="00185C95">
          <w:rPr>
            <w:noProof/>
          </w:rPr>
          <w:instrText xml:space="preserve"> PAGEREF _Toc186199723 \h </w:instrText>
        </w:r>
        <w:r w:rsidR="00185C95">
          <w:rPr>
            <w:noProof/>
          </w:rPr>
        </w:r>
        <w:r w:rsidR="00185C95">
          <w:rPr>
            <w:noProof/>
          </w:rPr>
          <w:fldChar w:fldCharType="separate"/>
        </w:r>
        <w:r w:rsidR="00185C95">
          <w:rPr>
            <w:noProof/>
          </w:rPr>
          <w:t>1</w:t>
        </w:r>
        <w:r w:rsidR="00185C95">
          <w:rPr>
            <w:noProof/>
          </w:rPr>
          <w:fldChar w:fldCharType="end"/>
        </w:r>
      </w:hyperlink>
    </w:p>
    <w:p w14:paraId="6916D5D3" w14:textId="1BC26E98"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24" w:history="1">
        <w:r w:rsidR="00185C95" w:rsidRPr="006B367C">
          <w:rPr>
            <w:rStyle w:val="Lienhypertexte"/>
            <w:rFonts w:ascii="Century Gothic" w:eastAsia="Century Gothic" w:hAnsi="Century Gothic" w:cs="Century Gothic"/>
            <w:noProof/>
            <w:lang w:val="fr-FR"/>
          </w:rPr>
          <w:t>5.1 - Documents à produire</w:t>
        </w:r>
        <w:r w:rsidR="00185C95">
          <w:rPr>
            <w:noProof/>
          </w:rPr>
          <w:tab/>
        </w:r>
        <w:r w:rsidR="00185C95">
          <w:rPr>
            <w:noProof/>
          </w:rPr>
          <w:fldChar w:fldCharType="begin"/>
        </w:r>
        <w:r w:rsidR="00185C95">
          <w:rPr>
            <w:noProof/>
          </w:rPr>
          <w:instrText xml:space="preserve"> PAGEREF _Toc186199724 \h </w:instrText>
        </w:r>
        <w:r w:rsidR="00185C95">
          <w:rPr>
            <w:noProof/>
          </w:rPr>
        </w:r>
        <w:r w:rsidR="00185C95">
          <w:rPr>
            <w:noProof/>
          </w:rPr>
          <w:fldChar w:fldCharType="separate"/>
        </w:r>
        <w:r w:rsidR="00185C95">
          <w:rPr>
            <w:noProof/>
          </w:rPr>
          <w:t>1</w:t>
        </w:r>
        <w:r w:rsidR="00185C95">
          <w:rPr>
            <w:noProof/>
          </w:rPr>
          <w:fldChar w:fldCharType="end"/>
        </w:r>
      </w:hyperlink>
    </w:p>
    <w:p w14:paraId="2C15FA89" w14:textId="41B76925"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25" w:history="1">
        <w:r w:rsidR="00185C95" w:rsidRPr="006B367C">
          <w:rPr>
            <w:rStyle w:val="Lienhypertexte"/>
            <w:rFonts w:ascii="Century Gothic" w:eastAsia="Century Gothic" w:hAnsi="Century Gothic" w:cs="Century Gothic"/>
            <w:noProof/>
            <w:lang w:val="fr-FR"/>
          </w:rPr>
          <w:t>5.2 - Présentation des variantes</w:t>
        </w:r>
        <w:r w:rsidR="00185C95">
          <w:rPr>
            <w:noProof/>
          </w:rPr>
          <w:tab/>
        </w:r>
        <w:r w:rsidR="00185C95">
          <w:rPr>
            <w:noProof/>
          </w:rPr>
          <w:fldChar w:fldCharType="begin"/>
        </w:r>
        <w:r w:rsidR="00185C95">
          <w:rPr>
            <w:noProof/>
          </w:rPr>
          <w:instrText xml:space="preserve"> PAGEREF _Toc186199725 \h </w:instrText>
        </w:r>
        <w:r w:rsidR="00185C95">
          <w:rPr>
            <w:noProof/>
          </w:rPr>
        </w:r>
        <w:r w:rsidR="00185C95">
          <w:rPr>
            <w:noProof/>
          </w:rPr>
          <w:fldChar w:fldCharType="separate"/>
        </w:r>
        <w:r w:rsidR="00185C95">
          <w:rPr>
            <w:noProof/>
          </w:rPr>
          <w:t>1</w:t>
        </w:r>
        <w:r w:rsidR="00185C95">
          <w:rPr>
            <w:noProof/>
          </w:rPr>
          <w:fldChar w:fldCharType="end"/>
        </w:r>
      </w:hyperlink>
    </w:p>
    <w:p w14:paraId="62392F69" w14:textId="617B3FEB" w:rsidR="00185C95" w:rsidRDefault="00C471B7">
      <w:pPr>
        <w:pStyle w:val="TM1"/>
        <w:tabs>
          <w:tab w:val="right" w:leader="dot" w:pos="9610"/>
        </w:tabs>
        <w:rPr>
          <w:rFonts w:asciiTheme="minorHAnsi" w:eastAsiaTheme="minorEastAsia" w:hAnsiTheme="minorHAnsi" w:cstheme="minorBidi"/>
          <w:noProof/>
          <w:sz w:val="22"/>
          <w:szCs w:val="22"/>
          <w:lang w:val="fr-FR" w:eastAsia="fr-FR"/>
        </w:rPr>
      </w:pPr>
      <w:hyperlink w:anchor="_Toc186199726" w:history="1">
        <w:r w:rsidR="00185C95" w:rsidRPr="006B367C">
          <w:rPr>
            <w:rStyle w:val="Lienhypertexte"/>
            <w:rFonts w:ascii="Century Gothic" w:eastAsia="Century Gothic" w:hAnsi="Century Gothic" w:cs="Century Gothic"/>
            <w:noProof/>
            <w:lang w:val="fr-FR"/>
          </w:rPr>
          <w:t>6 - Conditions d'envoi ou de remise des plis</w:t>
        </w:r>
        <w:r w:rsidR="00185C95">
          <w:rPr>
            <w:noProof/>
          </w:rPr>
          <w:tab/>
        </w:r>
        <w:r w:rsidR="00185C95">
          <w:rPr>
            <w:noProof/>
          </w:rPr>
          <w:fldChar w:fldCharType="begin"/>
        </w:r>
        <w:r w:rsidR="00185C95">
          <w:rPr>
            <w:noProof/>
          </w:rPr>
          <w:instrText xml:space="preserve"> PAGEREF _Toc186199726 \h </w:instrText>
        </w:r>
        <w:r w:rsidR="00185C95">
          <w:rPr>
            <w:noProof/>
          </w:rPr>
        </w:r>
        <w:r w:rsidR="00185C95">
          <w:rPr>
            <w:noProof/>
          </w:rPr>
          <w:fldChar w:fldCharType="separate"/>
        </w:r>
        <w:r w:rsidR="00185C95">
          <w:rPr>
            <w:noProof/>
          </w:rPr>
          <w:t>1</w:t>
        </w:r>
        <w:r w:rsidR="00185C95">
          <w:rPr>
            <w:noProof/>
          </w:rPr>
          <w:fldChar w:fldCharType="end"/>
        </w:r>
      </w:hyperlink>
    </w:p>
    <w:p w14:paraId="46DCC096" w14:textId="66D75C91"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27" w:history="1">
        <w:r w:rsidR="00185C95" w:rsidRPr="006B367C">
          <w:rPr>
            <w:rStyle w:val="Lienhypertexte"/>
            <w:rFonts w:ascii="Century Gothic" w:eastAsia="Century Gothic" w:hAnsi="Century Gothic" w:cs="Century Gothic"/>
            <w:noProof/>
            <w:lang w:val="fr-FR"/>
          </w:rPr>
          <w:t>6.1 - Transmission électronique</w:t>
        </w:r>
        <w:r w:rsidR="00185C95">
          <w:rPr>
            <w:noProof/>
          </w:rPr>
          <w:tab/>
        </w:r>
        <w:r w:rsidR="00185C95">
          <w:rPr>
            <w:noProof/>
          </w:rPr>
          <w:fldChar w:fldCharType="begin"/>
        </w:r>
        <w:r w:rsidR="00185C95">
          <w:rPr>
            <w:noProof/>
          </w:rPr>
          <w:instrText xml:space="preserve"> PAGEREF _Toc186199727 \h </w:instrText>
        </w:r>
        <w:r w:rsidR="00185C95">
          <w:rPr>
            <w:noProof/>
          </w:rPr>
        </w:r>
        <w:r w:rsidR="00185C95">
          <w:rPr>
            <w:noProof/>
          </w:rPr>
          <w:fldChar w:fldCharType="separate"/>
        </w:r>
        <w:r w:rsidR="00185C95">
          <w:rPr>
            <w:noProof/>
          </w:rPr>
          <w:t>1</w:t>
        </w:r>
        <w:r w:rsidR="00185C95">
          <w:rPr>
            <w:noProof/>
          </w:rPr>
          <w:fldChar w:fldCharType="end"/>
        </w:r>
      </w:hyperlink>
    </w:p>
    <w:p w14:paraId="1DD5147C" w14:textId="221D21F4"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28" w:history="1">
        <w:r w:rsidR="00185C95" w:rsidRPr="006B367C">
          <w:rPr>
            <w:rStyle w:val="Lienhypertexte"/>
            <w:rFonts w:ascii="Century Gothic" w:eastAsia="Century Gothic" w:hAnsi="Century Gothic" w:cs="Century Gothic"/>
            <w:noProof/>
            <w:lang w:val="fr-FR"/>
          </w:rPr>
          <w:t>6.2 - Transmission sous support papier</w:t>
        </w:r>
        <w:r w:rsidR="00185C95">
          <w:rPr>
            <w:noProof/>
          </w:rPr>
          <w:tab/>
        </w:r>
        <w:r w:rsidR="00185C95">
          <w:rPr>
            <w:noProof/>
          </w:rPr>
          <w:fldChar w:fldCharType="begin"/>
        </w:r>
        <w:r w:rsidR="00185C95">
          <w:rPr>
            <w:noProof/>
          </w:rPr>
          <w:instrText xml:space="preserve"> PAGEREF _Toc186199728 \h </w:instrText>
        </w:r>
        <w:r w:rsidR="00185C95">
          <w:rPr>
            <w:noProof/>
          </w:rPr>
        </w:r>
        <w:r w:rsidR="00185C95">
          <w:rPr>
            <w:noProof/>
          </w:rPr>
          <w:fldChar w:fldCharType="separate"/>
        </w:r>
        <w:r w:rsidR="00185C95">
          <w:rPr>
            <w:noProof/>
          </w:rPr>
          <w:t>1</w:t>
        </w:r>
        <w:r w:rsidR="00185C95">
          <w:rPr>
            <w:noProof/>
          </w:rPr>
          <w:fldChar w:fldCharType="end"/>
        </w:r>
      </w:hyperlink>
    </w:p>
    <w:p w14:paraId="127F924C" w14:textId="654B9FDC" w:rsidR="00185C95" w:rsidRDefault="00C471B7">
      <w:pPr>
        <w:pStyle w:val="TM1"/>
        <w:tabs>
          <w:tab w:val="right" w:leader="dot" w:pos="9610"/>
        </w:tabs>
        <w:rPr>
          <w:rFonts w:asciiTheme="minorHAnsi" w:eastAsiaTheme="minorEastAsia" w:hAnsiTheme="minorHAnsi" w:cstheme="minorBidi"/>
          <w:noProof/>
          <w:sz w:val="22"/>
          <w:szCs w:val="22"/>
          <w:lang w:val="fr-FR" w:eastAsia="fr-FR"/>
        </w:rPr>
      </w:pPr>
      <w:hyperlink w:anchor="_Toc186199729" w:history="1">
        <w:r w:rsidR="00185C95" w:rsidRPr="006B367C">
          <w:rPr>
            <w:rStyle w:val="Lienhypertexte"/>
            <w:rFonts w:ascii="Century Gothic" w:eastAsia="Century Gothic" w:hAnsi="Century Gothic" w:cs="Century Gothic"/>
            <w:noProof/>
            <w:lang w:val="fr-FR"/>
          </w:rPr>
          <w:t>7 - Examen des candidatures et des offres</w:t>
        </w:r>
        <w:r w:rsidR="00185C95">
          <w:rPr>
            <w:noProof/>
          </w:rPr>
          <w:tab/>
        </w:r>
        <w:r w:rsidR="00185C95">
          <w:rPr>
            <w:noProof/>
          </w:rPr>
          <w:fldChar w:fldCharType="begin"/>
        </w:r>
        <w:r w:rsidR="00185C95">
          <w:rPr>
            <w:noProof/>
          </w:rPr>
          <w:instrText xml:space="preserve"> PAGEREF _Toc186199729 \h </w:instrText>
        </w:r>
        <w:r w:rsidR="00185C95">
          <w:rPr>
            <w:noProof/>
          </w:rPr>
        </w:r>
        <w:r w:rsidR="00185C95">
          <w:rPr>
            <w:noProof/>
          </w:rPr>
          <w:fldChar w:fldCharType="separate"/>
        </w:r>
        <w:r w:rsidR="00185C95">
          <w:rPr>
            <w:noProof/>
          </w:rPr>
          <w:t>1</w:t>
        </w:r>
        <w:r w:rsidR="00185C95">
          <w:rPr>
            <w:noProof/>
          </w:rPr>
          <w:fldChar w:fldCharType="end"/>
        </w:r>
      </w:hyperlink>
    </w:p>
    <w:p w14:paraId="431C1865" w14:textId="1AC04CD2"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30" w:history="1">
        <w:r w:rsidR="00185C95" w:rsidRPr="006B367C">
          <w:rPr>
            <w:rStyle w:val="Lienhypertexte"/>
            <w:rFonts w:ascii="Century Gothic" w:eastAsia="Century Gothic" w:hAnsi="Century Gothic" w:cs="Century Gothic"/>
            <w:noProof/>
            <w:lang w:val="fr-FR"/>
          </w:rPr>
          <w:t>7.1 - Sélection des candidatures</w:t>
        </w:r>
        <w:r w:rsidR="00185C95">
          <w:rPr>
            <w:noProof/>
          </w:rPr>
          <w:tab/>
        </w:r>
        <w:r w:rsidR="00185C95">
          <w:rPr>
            <w:noProof/>
          </w:rPr>
          <w:fldChar w:fldCharType="begin"/>
        </w:r>
        <w:r w:rsidR="00185C95">
          <w:rPr>
            <w:noProof/>
          </w:rPr>
          <w:instrText xml:space="preserve"> PAGEREF _Toc186199730 \h </w:instrText>
        </w:r>
        <w:r w:rsidR="00185C95">
          <w:rPr>
            <w:noProof/>
          </w:rPr>
        </w:r>
        <w:r w:rsidR="00185C95">
          <w:rPr>
            <w:noProof/>
          </w:rPr>
          <w:fldChar w:fldCharType="separate"/>
        </w:r>
        <w:r w:rsidR="00185C95">
          <w:rPr>
            <w:noProof/>
          </w:rPr>
          <w:t>1</w:t>
        </w:r>
        <w:r w:rsidR="00185C95">
          <w:rPr>
            <w:noProof/>
          </w:rPr>
          <w:fldChar w:fldCharType="end"/>
        </w:r>
      </w:hyperlink>
    </w:p>
    <w:p w14:paraId="27E0A9AB" w14:textId="6EC56E55"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31" w:history="1">
        <w:r w:rsidR="00185C95" w:rsidRPr="006B367C">
          <w:rPr>
            <w:rStyle w:val="Lienhypertexte"/>
            <w:rFonts w:ascii="Century Gothic" w:eastAsia="Century Gothic" w:hAnsi="Century Gothic" w:cs="Century Gothic"/>
            <w:noProof/>
            <w:lang w:val="fr-FR"/>
          </w:rPr>
          <w:t>7.2 - Attribution des marchés</w:t>
        </w:r>
        <w:r w:rsidR="00185C95">
          <w:rPr>
            <w:noProof/>
          </w:rPr>
          <w:tab/>
        </w:r>
        <w:r w:rsidR="00185C95">
          <w:rPr>
            <w:noProof/>
          </w:rPr>
          <w:fldChar w:fldCharType="begin"/>
        </w:r>
        <w:r w:rsidR="00185C95">
          <w:rPr>
            <w:noProof/>
          </w:rPr>
          <w:instrText xml:space="preserve"> PAGEREF _Toc186199731 \h </w:instrText>
        </w:r>
        <w:r w:rsidR="00185C95">
          <w:rPr>
            <w:noProof/>
          </w:rPr>
        </w:r>
        <w:r w:rsidR="00185C95">
          <w:rPr>
            <w:noProof/>
          </w:rPr>
          <w:fldChar w:fldCharType="separate"/>
        </w:r>
        <w:r w:rsidR="00185C95">
          <w:rPr>
            <w:noProof/>
          </w:rPr>
          <w:t>1</w:t>
        </w:r>
        <w:r w:rsidR="00185C95">
          <w:rPr>
            <w:noProof/>
          </w:rPr>
          <w:fldChar w:fldCharType="end"/>
        </w:r>
      </w:hyperlink>
    </w:p>
    <w:p w14:paraId="70D9C9D4" w14:textId="5F87E646"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32" w:history="1">
        <w:r w:rsidR="00185C95" w:rsidRPr="006B367C">
          <w:rPr>
            <w:rStyle w:val="Lienhypertexte"/>
            <w:rFonts w:ascii="Century Gothic" w:eastAsia="Century Gothic" w:hAnsi="Century Gothic" w:cs="Century Gothic"/>
            <w:noProof/>
            <w:lang w:val="fr-FR"/>
          </w:rPr>
          <w:t>7.3 - Suite à donner à la consultation</w:t>
        </w:r>
        <w:r w:rsidR="00185C95">
          <w:rPr>
            <w:noProof/>
          </w:rPr>
          <w:tab/>
        </w:r>
        <w:r w:rsidR="00185C95">
          <w:rPr>
            <w:noProof/>
          </w:rPr>
          <w:fldChar w:fldCharType="begin"/>
        </w:r>
        <w:r w:rsidR="00185C95">
          <w:rPr>
            <w:noProof/>
          </w:rPr>
          <w:instrText xml:space="preserve"> PAGEREF _Toc186199732 \h </w:instrText>
        </w:r>
        <w:r w:rsidR="00185C95">
          <w:rPr>
            <w:noProof/>
          </w:rPr>
        </w:r>
        <w:r w:rsidR="00185C95">
          <w:rPr>
            <w:noProof/>
          </w:rPr>
          <w:fldChar w:fldCharType="separate"/>
        </w:r>
        <w:r w:rsidR="00185C95">
          <w:rPr>
            <w:noProof/>
          </w:rPr>
          <w:t>1</w:t>
        </w:r>
        <w:r w:rsidR="00185C95">
          <w:rPr>
            <w:noProof/>
          </w:rPr>
          <w:fldChar w:fldCharType="end"/>
        </w:r>
      </w:hyperlink>
    </w:p>
    <w:p w14:paraId="6E20B982" w14:textId="1B19AAC1" w:rsidR="00185C95" w:rsidRDefault="00C471B7">
      <w:pPr>
        <w:pStyle w:val="TM1"/>
        <w:tabs>
          <w:tab w:val="right" w:leader="dot" w:pos="9610"/>
        </w:tabs>
        <w:rPr>
          <w:rFonts w:asciiTheme="minorHAnsi" w:eastAsiaTheme="minorEastAsia" w:hAnsiTheme="minorHAnsi" w:cstheme="minorBidi"/>
          <w:noProof/>
          <w:sz w:val="22"/>
          <w:szCs w:val="22"/>
          <w:lang w:val="fr-FR" w:eastAsia="fr-FR"/>
        </w:rPr>
      </w:pPr>
      <w:hyperlink w:anchor="_Toc186199733" w:history="1">
        <w:r w:rsidR="00185C95" w:rsidRPr="006B367C">
          <w:rPr>
            <w:rStyle w:val="Lienhypertexte"/>
            <w:rFonts w:ascii="Century Gothic" w:eastAsia="Century Gothic" w:hAnsi="Century Gothic" w:cs="Century Gothic"/>
            <w:noProof/>
            <w:lang w:val="fr-FR"/>
          </w:rPr>
          <w:t>8 - Renseignements complémentaires</w:t>
        </w:r>
        <w:r w:rsidR="00185C95">
          <w:rPr>
            <w:noProof/>
          </w:rPr>
          <w:tab/>
        </w:r>
        <w:r w:rsidR="00185C95">
          <w:rPr>
            <w:noProof/>
          </w:rPr>
          <w:fldChar w:fldCharType="begin"/>
        </w:r>
        <w:r w:rsidR="00185C95">
          <w:rPr>
            <w:noProof/>
          </w:rPr>
          <w:instrText xml:space="preserve"> PAGEREF _Toc186199733 \h </w:instrText>
        </w:r>
        <w:r w:rsidR="00185C95">
          <w:rPr>
            <w:noProof/>
          </w:rPr>
        </w:r>
        <w:r w:rsidR="00185C95">
          <w:rPr>
            <w:noProof/>
          </w:rPr>
          <w:fldChar w:fldCharType="separate"/>
        </w:r>
        <w:r w:rsidR="00185C95">
          <w:rPr>
            <w:noProof/>
          </w:rPr>
          <w:t>1</w:t>
        </w:r>
        <w:r w:rsidR="00185C95">
          <w:rPr>
            <w:noProof/>
          </w:rPr>
          <w:fldChar w:fldCharType="end"/>
        </w:r>
      </w:hyperlink>
    </w:p>
    <w:p w14:paraId="787994DA" w14:textId="4C9DE559"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34" w:history="1">
        <w:r w:rsidR="00185C95" w:rsidRPr="006B367C">
          <w:rPr>
            <w:rStyle w:val="Lienhypertexte"/>
            <w:rFonts w:ascii="Century Gothic" w:eastAsia="Century Gothic" w:hAnsi="Century Gothic" w:cs="Century Gothic"/>
            <w:noProof/>
            <w:lang w:val="fr-FR"/>
          </w:rPr>
          <w:t>8.1 - Adresses supplémentaires et points de contact</w:t>
        </w:r>
        <w:r w:rsidR="00185C95">
          <w:rPr>
            <w:noProof/>
          </w:rPr>
          <w:tab/>
        </w:r>
        <w:r w:rsidR="00185C95">
          <w:rPr>
            <w:noProof/>
          </w:rPr>
          <w:fldChar w:fldCharType="begin"/>
        </w:r>
        <w:r w:rsidR="00185C95">
          <w:rPr>
            <w:noProof/>
          </w:rPr>
          <w:instrText xml:space="preserve"> PAGEREF _Toc186199734 \h </w:instrText>
        </w:r>
        <w:r w:rsidR="00185C95">
          <w:rPr>
            <w:noProof/>
          </w:rPr>
        </w:r>
        <w:r w:rsidR="00185C95">
          <w:rPr>
            <w:noProof/>
          </w:rPr>
          <w:fldChar w:fldCharType="separate"/>
        </w:r>
        <w:r w:rsidR="00185C95">
          <w:rPr>
            <w:noProof/>
          </w:rPr>
          <w:t>1</w:t>
        </w:r>
        <w:r w:rsidR="00185C95">
          <w:rPr>
            <w:noProof/>
          </w:rPr>
          <w:fldChar w:fldCharType="end"/>
        </w:r>
      </w:hyperlink>
    </w:p>
    <w:p w14:paraId="6B506D4C" w14:textId="133ECCC9" w:rsidR="00185C95" w:rsidRDefault="00C471B7">
      <w:pPr>
        <w:pStyle w:val="TM2"/>
        <w:tabs>
          <w:tab w:val="right" w:leader="dot" w:pos="9610"/>
        </w:tabs>
        <w:rPr>
          <w:rFonts w:asciiTheme="minorHAnsi" w:eastAsiaTheme="minorEastAsia" w:hAnsiTheme="minorHAnsi" w:cstheme="minorBidi"/>
          <w:noProof/>
          <w:sz w:val="22"/>
          <w:szCs w:val="22"/>
          <w:lang w:val="fr-FR" w:eastAsia="fr-FR"/>
        </w:rPr>
      </w:pPr>
      <w:hyperlink w:anchor="_Toc186199735" w:history="1">
        <w:r w:rsidR="00185C95" w:rsidRPr="006B367C">
          <w:rPr>
            <w:rStyle w:val="Lienhypertexte"/>
            <w:rFonts w:ascii="Century Gothic" w:eastAsia="Century Gothic" w:hAnsi="Century Gothic" w:cs="Century Gothic"/>
            <w:noProof/>
            <w:lang w:val="fr-FR"/>
          </w:rPr>
          <w:t>8.2 - Procédures de recours</w:t>
        </w:r>
        <w:r w:rsidR="00185C95">
          <w:rPr>
            <w:noProof/>
          </w:rPr>
          <w:tab/>
        </w:r>
        <w:r w:rsidR="00185C95">
          <w:rPr>
            <w:noProof/>
          </w:rPr>
          <w:fldChar w:fldCharType="begin"/>
        </w:r>
        <w:r w:rsidR="00185C95">
          <w:rPr>
            <w:noProof/>
          </w:rPr>
          <w:instrText xml:space="preserve"> PAGEREF _Toc186199735 \h </w:instrText>
        </w:r>
        <w:r w:rsidR="00185C95">
          <w:rPr>
            <w:noProof/>
          </w:rPr>
        </w:r>
        <w:r w:rsidR="00185C95">
          <w:rPr>
            <w:noProof/>
          </w:rPr>
          <w:fldChar w:fldCharType="separate"/>
        </w:r>
        <w:r w:rsidR="00185C95">
          <w:rPr>
            <w:noProof/>
          </w:rPr>
          <w:t>1</w:t>
        </w:r>
        <w:r w:rsidR="00185C95">
          <w:rPr>
            <w:noProof/>
          </w:rPr>
          <w:fldChar w:fldCharType="end"/>
        </w:r>
      </w:hyperlink>
    </w:p>
    <w:p w14:paraId="41AEC7BB" w14:textId="077DF16D" w:rsidR="00EE3428" w:rsidRDefault="00035DCC">
      <w:pPr>
        <w:spacing w:after="80"/>
        <w:rPr>
          <w:rFonts w:ascii="Century Gothic" w:eastAsia="Century Gothic" w:hAnsi="Century Gothic" w:cs="Century Gothic"/>
          <w:color w:val="000000"/>
          <w:sz w:val="22"/>
          <w:lang w:val="fr-FR"/>
        </w:rPr>
        <w:sectPr w:rsidR="00EE3428">
          <w:pgSz w:w="11900" w:h="16840"/>
          <w:pgMar w:top="1140" w:right="1140" w:bottom="1440" w:left="1140" w:header="1140" w:footer="1440" w:gutter="0"/>
          <w:cols w:space="708"/>
        </w:sectPr>
      </w:pPr>
      <w:r>
        <w:rPr>
          <w:rFonts w:ascii="Century Gothic" w:eastAsia="Century Gothic" w:hAnsi="Century Gothic" w:cs="Century Gothic"/>
          <w:color w:val="000000"/>
          <w:sz w:val="22"/>
          <w:lang w:val="fr-FR"/>
        </w:rPr>
        <w:fldChar w:fldCharType="end"/>
      </w:r>
    </w:p>
    <w:tbl>
      <w:tblPr>
        <w:tblW w:w="0" w:type="auto"/>
        <w:tblLayout w:type="fixed"/>
        <w:tblLook w:val="04A0" w:firstRow="1" w:lastRow="0" w:firstColumn="1" w:lastColumn="0" w:noHBand="0" w:noVBand="1"/>
      </w:tblPr>
      <w:tblGrid>
        <w:gridCol w:w="9620"/>
      </w:tblGrid>
      <w:tr w:rsidR="00EE3428" w14:paraId="1EEC57F9" w14:textId="77777777" w:rsidTr="009D4633">
        <w:trPr>
          <w:trHeight w:val="396"/>
        </w:trPr>
        <w:tc>
          <w:tcPr>
            <w:tcW w:w="9620" w:type="dxa"/>
            <w:shd w:val="clear" w:color="FD2456" w:fill="FD2456"/>
            <w:tcMar>
              <w:top w:w="30" w:type="dxa"/>
              <w:left w:w="80" w:type="dxa"/>
              <w:bottom w:w="45" w:type="dxa"/>
              <w:right w:w="80" w:type="dxa"/>
            </w:tcMar>
          </w:tcPr>
          <w:p w14:paraId="69312F31" w14:textId="77777777" w:rsidR="00EE3428" w:rsidRDefault="00035DCC">
            <w:pPr>
              <w:pStyle w:val="Titre1"/>
              <w:rPr>
                <w:rFonts w:ascii="Century Gothic" w:eastAsia="Century Gothic" w:hAnsi="Century Gothic" w:cs="Century Gothic"/>
                <w:color w:val="FFFFFF"/>
                <w:sz w:val="28"/>
                <w:lang w:val="fr-FR"/>
              </w:rPr>
            </w:pPr>
            <w:bookmarkStart w:id="0" w:name="ArtL1_RC-2-A1"/>
            <w:bookmarkStart w:id="1" w:name="_Toc186199709"/>
            <w:bookmarkEnd w:id="0"/>
            <w:r>
              <w:rPr>
                <w:rFonts w:ascii="Century Gothic" w:eastAsia="Century Gothic" w:hAnsi="Century Gothic" w:cs="Century Gothic"/>
                <w:color w:val="FFFFFF"/>
                <w:sz w:val="28"/>
                <w:lang w:val="fr-FR"/>
              </w:rPr>
              <w:lastRenderedPageBreak/>
              <w:t>1 - Objet et étendue de la consultation</w:t>
            </w:r>
            <w:bookmarkEnd w:id="1"/>
          </w:p>
        </w:tc>
      </w:tr>
    </w:tbl>
    <w:p w14:paraId="6BF7B7E2" w14:textId="77777777" w:rsidR="00EE3428" w:rsidRDefault="00035DCC">
      <w:pPr>
        <w:spacing w:line="60" w:lineRule="exact"/>
        <w:rPr>
          <w:sz w:val="6"/>
        </w:rPr>
      </w:pPr>
      <w:r>
        <w:t xml:space="preserve"> </w:t>
      </w:r>
    </w:p>
    <w:p w14:paraId="19563D6F"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2" w:name="ArtL2_RC-2-A1.1"/>
      <w:bookmarkStart w:id="3" w:name="_Toc186199710"/>
      <w:bookmarkEnd w:id="2"/>
      <w:r>
        <w:rPr>
          <w:rFonts w:ascii="Century Gothic" w:eastAsia="Century Gothic" w:hAnsi="Century Gothic" w:cs="Century Gothic"/>
          <w:i w:val="0"/>
          <w:color w:val="000000"/>
          <w:sz w:val="24"/>
          <w:lang w:val="fr-FR"/>
        </w:rPr>
        <w:t>1.1 - Objet</w:t>
      </w:r>
      <w:bookmarkEnd w:id="3"/>
    </w:p>
    <w:p w14:paraId="1C7F8732" w14:textId="77777777" w:rsidR="00EE3428" w:rsidRDefault="00035DCC">
      <w:pPr>
        <w:pStyle w:val="ParagrapheIndent2"/>
        <w:spacing w:line="245" w:lineRule="exact"/>
        <w:jc w:val="both"/>
        <w:rPr>
          <w:color w:val="000000"/>
          <w:lang w:val="fr-FR"/>
        </w:rPr>
      </w:pPr>
      <w:r>
        <w:rPr>
          <w:color w:val="000000"/>
          <w:lang w:val="fr-FR"/>
        </w:rPr>
        <w:t>La présente consultation concerne :</w:t>
      </w:r>
    </w:p>
    <w:p w14:paraId="063C3EB8" w14:textId="6DA7DC19" w:rsidR="005640DE" w:rsidRDefault="005640DE" w:rsidP="005640DE">
      <w:pPr>
        <w:pStyle w:val="ParagrapheIndent2"/>
        <w:spacing w:line="245" w:lineRule="exact"/>
        <w:jc w:val="both"/>
        <w:rPr>
          <w:color w:val="000000"/>
          <w:lang w:val="fr-FR"/>
        </w:rPr>
      </w:pPr>
      <w:r>
        <w:rPr>
          <w:color w:val="000000"/>
          <w:lang w:val="fr-FR"/>
        </w:rPr>
        <w:t xml:space="preserve">Assistance à maitrise d'ouvrage, études de programmation et conduite d'opération pour la </w:t>
      </w:r>
      <w:r w:rsidRPr="00F8344C">
        <w:rPr>
          <w:color w:val="000000"/>
          <w:lang w:val="fr-FR"/>
        </w:rPr>
        <w:t xml:space="preserve">construction d'un </w:t>
      </w:r>
      <w:r w:rsidR="009D4633">
        <w:rPr>
          <w:color w:val="000000"/>
          <w:lang w:val="fr-FR"/>
        </w:rPr>
        <w:t>h</w:t>
      </w:r>
      <w:r w:rsidRPr="00F8344C">
        <w:rPr>
          <w:color w:val="000000"/>
          <w:lang w:val="fr-FR"/>
        </w:rPr>
        <w:t>ôpital de jour pour adultes sur Briec sur l’Odet</w:t>
      </w:r>
    </w:p>
    <w:p w14:paraId="503EBC82" w14:textId="77777777" w:rsidR="005640DE" w:rsidRDefault="005640DE" w:rsidP="005640DE">
      <w:pPr>
        <w:pStyle w:val="ParagrapheIndent2"/>
        <w:spacing w:line="245" w:lineRule="exact"/>
        <w:jc w:val="both"/>
        <w:rPr>
          <w:color w:val="000000"/>
          <w:lang w:val="fr-FR"/>
        </w:rPr>
      </w:pPr>
    </w:p>
    <w:p w14:paraId="5B203C53" w14:textId="5C5627F6" w:rsidR="005640DE" w:rsidRPr="00117729" w:rsidRDefault="005640DE" w:rsidP="009D4633">
      <w:pPr>
        <w:pStyle w:val="ParagrapheIndent2"/>
        <w:spacing w:after="240" w:line="245" w:lineRule="exact"/>
        <w:jc w:val="both"/>
        <w:rPr>
          <w:color w:val="000000"/>
          <w:lang w:val="fr-FR"/>
        </w:rPr>
      </w:pPr>
      <w:r w:rsidRPr="00F8344C">
        <w:rPr>
          <w:color w:val="000000"/>
          <w:lang w:val="fr-FR"/>
        </w:rPr>
        <w:t xml:space="preserve">Dans le cadre de son schéma directeur immobilier, l'EPSM du Finistère sud souhaite relocaliser son hôpital de jour situé à Châteaulin en construisant un nouveau bâtiment sur son terrain situé rue </w:t>
      </w:r>
      <w:r w:rsidR="009D4633">
        <w:rPr>
          <w:color w:val="000000"/>
          <w:lang w:val="fr-FR"/>
        </w:rPr>
        <w:t>M</w:t>
      </w:r>
      <w:r w:rsidRPr="00F8344C">
        <w:rPr>
          <w:color w:val="000000"/>
          <w:lang w:val="fr-FR"/>
        </w:rPr>
        <w:t>adeleine Lagadec à Briec sur l’</w:t>
      </w:r>
      <w:proofErr w:type="spellStart"/>
      <w:r w:rsidRPr="00F8344C">
        <w:rPr>
          <w:color w:val="000000"/>
          <w:lang w:val="fr-FR"/>
        </w:rPr>
        <w:t>Odet</w:t>
      </w:r>
      <w:r w:rsidR="00F8344C">
        <w:rPr>
          <w:color w:val="000000"/>
          <w:lang w:val="fr-FR"/>
        </w:rPr>
        <w:t>.</w:t>
      </w:r>
      <w:r w:rsidRPr="00F8344C">
        <w:rPr>
          <w:color w:val="000000"/>
          <w:lang w:val="fr-FR"/>
        </w:rPr>
        <w:t>Il</w:t>
      </w:r>
      <w:proofErr w:type="spellEnd"/>
      <w:r w:rsidRPr="00F8344C">
        <w:rPr>
          <w:color w:val="000000"/>
          <w:lang w:val="fr-FR"/>
        </w:rPr>
        <w:t xml:space="preserve"> est à noter que le terrain est déjà occupé</w:t>
      </w:r>
      <w:r w:rsidR="009D4633">
        <w:rPr>
          <w:color w:val="000000"/>
          <w:lang w:val="fr-FR"/>
        </w:rPr>
        <w:t>,</w:t>
      </w:r>
      <w:r w:rsidRPr="00F8344C">
        <w:rPr>
          <w:color w:val="000000"/>
          <w:lang w:val="fr-FR"/>
        </w:rPr>
        <w:t xml:space="preserve"> en partie</w:t>
      </w:r>
      <w:r w:rsidR="009D4633">
        <w:rPr>
          <w:color w:val="000000"/>
          <w:lang w:val="fr-FR"/>
        </w:rPr>
        <w:t>,</w:t>
      </w:r>
      <w:r w:rsidRPr="00F8344C">
        <w:rPr>
          <w:color w:val="000000"/>
          <w:lang w:val="fr-FR"/>
        </w:rPr>
        <w:t xml:space="preserve"> par un centre médico psychologique pour adulte. Le projet devra par conséquent être conçu tout en analysant l’impact sur le bâtiment existant.</w:t>
      </w:r>
    </w:p>
    <w:p w14:paraId="7EB72E6A" w14:textId="77777777" w:rsidR="005640DE" w:rsidRPr="00117729" w:rsidRDefault="005640DE" w:rsidP="005640DE">
      <w:pPr>
        <w:rPr>
          <w:lang w:val="fr-FR"/>
        </w:rPr>
      </w:pPr>
    </w:p>
    <w:p w14:paraId="547C98C9" w14:textId="77777777" w:rsidR="005640DE" w:rsidRDefault="005640DE" w:rsidP="005640DE">
      <w:pPr>
        <w:pStyle w:val="ParagrapheIndent2"/>
        <w:spacing w:line="245" w:lineRule="exact"/>
        <w:jc w:val="both"/>
        <w:rPr>
          <w:color w:val="000000"/>
          <w:lang w:val="fr-FR"/>
        </w:rPr>
      </w:pPr>
      <w:r>
        <w:rPr>
          <w:color w:val="000000"/>
          <w:lang w:val="fr-FR"/>
        </w:rPr>
        <w:t>Lieu(x) d'exécution :</w:t>
      </w:r>
    </w:p>
    <w:p w14:paraId="14773BAA" w14:textId="3E854415" w:rsidR="005640DE" w:rsidRPr="009D4633" w:rsidRDefault="005640DE" w:rsidP="009D4633">
      <w:pPr>
        <w:pStyle w:val="Paragraphedeliste"/>
        <w:numPr>
          <w:ilvl w:val="0"/>
          <w:numId w:val="1"/>
        </w:numPr>
        <w:rPr>
          <w:rFonts w:ascii="Century Gothic" w:eastAsia="Century Gothic" w:hAnsi="Century Gothic" w:cs="Century Gothic"/>
          <w:color w:val="000000"/>
          <w:sz w:val="20"/>
          <w:u w:val="single"/>
          <w:lang w:val="fr-FR"/>
        </w:rPr>
      </w:pPr>
      <w:r w:rsidRPr="009D4633">
        <w:rPr>
          <w:rFonts w:ascii="Century Gothic" w:eastAsia="Century Gothic" w:hAnsi="Century Gothic" w:cs="Century Gothic"/>
          <w:color w:val="000000"/>
          <w:sz w:val="20"/>
          <w:u w:val="single"/>
          <w:lang w:val="fr-FR"/>
        </w:rPr>
        <w:t>Partie études</w:t>
      </w:r>
      <w:r w:rsidR="00F8344C" w:rsidRPr="009D4633">
        <w:rPr>
          <w:rFonts w:ascii="Century Gothic" w:eastAsia="Century Gothic" w:hAnsi="Century Gothic" w:cs="Century Gothic"/>
          <w:color w:val="000000"/>
          <w:sz w:val="20"/>
          <w:u w:val="single"/>
          <w:lang w:val="fr-FR"/>
        </w:rPr>
        <w:t> :</w:t>
      </w:r>
    </w:p>
    <w:p w14:paraId="3D38B75C" w14:textId="77777777" w:rsidR="005640DE" w:rsidRPr="00F8344C" w:rsidRDefault="005640DE" w:rsidP="009D4633">
      <w:pPr>
        <w:pStyle w:val="ParagrapheIndent2"/>
        <w:spacing w:line="245" w:lineRule="exact"/>
        <w:ind w:firstLine="720"/>
        <w:jc w:val="both"/>
        <w:rPr>
          <w:color w:val="000000"/>
          <w:lang w:val="fr-FR"/>
        </w:rPr>
      </w:pPr>
      <w:r w:rsidRPr="00F8344C">
        <w:rPr>
          <w:color w:val="000000"/>
          <w:lang w:val="fr-FR"/>
        </w:rPr>
        <w:t xml:space="preserve">EPSM DU FINISTERE SUD - </w:t>
      </w:r>
    </w:p>
    <w:p w14:paraId="43DF0CA7" w14:textId="77777777" w:rsidR="005640DE" w:rsidRPr="00F8344C" w:rsidRDefault="005640DE" w:rsidP="009D4633">
      <w:pPr>
        <w:pStyle w:val="ParagrapheIndent2"/>
        <w:spacing w:line="245" w:lineRule="exact"/>
        <w:ind w:firstLine="720"/>
        <w:jc w:val="both"/>
        <w:rPr>
          <w:color w:val="000000"/>
          <w:lang w:val="fr-FR"/>
        </w:rPr>
      </w:pPr>
      <w:r w:rsidRPr="00F8344C">
        <w:rPr>
          <w:color w:val="000000"/>
          <w:lang w:val="fr-FR"/>
        </w:rPr>
        <w:t>18 HENT GLAZ</w:t>
      </w:r>
    </w:p>
    <w:p w14:paraId="6BEEDF9B" w14:textId="77777777" w:rsidR="009D4633" w:rsidRPr="009D4633" w:rsidRDefault="005640DE" w:rsidP="009D4633">
      <w:pPr>
        <w:pStyle w:val="Paragraphedeliste"/>
        <w:rPr>
          <w:rFonts w:ascii="Century Gothic" w:eastAsia="Century Gothic" w:hAnsi="Century Gothic" w:cs="Century Gothic"/>
          <w:color w:val="000000"/>
          <w:sz w:val="20"/>
          <w:lang w:val="fr-FR"/>
        </w:rPr>
      </w:pPr>
      <w:r w:rsidRPr="009D4633">
        <w:rPr>
          <w:rFonts w:ascii="Century Gothic" w:eastAsia="Century Gothic" w:hAnsi="Century Gothic" w:cs="Century Gothic"/>
          <w:color w:val="000000"/>
          <w:sz w:val="20"/>
          <w:lang w:val="fr-FR"/>
        </w:rPr>
        <w:t>29000 QUIMPER</w:t>
      </w:r>
    </w:p>
    <w:p w14:paraId="01B4922D" w14:textId="0D7F6914" w:rsidR="005640DE" w:rsidRPr="009D4633" w:rsidRDefault="005640DE" w:rsidP="009D4633">
      <w:pPr>
        <w:pStyle w:val="Paragraphedeliste"/>
        <w:numPr>
          <w:ilvl w:val="0"/>
          <w:numId w:val="1"/>
        </w:numPr>
        <w:rPr>
          <w:rFonts w:ascii="Century Gothic" w:eastAsia="Century Gothic" w:hAnsi="Century Gothic" w:cs="Century Gothic"/>
          <w:color w:val="000000"/>
          <w:sz w:val="20"/>
          <w:u w:val="single"/>
          <w:lang w:val="fr-FR"/>
        </w:rPr>
      </w:pPr>
      <w:r w:rsidRPr="009D4633">
        <w:rPr>
          <w:rFonts w:ascii="Century Gothic" w:eastAsia="Century Gothic" w:hAnsi="Century Gothic" w:cs="Century Gothic"/>
          <w:color w:val="000000"/>
          <w:sz w:val="20"/>
          <w:u w:val="single"/>
          <w:lang w:val="fr-FR"/>
        </w:rPr>
        <w:t>Partie chantier</w:t>
      </w:r>
      <w:r w:rsidR="00F8344C" w:rsidRPr="009D4633">
        <w:rPr>
          <w:rFonts w:ascii="Century Gothic" w:eastAsia="Century Gothic" w:hAnsi="Century Gothic" w:cs="Century Gothic"/>
          <w:color w:val="000000"/>
          <w:sz w:val="20"/>
          <w:u w:val="single"/>
          <w:lang w:val="fr-FR"/>
        </w:rPr>
        <w:t> :</w:t>
      </w:r>
    </w:p>
    <w:p w14:paraId="6B776659" w14:textId="77777777" w:rsidR="00F8344C" w:rsidRPr="009D4633" w:rsidRDefault="005640DE" w:rsidP="009D4633">
      <w:pPr>
        <w:pStyle w:val="Paragraphedeliste"/>
        <w:rPr>
          <w:rFonts w:ascii="Century Gothic" w:eastAsia="Century Gothic" w:hAnsi="Century Gothic" w:cs="Century Gothic"/>
          <w:color w:val="000000"/>
          <w:sz w:val="20"/>
          <w:lang w:val="fr-FR"/>
        </w:rPr>
      </w:pPr>
      <w:r w:rsidRPr="009D4633">
        <w:rPr>
          <w:rFonts w:ascii="Century Gothic" w:eastAsia="Century Gothic" w:hAnsi="Century Gothic" w:cs="Century Gothic"/>
          <w:color w:val="000000"/>
          <w:sz w:val="20"/>
          <w:lang w:val="fr-FR"/>
        </w:rPr>
        <w:t>Rue madeleine Lagadec</w:t>
      </w:r>
    </w:p>
    <w:p w14:paraId="07588B43" w14:textId="14C12BD2" w:rsidR="005640DE" w:rsidRPr="009D4633" w:rsidRDefault="00F8344C" w:rsidP="009D4633">
      <w:pPr>
        <w:pStyle w:val="Paragraphedeliste"/>
        <w:rPr>
          <w:rFonts w:ascii="Century Gothic" w:eastAsia="Century Gothic" w:hAnsi="Century Gothic" w:cs="Century Gothic"/>
          <w:color w:val="000000"/>
          <w:sz w:val="20"/>
          <w:lang w:val="fr-FR"/>
        </w:rPr>
      </w:pPr>
      <w:r w:rsidRPr="009D4633">
        <w:rPr>
          <w:rFonts w:ascii="Century Gothic" w:eastAsia="Century Gothic" w:hAnsi="Century Gothic" w:cs="Century Gothic"/>
          <w:color w:val="000000"/>
          <w:sz w:val="20"/>
          <w:lang w:val="fr-FR"/>
        </w:rPr>
        <w:t>29510 RIEC</w:t>
      </w:r>
    </w:p>
    <w:p w14:paraId="767FA32C" w14:textId="77777777" w:rsidR="00F8344C" w:rsidRPr="009D4633" w:rsidRDefault="00F8344C" w:rsidP="009D4633">
      <w:pPr>
        <w:pStyle w:val="Paragraphedeliste"/>
        <w:rPr>
          <w:rFonts w:ascii="Century Gothic" w:eastAsia="Century Gothic" w:hAnsi="Century Gothic" w:cs="Century Gothic"/>
          <w:color w:val="000000"/>
          <w:sz w:val="20"/>
          <w:lang w:val="fr-FR"/>
        </w:rPr>
      </w:pPr>
    </w:p>
    <w:p w14:paraId="7E2004B4" w14:textId="25C7A131" w:rsidR="00EE3428" w:rsidRDefault="00035DCC">
      <w:pPr>
        <w:pStyle w:val="ParagrapheIndent2"/>
        <w:spacing w:line="245" w:lineRule="exact"/>
        <w:jc w:val="both"/>
        <w:rPr>
          <w:color w:val="000000"/>
          <w:lang w:val="fr-FR"/>
        </w:rPr>
      </w:pPr>
      <w:r>
        <w:rPr>
          <w:color w:val="000000"/>
          <w:lang w:val="fr-FR"/>
        </w:rPr>
        <w:t>Cette consultation est lancée par un groupement d'acheteurs constitué sous la forme suivante : groupement Hospitalier de Territoire (GHT).</w:t>
      </w:r>
    </w:p>
    <w:p w14:paraId="2D616C05" w14:textId="77777777" w:rsidR="00EE3428" w:rsidRDefault="00EE3428">
      <w:pPr>
        <w:pStyle w:val="ParagrapheIndent2"/>
        <w:spacing w:line="245" w:lineRule="exact"/>
        <w:jc w:val="both"/>
        <w:rPr>
          <w:color w:val="000000"/>
          <w:lang w:val="fr-FR"/>
        </w:rPr>
      </w:pPr>
    </w:p>
    <w:p w14:paraId="15E3E142" w14:textId="15FF0269" w:rsidR="00EE3428" w:rsidRDefault="00035DCC">
      <w:pPr>
        <w:pStyle w:val="ParagrapheIndent2"/>
        <w:spacing w:line="245" w:lineRule="exact"/>
        <w:jc w:val="both"/>
        <w:rPr>
          <w:color w:val="000000"/>
          <w:lang w:val="fr-FR"/>
        </w:rPr>
      </w:pPr>
      <w:r>
        <w:rPr>
          <w:color w:val="000000"/>
          <w:lang w:val="fr-FR"/>
        </w:rPr>
        <w:t>Acheteurs partenaires :</w:t>
      </w:r>
      <w:r w:rsidR="009D4633">
        <w:rPr>
          <w:color w:val="000000"/>
          <w:lang w:val="fr-FR"/>
        </w:rPr>
        <w:t xml:space="preserve"> </w:t>
      </w:r>
      <w:r>
        <w:rPr>
          <w:color w:val="000000"/>
          <w:lang w:val="fr-FR"/>
        </w:rPr>
        <w:t>EPSM DU FINISTERE SUD</w:t>
      </w:r>
    </w:p>
    <w:p w14:paraId="62455F17" w14:textId="77777777" w:rsidR="00EE3428" w:rsidRDefault="00EE3428">
      <w:pPr>
        <w:pStyle w:val="ParagrapheIndent2"/>
        <w:spacing w:line="245" w:lineRule="exact"/>
        <w:jc w:val="both"/>
        <w:rPr>
          <w:color w:val="000000"/>
          <w:lang w:val="fr-FR"/>
        </w:rPr>
      </w:pPr>
    </w:p>
    <w:p w14:paraId="1F383C6E" w14:textId="77777777" w:rsidR="00EE3428" w:rsidRDefault="00035DCC">
      <w:pPr>
        <w:pStyle w:val="ParagrapheIndent2"/>
        <w:spacing w:after="240" w:line="245" w:lineRule="exact"/>
        <w:jc w:val="both"/>
        <w:rPr>
          <w:color w:val="000000"/>
          <w:lang w:val="fr-FR"/>
        </w:rPr>
      </w:pPr>
      <w:r>
        <w:rPr>
          <w:color w:val="000000"/>
          <w:lang w:val="fr-FR"/>
        </w:rPr>
        <w:t>Acheteur référent : GHT Union Hospitalière de Cornouaille CH de Cornouaille, établissement support</w:t>
      </w:r>
    </w:p>
    <w:p w14:paraId="4B72FEA9" w14:textId="77777777" w:rsidR="00EE3428" w:rsidRDefault="00035DCC">
      <w:pPr>
        <w:pStyle w:val="ParagrapheIndent2"/>
        <w:spacing w:line="245" w:lineRule="exact"/>
        <w:jc w:val="both"/>
        <w:rPr>
          <w:color w:val="000000"/>
          <w:lang w:val="fr-FR"/>
        </w:rPr>
      </w:pPr>
      <w:r>
        <w:rPr>
          <w:color w:val="000000"/>
          <w:lang w:val="fr-FR"/>
        </w:rPr>
        <w:t>L'acheteur référent aura en charge la passation, la signature et la notification du marché.</w:t>
      </w:r>
    </w:p>
    <w:p w14:paraId="15A063CD" w14:textId="77777777" w:rsidR="00EE3428" w:rsidRDefault="00035DCC">
      <w:pPr>
        <w:pStyle w:val="ParagrapheIndent2"/>
        <w:spacing w:line="245" w:lineRule="exact"/>
        <w:jc w:val="both"/>
        <w:rPr>
          <w:color w:val="000000"/>
          <w:lang w:val="fr-FR"/>
        </w:rPr>
      </w:pPr>
      <w:r>
        <w:rPr>
          <w:color w:val="000000"/>
          <w:lang w:val="fr-FR"/>
        </w:rPr>
        <w:t>L'EPSM assurera le suivi de l'exécution du marché.</w:t>
      </w:r>
    </w:p>
    <w:p w14:paraId="4521711C" w14:textId="77777777" w:rsidR="00EE3428" w:rsidRDefault="00EE3428">
      <w:pPr>
        <w:pStyle w:val="ParagrapheIndent2"/>
        <w:spacing w:line="245" w:lineRule="exact"/>
        <w:jc w:val="both"/>
        <w:rPr>
          <w:color w:val="000000"/>
          <w:lang w:val="fr-FR"/>
        </w:rPr>
      </w:pPr>
    </w:p>
    <w:p w14:paraId="2EFD1D82" w14:textId="77777777" w:rsidR="00EE3428" w:rsidRDefault="00035DCC">
      <w:pPr>
        <w:pStyle w:val="ParagrapheIndent2"/>
        <w:spacing w:after="240" w:line="245" w:lineRule="exact"/>
        <w:jc w:val="both"/>
        <w:rPr>
          <w:color w:val="000000"/>
          <w:lang w:val="fr-FR"/>
        </w:rPr>
      </w:pPr>
      <w:r>
        <w:rPr>
          <w:color w:val="000000"/>
          <w:lang w:val="fr-FR"/>
        </w:rPr>
        <w:t>Chaque phase technique fera l'objet d'une approbation express de la part du pouvoir adjudicateur.</w:t>
      </w:r>
    </w:p>
    <w:p w14:paraId="3F61D201"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4" w:name="ArtL2_RC-2-A1.3"/>
      <w:bookmarkStart w:id="5" w:name="_Toc186199711"/>
      <w:bookmarkEnd w:id="4"/>
      <w:r>
        <w:rPr>
          <w:rFonts w:ascii="Century Gothic" w:eastAsia="Century Gothic" w:hAnsi="Century Gothic" w:cs="Century Gothic"/>
          <w:i w:val="0"/>
          <w:color w:val="000000"/>
          <w:sz w:val="24"/>
          <w:lang w:val="fr-FR"/>
        </w:rPr>
        <w:t>1.2 - Mode de passation</w:t>
      </w:r>
      <w:bookmarkEnd w:id="5"/>
    </w:p>
    <w:p w14:paraId="26C238AC" w14:textId="77777777" w:rsidR="00EE3428" w:rsidRDefault="00035DCC">
      <w:pPr>
        <w:pStyle w:val="ParagrapheIndent2"/>
        <w:spacing w:after="240" w:line="245"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0404DCD4"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6" w:name="ArtL2_RC-2-A1.4"/>
      <w:bookmarkStart w:id="7" w:name="_Toc186199712"/>
      <w:bookmarkEnd w:id="6"/>
      <w:r>
        <w:rPr>
          <w:rFonts w:ascii="Century Gothic" w:eastAsia="Century Gothic" w:hAnsi="Century Gothic" w:cs="Century Gothic"/>
          <w:i w:val="0"/>
          <w:color w:val="000000"/>
          <w:sz w:val="24"/>
          <w:lang w:val="fr-FR"/>
        </w:rPr>
        <w:t>1.3 - Type et forme de contrat</w:t>
      </w:r>
      <w:bookmarkEnd w:id="7"/>
    </w:p>
    <w:p w14:paraId="49986949" w14:textId="77777777" w:rsidR="00EE3428" w:rsidRDefault="00035DCC">
      <w:pPr>
        <w:pStyle w:val="ParagrapheIndent2"/>
        <w:spacing w:after="240"/>
        <w:jc w:val="both"/>
        <w:rPr>
          <w:color w:val="000000"/>
          <w:lang w:val="fr-FR"/>
        </w:rPr>
      </w:pPr>
      <w:r>
        <w:rPr>
          <w:color w:val="000000"/>
          <w:lang w:val="fr-FR"/>
        </w:rPr>
        <w:t>Il s'agit d'un marché ordinaire.</w:t>
      </w:r>
    </w:p>
    <w:p w14:paraId="770BFF2A"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8" w:name="ArtL2_RC-2-A1.5"/>
      <w:bookmarkStart w:id="9" w:name="_Toc186199713"/>
      <w:bookmarkEnd w:id="8"/>
      <w:r>
        <w:rPr>
          <w:rFonts w:ascii="Century Gothic" w:eastAsia="Century Gothic" w:hAnsi="Century Gothic" w:cs="Century Gothic"/>
          <w:i w:val="0"/>
          <w:color w:val="000000"/>
          <w:sz w:val="24"/>
          <w:lang w:val="fr-FR"/>
        </w:rPr>
        <w:t>1.4 - Décomposition de la consultation</w:t>
      </w:r>
      <w:bookmarkEnd w:id="9"/>
    </w:p>
    <w:p w14:paraId="2248F2CF" w14:textId="77777777" w:rsidR="00EE3428" w:rsidRDefault="00035DCC">
      <w:pPr>
        <w:pStyle w:val="ParagrapheIndent2"/>
        <w:spacing w:after="240"/>
        <w:jc w:val="both"/>
        <w:rPr>
          <w:color w:val="000000"/>
          <w:lang w:val="fr-FR"/>
        </w:rPr>
      </w:pPr>
      <w:r>
        <w:rPr>
          <w:color w:val="000000"/>
          <w:lang w:val="fr-FR"/>
        </w:rPr>
        <w:t>Il n'est pas prévu de décomposition en lots.</w:t>
      </w:r>
    </w:p>
    <w:p w14:paraId="6397AF1C"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10" w:name="ArtL2_RC-2-A1.7"/>
      <w:bookmarkStart w:id="11" w:name="_Toc186199714"/>
      <w:bookmarkEnd w:id="10"/>
      <w:r>
        <w:rPr>
          <w:rFonts w:ascii="Century Gothic" w:eastAsia="Century Gothic" w:hAnsi="Century Gothic" w:cs="Century Gothic"/>
          <w:i w:val="0"/>
          <w:color w:val="000000"/>
          <w:sz w:val="24"/>
          <w:lang w:val="fr-FR"/>
        </w:rPr>
        <w:t>1.5 - Nomenclature</w:t>
      </w:r>
      <w:bookmarkEnd w:id="11"/>
    </w:p>
    <w:p w14:paraId="4D25C30D" w14:textId="77777777" w:rsidR="00EE3428" w:rsidRDefault="00035DCC">
      <w:pPr>
        <w:pStyle w:val="ParagrapheIndent2"/>
        <w:spacing w:line="245" w:lineRule="exact"/>
        <w:jc w:val="both"/>
        <w:rPr>
          <w:color w:val="000000"/>
          <w:lang w:val="fr-FR"/>
        </w:rPr>
      </w:pPr>
      <w:r>
        <w:rPr>
          <w:color w:val="000000"/>
          <w:lang w:val="fr-FR"/>
        </w:rPr>
        <w:t>La classification conforme au vocabulaire commun des marchés européens (CPV) est :</w:t>
      </w:r>
    </w:p>
    <w:p w14:paraId="5D19FDA2" w14:textId="77777777" w:rsidR="00EE3428" w:rsidRDefault="00EE3428">
      <w:pPr>
        <w:spacing w:line="240" w:lineRule="exact"/>
      </w:pPr>
    </w:p>
    <w:tbl>
      <w:tblPr>
        <w:tblW w:w="0" w:type="auto"/>
        <w:tblLayout w:type="fixed"/>
        <w:tblLook w:val="04A0" w:firstRow="1" w:lastRow="0" w:firstColumn="1" w:lastColumn="0" w:noHBand="0" w:noVBand="1"/>
      </w:tblPr>
      <w:tblGrid>
        <w:gridCol w:w="1800"/>
        <w:gridCol w:w="7800"/>
      </w:tblGrid>
      <w:tr w:rsidR="00EE3428" w14:paraId="4F0C0DAA" w14:textId="77777777">
        <w:trPr>
          <w:trHeight w:val="505"/>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92414C8" w14:textId="77777777" w:rsidR="00EE3428" w:rsidRDefault="00035DCC">
            <w:pPr>
              <w:spacing w:before="140" w:after="4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83E09D6" w14:textId="77777777" w:rsidR="00EE3428" w:rsidRDefault="00035DCC">
            <w:pPr>
              <w:spacing w:before="140" w:after="4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Description</w:t>
            </w:r>
          </w:p>
        </w:tc>
      </w:tr>
      <w:tr w:rsidR="00EE3428" w14:paraId="6D439805" w14:textId="77777777">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751212" w14:textId="77777777" w:rsidR="00EE3428" w:rsidRDefault="00035DCC">
            <w:pPr>
              <w:spacing w:before="60" w:after="40"/>
              <w:ind w:left="40" w:right="4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71336000-2</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42F1D0" w14:textId="77777777" w:rsidR="00EE3428" w:rsidRDefault="00035DCC">
            <w:pPr>
              <w:spacing w:before="60" w:after="40"/>
              <w:ind w:left="40" w:right="4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Services d'assistance dans le domaine de l'ingénierie</w:t>
            </w:r>
          </w:p>
        </w:tc>
      </w:tr>
    </w:tbl>
    <w:p w14:paraId="552BE164" w14:textId="77777777" w:rsidR="00EE3428" w:rsidRDefault="00EE3428">
      <w:pPr>
        <w:sectPr w:rsidR="00EE3428">
          <w:footerReference w:type="default" r:id="rId20"/>
          <w:pgSz w:w="11900" w:h="16840"/>
          <w:pgMar w:top="1140" w:right="1140" w:bottom="1140" w:left="1140" w:header="1140" w:footer="1140" w:gutter="0"/>
          <w:cols w:space="708"/>
        </w:sectPr>
      </w:pPr>
    </w:p>
    <w:p w14:paraId="06B20C8D" w14:textId="77777777" w:rsidR="00EE3428" w:rsidRDefault="00EE3428">
      <w:pPr>
        <w:spacing w:line="240" w:lineRule="exact"/>
      </w:pPr>
    </w:p>
    <w:p w14:paraId="77982741" w14:textId="77777777" w:rsidR="00EE3428" w:rsidRDefault="00EE3428">
      <w:pPr>
        <w:spacing w:after="180" w:line="240" w:lineRule="exact"/>
      </w:pPr>
    </w:p>
    <w:tbl>
      <w:tblPr>
        <w:tblW w:w="0" w:type="auto"/>
        <w:tblLayout w:type="fixed"/>
        <w:tblLook w:val="04A0" w:firstRow="1" w:lastRow="0" w:firstColumn="1" w:lastColumn="0" w:noHBand="0" w:noVBand="1"/>
      </w:tblPr>
      <w:tblGrid>
        <w:gridCol w:w="9620"/>
      </w:tblGrid>
      <w:tr w:rsidR="00EE3428" w14:paraId="262BD232" w14:textId="77777777">
        <w:tc>
          <w:tcPr>
            <w:tcW w:w="9620" w:type="dxa"/>
            <w:shd w:val="clear" w:color="FD2456" w:fill="FD2456"/>
            <w:tcMar>
              <w:top w:w="30" w:type="dxa"/>
              <w:left w:w="80" w:type="dxa"/>
              <w:bottom w:w="45" w:type="dxa"/>
              <w:right w:w="80" w:type="dxa"/>
            </w:tcMar>
          </w:tcPr>
          <w:p w14:paraId="2326E4FF" w14:textId="77777777" w:rsidR="00EE3428" w:rsidRDefault="00035DCC">
            <w:pPr>
              <w:pStyle w:val="Titre1"/>
              <w:rPr>
                <w:rFonts w:ascii="Century Gothic" w:eastAsia="Century Gothic" w:hAnsi="Century Gothic" w:cs="Century Gothic"/>
                <w:color w:val="FFFFFF"/>
                <w:sz w:val="28"/>
                <w:lang w:val="fr-FR"/>
              </w:rPr>
            </w:pPr>
            <w:bookmarkStart w:id="12" w:name="ArtL1_RC-2-A2"/>
            <w:bookmarkStart w:id="13" w:name="_Toc186199715"/>
            <w:bookmarkEnd w:id="12"/>
            <w:r>
              <w:rPr>
                <w:rFonts w:ascii="Century Gothic" w:eastAsia="Century Gothic" w:hAnsi="Century Gothic" w:cs="Century Gothic"/>
                <w:color w:val="FFFFFF"/>
                <w:sz w:val="28"/>
                <w:lang w:val="fr-FR"/>
              </w:rPr>
              <w:t>2 - Conditions de la consultation</w:t>
            </w:r>
            <w:bookmarkEnd w:id="13"/>
          </w:p>
        </w:tc>
      </w:tr>
    </w:tbl>
    <w:p w14:paraId="7A2B8D8B" w14:textId="77777777" w:rsidR="00EE3428" w:rsidRDefault="00035DCC">
      <w:pPr>
        <w:spacing w:line="60" w:lineRule="exact"/>
        <w:rPr>
          <w:sz w:val="6"/>
        </w:rPr>
      </w:pPr>
      <w:r>
        <w:t xml:space="preserve"> </w:t>
      </w:r>
    </w:p>
    <w:p w14:paraId="73E21557"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14" w:name="ArtL2_RC-2-A2.2"/>
      <w:bookmarkStart w:id="15" w:name="_Toc186199716"/>
      <w:bookmarkEnd w:id="14"/>
      <w:r>
        <w:rPr>
          <w:rFonts w:ascii="Century Gothic" w:eastAsia="Century Gothic" w:hAnsi="Century Gothic" w:cs="Century Gothic"/>
          <w:i w:val="0"/>
          <w:color w:val="000000"/>
          <w:sz w:val="24"/>
          <w:lang w:val="fr-FR"/>
        </w:rPr>
        <w:t>2.1 - Délai de validité des offres</w:t>
      </w:r>
      <w:bookmarkEnd w:id="15"/>
    </w:p>
    <w:p w14:paraId="43599095" w14:textId="77777777" w:rsidR="00EE3428" w:rsidRDefault="00035DCC">
      <w:pPr>
        <w:pStyle w:val="ParagrapheIndent2"/>
        <w:spacing w:after="240" w:line="245" w:lineRule="exact"/>
        <w:jc w:val="both"/>
        <w:rPr>
          <w:color w:val="000000"/>
          <w:lang w:val="fr-FR"/>
        </w:rPr>
      </w:pPr>
      <w:r>
        <w:rPr>
          <w:color w:val="000000"/>
          <w:lang w:val="fr-FR"/>
        </w:rPr>
        <w:t>Le délai de validité des offres est fixé à 120 jours à compter de la date limite de réception des offres.</w:t>
      </w:r>
    </w:p>
    <w:p w14:paraId="5E0C8635"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16" w:name="ArtL2_RC-2-A2.3"/>
      <w:bookmarkStart w:id="17" w:name="_Toc186199717"/>
      <w:bookmarkEnd w:id="16"/>
      <w:r>
        <w:rPr>
          <w:rFonts w:ascii="Century Gothic" w:eastAsia="Century Gothic" w:hAnsi="Century Gothic" w:cs="Century Gothic"/>
          <w:i w:val="0"/>
          <w:color w:val="000000"/>
          <w:sz w:val="24"/>
          <w:lang w:val="fr-FR"/>
        </w:rPr>
        <w:t>2.2 - Forme juridique du groupement</w:t>
      </w:r>
      <w:bookmarkEnd w:id="17"/>
    </w:p>
    <w:p w14:paraId="2185968B" w14:textId="77777777" w:rsidR="00EE3428" w:rsidRDefault="00035DCC">
      <w:pPr>
        <w:pStyle w:val="ParagrapheIndent2"/>
        <w:spacing w:after="240" w:line="245" w:lineRule="exact"/>
        <w:jc w:val="both"/>
        <w:rPr>
          <w:color w:val="000000"/>
          <w:lang w:val="fr-FR"/>
        </w:rPr>
      </w:pPr>
      <w:r>
        <w:rPr>
          <w:color w:val="000000"/>
          <w:lang w:val="fr-FR"/>
        </w:rPr>
        <w:t>Le pouvoir adjudicateur ne souhaite imposer aucune forme de groupement à l'attributaire du marché.</w:t>
      </w:r>
    </w:p>
    <w:p w14:paraId="1CED0C91" w14:textId="77777777" w:rsidR="00EE3428" w:rsidRDefault="00035DCC">
      <w:pPr>
        <w:pStyle w:val="ParagrapheIndent2"/>
        <w:spacing w:after="240" w:line="245"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w:t>
      </w:r>
    </w:p>
    <w:p w14:paraId="4D07E7BF" w14:textId="77777777" w:rsidR="00EE3428" w:rsidRDefault="00035DCC">
      <w:pPr>
        <w:pStyle w:val="ParagrapheIndent2"/>
        <w:spacing w:line="245" w:lineRule="exact"/>
        <w:jc w:val="both"/>
        <w:rPr>
          <w:color w:val="000000"/>
          <w:lang w:val="fr-FR"/>
        </w:rPr>
      </w:pPr>
      <w:r>
        <w:rPr>
          <w:color w:val="000000"/>
          <w:lang w:val="fr-FR"/>
        </w:rPr>
        <w:t>Les tâches suivantes seront effectuées par un ou plusieurs membres du groupement dans les conditions suivantes :</w:t>
      </w:r>
    </w:p>
    <w:p w14:paraId="435278C2" w14:textId="77777777" w:rsidR="00EE3428" w:rsidRDefault="00035DCC">
      <w:pPr>
        <w:pStyle w:val="ParagrapheIndent2"/>
        <w:spacing w:line="245" w:lineRule="exact"/>
        <w:jc w:val="both"/>
        <w:rPr>
          <w:color w:val="000000"/>
          <w:lang w:val="fr-FR"/>
        </w:rPr>
      </w:pPr>
      <w:r>
        <w:rPr>
          <w:color w:val="000000"/>
          <w:lang w:val="fr-FR"/>
        </w:rPr>
        <w:t xml:space="preserve">Les candidats peuvent présenter </w:t>
      </w:r>
      <w:proofErr w:type="gramStart"/>
      <w:r>
        <w:rPr>
          <w:color w:val="000000"/>
          <w:lang w:val="fr-FR"/>
        </w:rPr>
        <w:t>une offre seuls</w:t>
      </w:r>
      <w:proofErr w:type="gramEnd"/>
      <w:r>
        <w:rPr>
          <w:color w:val="000000"/>
          <w:lang w:val="fr-FR"/>
        </w:rPr>
        <w:t xml:space="preserve"> ou en groupement.</w:t>
      </w:r>
    </w:p>
    <w:p w14:paraId="4DEF734E" w14:textId="77777777" w:rsidR="00EE3428" w:rsidRDefault="00035DCC">
      <w:pPr>
        <w:pStyle w:val="ParagrapheIndent2"/>
        <w:spacing w:line="245" w:lineRule="exact"/>
        <w:jc w:val="both"/>
        <w:rPr>
          <w:color w:val="000000"/>
          <w:lang w:val="fr-FR"/>
        </w:rPr>
      </w:pPr>
      <w:r>
        <w:rPr>
          <w:color w:val="000000"/>
          <w:lang w:val="fr-FR"/>
        </w:rPr>
        <w:t>La composition du groupement ne peut pas être modifiée entre la remise des candidatures et la date de signature du marché, sauf après autorisation donnée par le pouvoir adjudicateur ou son représentant, dans les conditions prévues à l’article R2151-7 du Code de la Commande Publique.</w:t>
      </w:r>
    </w:p>
    <w:p w14:paraId="76276674" w14:textId="45495D35" w:rsidR="00EE3428" w:rsidRDefault="00035DCC">
      <w:pPr>
        <w:pStyle w:val="ParagrapheIndent2"/>
        <w:spacing w:line="245" w:lineRule="exact"/>
        <w:jc w:val="both"/>
        <w:rPr>
          <w:color w:val="000000"/>
          <w:lang w:val="fr-FR"/>
        </w:rPr>
      </w:pPr>
      <w:r>
        <w:rPr>
          <w:color w:val="000000"/>
          <w:lang w:val="fr-FR"/>
        </w:rPr>
        <w:t>En application de l'article R2151-7 du Code de la Commande Publique, la personne publique interdit aux candidats de présenter leurs offres en agissant à la fois en qualité de candidats individuels et de membres d'un ou plusieurs groupements.</w:t>
      </w:r>
    </w:p>
    <w:p w14:paraId="6092584A" w14:textId="77777777" w:rsidR="00EE3428" w:rsidRDefault="00035DCC">
      <w:pPr>
        <w:pStyle w:val="ParagrapheIndent2"/>
        <w:spacing w:line="245" w:lineRule="exact"/>
        <w:jc w:val="both"/>
        <w:rPr>
          <w:color w:val="000000"/>
          <w:lang w:val="fr-FR"/>
        </w:rPr>
      </w:pPr>
      <w:r>
        <w:rPr>
          <w:color w:val="000000"/>
          <w:lang w:val="fr-FR"/>
        </w:rPr>
        <w:t>En cas de groupement, l’un des prestataires membres du groupement est désigné dans l’acte d’engagement comme mandataire. Celui-ci représentera l’ensemble des membres vis-à-vis du pouvoir adjudicateur et coordonnera les prestations du marché.</w:t>
      </w:r>
    </w:p>
    <w:p w14:paraId="6951FB4D" w14:textId="77777777" w:rsidR="00EE3428" w:rsidRDefault="00035DCC">
      <w:pPr>
        <w:pStyle w:val="ParagrapheIndent2"/>
        <w:spacing w:line="245" w:lineRule="exact"/>
        <w:jc w:val="both"/>
        <w:rPr>
          <w:color w:val="000000"/>
          <w:lang w:val="fr-FR"/>
        </w:rPr>
      </w:pPr>
      <w:r>
        <w:rPr>
          <w:color w:val="000000"/>
          <w:lang w:val="fr-FR"/>
        </w:rPr>
        <w:t>Les candidatures et offres doivent être signées, soit par l’ensemble des entreprises groupées, soit par le mandataire s’il justifie des habilitations nécessaires au moment de l’attribution du marché.</w:t>
      </w:r>
    </w:p>
    <w:p w14:paraId="0922B2CF" w14:textId="77777777" w:rsidR="00EE3428" w:rsidRDefault="00035DCC">
      <w:pPr>
        <w:pStyle w:val="ParagrapheIndent2"/>
        <w:spacing w:after="240" w:line="245" w:lineRule="exact"/>
        <w:jc w:val="both"/>
        <w:rPr>
          <w:color w:val="000000"/>
          <w:lang w:val="fr-FR"/>
        </w:rPr>
      </w:pPr>
      <w:r>
        <w:rPr>
          <w:color w:val="000000"/>
          <w:lang w:val="fr-FR"/>
        </w:rPr>
        <w:t>Lors de l’attribution du marché aucune forme de groupement n’est imposée par la personne publique mais le mandataire sera solidaire des autres membres du groupement.</w:t>
      </w:r>
    </w:p>
    <w:p w14:paraId="13327004"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18" w:name="ArtL2_RC-2-A2.5"/>
      <w:bookmarkStart w:id="19" w:name="_Toc186199718"/>
      <w:bookmarkEnd w:id="18"/>
      <w:r>
        <w:rPr>
          <w:rFonts w:ascii="Century Gothic" w:eastAsia="Century Gothic" w:hAnsi="Century Gothic" w:cs="Century Gothic"/>
          <w:i w:val="0"/>
          <w:color w:val="000000"/>
          <w:sz w:val="24"/>
          <w:lang w:val="fr-FR"/>
        </w:rPr>
        <w:t>2.3 - Variantes</w:t>
      </w:r>
      <w:bookmarkEnd w:id="19"/>
    </w:p>
    <w:p w14:paraId="11000181" w14:textId="77777777" w:rsidR="00EE3428" w:rsidRDefault="00035DCC">
      <w:pPr>
        <w:pStyle w:val="ParagrapheIndent2"/>
        <w:spacing w:line="245" w:lineRule="exact"/>
        <w:jc w:val="both"/>
        <w:rPr>
          <w:color w:val="000000"/>
          <w:lang w:val="fr-FR"/>
        </w:rPr>
      </w:pPr>
      <w:r>
        <w:rPr>
          <w:color w:val="000000"/>
          <w:lang w:val="fr-FR"/>
        </w:rPr>
        <w:t>Les candidats doivent présenter une offre entièrement conforme au cahier des charges (solution de base). Ils peuvent également présenter, conformément aux articles R. 2151-8 à R. 2151-11 du Code de la commande publique, une offre comportant des variantes qui doivent respecter les exigences minimales détaillées suivantes :</w:t>
      </w:r>
    </w:p>
    <w:p w14:paraId="4846603E" w14:textId="77777777" w:rsidR="00EE3428" w:rsidRDefault="00035DCC">
      <w:pPr>
        <w:pStyle w:val="ParagrapheIndent2"/>
        <w:spacing w:line="245" w:lineRule="exact"/>
        <w:jc w:val="both"/>
        <w:rPr>
          <w:color w:val="000000"/>
          <w:lang w:val="fr-FR"/>
        </w:rPr>
      </w:pPr>
      <w:r>
        <w:rPr>
          <w:color w:val="000000"/>
          <w:lang w:val="fr-FR"/>
        </w:rPr>
        <w:t>La présentation devra respecter la cohérence globale du projet, à savoir :</w:t>
      </w:r>
    </w:p>
    <w:p w14:paraId="4EE71512" w14:textId="77777777" w:rsidR="00EE3428" w:rsidRDefault="00035DCC">
      <w:pPr>
        <w:pStyle w:val="ParagrapheIndent2"/>
        <w:spacing w:line="245" w:lineRule="exact"/>
        <w:jc w:val="both"/>
        <w:rPr>
          <w:color w:val="000000"/>
          <w:lang w:val="fr-FR"/>
        </w:rPr>
      </w:pPr>
      <w:r>
        <w:rPr>
          <w:color w:val="000000"/>
          <w:lang w:val="fr-FR"/>
        </w:rPr>
        <w:t>- adéquation des activités (services de soins) ;</w:t>
      </w:r>
    </w:p>
    <w:p w14:paraId="1220389F" w14:textId="77777777" w:rsidR="00EE3428" w:rsidRDefault="00035DCC">
      <w:pPr>
        <w:pStyle w:val="ParagrapheIndent2"/>
        <w:spacing w:line="245" w:lineRule="exact"/>
        <w:jc w:val="both"/>
        <w:rPr>
          <w:color w:val="000000"/>
          <w:lang w:val="fr-FR"/>
        </w:rPr>
      </w:pPr>
      <w:r>
        <w:rPr>
          <w:color w:val="000000"/>
          <w:lang w:val="fr-FR"/>
        </w:rPr>
        <w:t>- recherche d’une meilleure fonctionnalité et d’un regroupement de moyens,</w:t>
      </w:r>
    </w:p>
    <w:p w14:paraId="7928E082" w14:textId="77777777" w:rsidR="00EE3428" w:rsidRDefault="00035DCC">
      <w:pPr>
        <w:pStyle w:val="ParagrapheIndent2"/>
        <w:spacing w:line="245" w:lineRule="exact"/>
        <w:jc w:val="both"/>
        <w:rPr>
          <w:color w:val="000000"/>
          <w:lang w:val="fr-FR"/>
        </w:rPr>
      </w:pPr>
      <w:r>
        <w:rPr>
          <w:color w:val="000000"/>
          <w:lang w:val="fr-FR"/>
        </w:rPr>
        <w:t>- nécessité d’optimiser les surfaces existantes, en fonction des surfaces actuellement occupées par les différentes activités.</w:t>
      </w:r>
    </w:p>
    <w:p w14:paraId="3039D6A2" w14:textId="77777777" w:rsidR="00EE3428" w:rsidRDefault="00EE3428">
      <w:pPr>
        <w:pStyle w:val="ParagrapheIndent2"/>
        <w:spacing w:after="240" w:line="245" w:lineRule="exact"/>
        <w:jc w:val="both"/>
        <w:rPr>
          <w:color w:val="000000"/>
          <w:lang w:val="fr-FR"/>
        </w:rPr>
      </w:pPr>
    </w:p>
    <w:tbl>
      <w:tblPr>
        <w:tblW w:w="0" w:type="auto"/>
        <w:tblInd w:w="500" w:type="dxa"/>
        <w:tblLayout w:type="fixed"/>
        <w:tblLook w:val="04A0" w:firstRow="1" w:lastRow="0" w:firstColumn="1" w:lastColumn="0" w:noHBand="0" w:noVBand="1"/>
      </w:tblPr>
      <w:tblGrid>
        <w:gridCol w:w="8600"/>
      </w:tblGrid>
      <w:tr w:rsidR="00EE3428" w14:paraId="75AB7DFE" w14:textId="77777777">
        <w:trPr>
          <w:trHeight w:val="685"/>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EE3428" w14:paraId="16B02E18" w14:textId="77777777">
              <w:trPr>
                <w:trHeight w:val="40"/>
              </w:trPr>
              <w:tc>
                <w:tcPr>
                  <w:tcW w:w="400" w:type="dxa"/>
                  <w:tcMar>
                    <w:top w:w="0" w:type="dxa"/>
                    <w:left w:w="0" w:type="dxa"/>
                    <w:bottom w:w="0" w:type="dxa"/>
                    <w:right w:w="0" w:type="dxa"/>
                  </w:tcMar>
                </w:tcPr>
                <w:p w14:paraId="35EBE4FC" w14:textId="77777777" w:rsidR="00EE3428" w:rsidRDefault="00EE3428">
                  <w:pPr>
                    <w:rPr>
                      <w:sz w:val="2"/>
                    </w:rPr>
                  </w:pPr>
                </w:p>
              </w:tc>
              <w:tc>
                <w:tcPr>
                  <w:tcW w:w="300" w:type="dxa"/>
                  <w:tcMar>
                    <w:top w:w="0" w:type="dxa"/>
                    <w:left w:w="0" w:type="dxa"/>
                    <w:bottom w:w="0" w:type="dxa"/>
                    <w:right w:w="0" w:type="dxa"/>
                  </w:tcMar>
                </w:tcPr>
                <w:p w14:paraId="35BC731C" w14:textId="77777777" w:rsidR="00EE3428" w:rsidRDefault="00EE3428">
                  <w:pPr>
                    <w:rPr>
                      <w:sz w:val="2"/>
                    </w:rPr>
                  </w:pPr>
                </w:p>
              </w:tc>
              <w:tc>
                <w:tcPr>
                  <w:tcW w:w="7300" w:type="dxa"/>
                  <w:vMerge w:val="restart"/>
                  <w:tcMar>
                    <w:top w:w="0" w:type="dxa"/>
                    <w:left w:w="0" w:type="dxa"/>
                    <w:bottom w:w="0" w:type="dxa"/>
                    <w:right w:w="0" w:type="dxa"/>
                  </w:tcMar>
                  <w:vAlign w:val="center"/>
                </w:tcPr>
                <w:p w14:paraId="1998D1AA" w14:textId="77777777" w:rsidR="00EE3428" w:rsidRDefault="00035DCC">
                  <w:pPr>
                    <w:rPr>
                      <w:rFonts w:ascii="Century Gothic" w:eastAsia="Century Gothic" w:hAnsi="Century Gothic" w:cs="Century Gothic"/>
                      <w:b/>
                      <w:color w:val="000000"/>
                      <w:sz w:val="22"/>
                      <w:lang w:val="fr-FR"/>
                    </w:rPr>
                  </w:pPr>
                  <w:r>
                    <w:rPr>
                      <w:rFonts w:ascii="Century Gothic" w:eastAsia="Century Gothic" w:hAnsi="Century Gothic" w:cs="Century Gothic"/>
                      <w:b/>
                      <w:color w:val="000000"/>
                      <w:sz w:val="22"/>
                      <w:lang w:val="fr-FR"/>
                    </w:rPr>
                    <w:t>La réponse à la solution de base est obligatoire.</w:t>
                  </w:r>
                </w:p>
              </w:tc>
            </w:tr>
            <w:tr w:rsidR="00EE3428" w14:paraId="62AC8E35" w14:textId="77777777">
              <w:trPr>
                <w:trHeight w:val="385"/>
              </w:trPr>
              <w:tc>
                <w:tcPr>
                  <w:tcW w:w="400" w:type="dxa"/>
                  <w:tcMar>
                    <w:top w:w="0" w:type="dxa"/>
                    <w:left w:w="0" w:type="dxa"/>
                    <w:bottom w:w="0" w:type="dxa"/>
                    <w:right w:w="0" w:type="dxa"/>
                  </w:tcMar>
                </w:tcPr>
                <w:p w14:paraId="7FE4FF32" w14:textId="2763FA60" w:rsidR="00EE3428" w:rsidRDefault="00035DCC">
                  <w:pPr>
                    <w:rPr>
                      <w:sz w:val="2"/>
                    </w:rPr>
                  </w:pPr>
                  <w:r>
                    <w:rPr>
                      <w:noProof/>
                    </w:rPr>
                    <w:drawing>
                      <wp:inline distT="0" distB="0" distL="0" distR="0" wp14:anchorId="6892D549" wp14:editId="16B7E1F4">
                        <wp:extent cx="257175" cy="25717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0F1F0F03" w14:textId="77777777" w:rsidR="00EE3428" w:rsidRDefault="00EE3428">
                  <w:pPr>
                    <w:rPr>
                      <w:sz w:val="2"/>
                    </w:rPr>
                  </w:pPr>
                </w:p>
              </w:tc>
              <w:tc>
                <w:tcPr>
                  <w:tcW w:w="7300" w:type="dxa"/>
                  <w:vMerge/>
                  <w:tcMar>
                    <w:top w:w="0" w:type="dxa"/>
                    <w:left w:w="0" w:type="dxa"/>
                    <w:bottom w:w="0" w:type="dxa"/>
                    <w:right w:w="0" w:type="dxa"/>
                  </w:tcMar>
                </w:tcPr>
                <w:p w14:paraId="358FA4A8" w14:textId="77777777" w:rsidR="00EE3428" w:rsidRDefault="00EE3428"/>
              </w:tc>
            </w:tr>
            <w:tr w:rsidR="00EE3428" w14:paraId="74C04A65" w14:textId="77777777">
              <w:trPr>
                <w:trHeight w:val="45"/>
              </w:trPr>
              <w:tc>
                <w:tcPr>
                  <w:tcW w:w="400" w:type="dxa"/>
                  <w:tcMar>
                    <w:top w:w="0" w:type="dxa"/>
                    <w:left w:w="0" w:type="dxa"/>
                    <w:bottom w:w="0" w:type="dxa"/>
                    <w:right w:w="0" w:type="dxa"/>
                  </w:tcMar>
                </w:tcPr>
                <w:p w14:paraId="10D8648B" w14:textId="77777777" w:rsidR="00EE3428" w:rsidRDefault="00EE3428">
                  <w:pPr>
                    <w:rPr>
                      <w:sz w:val="2"/>
                    </w:rPr>
                  </w:pPr>
                </w:p>
              </w:tc>
              <w:tc>
                <w:tcPr>
                  <w:tcW w:w="300" w:type="dxa"/>
                  <w:tcMar>
                    <w:top w:w="0" w:type="dxa"/>
                    <w:left w:w="0" w:type="dxa"/>
                    <w:bottom w:w="0" w:type="dxa"/>
                    <w:right w:w="0" w:type="dxa"/>
                  </w:tcMar>
                </w:tcPr>
                <w:p w14:paraId="5895E171" w14:textId="77777777" w:rsidR="00EE3428" w:rsidRDefault="00EE3428">
                  <w:pPr>
                    <w:rPr>
                      <w:sz w:val="2"/>
                    </w:rPr>
                  </w:pPr>
                </w:p>
              </w:tc>
              <w:tc>
                <w:tcPr>
                  <w:tcW w:w="7300" w:type="dxa"/>
                  <w:vMerge/>
                  <w:tcMar>
                    <w:top w:w="0" w:type="dxa"/>
                    <w:left w:w="0" w:type="dxa"/>
                    <w:bottom w:w="0" w:type="dxa"/>
                    <w:right w:w="0" w:type="dxa"/>
                  </w:tcMar>
                </w:tcPr>
                <w:p w14:paraId="08F687B1" w14:textId="77777777" w:rsidR="00EE3428" w:rsidRDefault="00EE3428"/>
              </w:tc>
            </w:tr>
          </w:tbl>
          <w:p w14:paraId="0FF2EE45" w14:textId="77777777" w:rsidR="00EE3428" w:rsidRDefault="00EE3428">
            <w:pPr>
              <w:rPr>
                <w:sz w:val="2"/>
              </w:rPr>
            </w:pPr>
          </w:p>
        </w:tc>
      </w:tr>
    </w:tbl>
    <w:p w14:paraId="4F0D6A90" w14:textId="77777777" w:rsidR="00EE3428" w:rsidRDefault="00EE3428">
      <w:pPr>
        <w:sectPr w:rsidR="00EE3428">
          <w:footerReference w:type="default" r:id="rId22"/>
          <w:pgSz w:w="11900" w:h="16840"/>
          <w:pgMar w:top="1440" w:right="1140" w:bottom="1140" w:left="1140" w:header="1440" w:footer="1140" w:gutter="0"/>
          <w:cols w:space="708"/>
        </w:sectPr>
      </w:pPr>
    </w:p>
    <w:tbl>
      <w:tblPr>
        <w:tblW w:w="0" w:type="auto"/>
        <w:tblLayout w:type="fixed"/>
        <w:tblLook w:val="04A0" w:firstRow="1" w:lastRow="0" w:firstColumn="1" w:lastColumn="0" w:noHBand="0" w:noVBand="1"/>
      </w:tblPr>
      <w:tblGrid>
        <w:gridCol w:w="9620"/>
      </w:tblGrid>
      <w:tr w:rsidR="00EE3428" w14:paraId="2561AF6C" w14:textId="77777777">
        <w:tc>
          <w:tcPr>
            <w:tcW w:w="9620" w:type="dxa"/>
            <w:shd w:val="clear" w:color="FD2456" w:fill="FD2456"/>
            <w:tcMar>
              <w:top w:w="30" w:type="dxa"/>
              <w:left w:w="80" w:type="dxa"/>
              <w:bottom w:w="45" w:type="dxa"/>
              <w:right w:w="80" w:type="dxa"/>
            </w:tcMar>
          </w:tcPr>
          <w:p w14:paraId="50BE08BA" w14:textId="77777777" w:rsidR="00EE3428" w:rsidRDefault="00035DCC">
            <w:pPr>
              <w:pStyle w:val="Titre1"/>
              <w:rPr>
                <w:rFonts w:ascii="Century Gothic" w:eastAsia="Century Gothic" w:hAnsi="Century Gothic" w:cs="Century Gothic"/>
                <w:color w:val="FFFFFF"/>
                <w:sz w:val="28"/>
                <w:lang w:val="fr-FR"/>
              </w:rPr>
            </w:pPr>
            <w:bookmarkStart w:id="20" w:name="ArtL1_RC-2-A4"/>
            <w:bookmarkStart w:id="21" w:name="_Toc186199719"/>
            <w:bookmarkEnd w:id="20"/>
            <w:r>
              <w:rPr>
                <w:rFonts w:ascii="Century Gothic" w:eastAsia="Century Gothic" w:hAnsi="Century Gothic" w:cs="Century Gothic"/>
                <w:color w:val="FFFFFF"/>
                <w:sz w:val="28"/>
                <w:lang w:val="fr-FR"/>
              </w:rPr>
              <w:lastRenderedPageBreak/>
              <w:t>3 - Conditions relatives au contrat</w:t>
            </w:r>
            <w:bookmarkEnd w:id="21"/>
          </w:p>
        </w:tc>
      </w:tr>
    </w:tbl>
    <w:p w14:paraId="2F9392A2" w14:textId="77777777" w:rsidR="00EE3428" w:rsidRDefault="00035DCC">
      <w:pPr>
        <w:spacing w:line="60" w:lineRule="exact"/>
        <w:rPr>
          <w:sz w:val="6"/>
        </w:rPr>
      </w:pPr>
      <w:r>
        <w:t xml:space="preserve"> </w:t>
      </w:r>
    </w:p>
    <w:p w14:paraId="4B6D26DE"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22" w:name="ArtL2_RC-2-A4.2"/>
      <w:bookmarkStart w:id="23" w:name="_Toc186199720"/>
      <w:bookmarkEnd w:id="22"/>
      <w:r>
        <w:rPr>
          <w:rFonts w:ascii="Century Gothic" w:eastAsia="Century Gothic" w:hAnsi="Century Gothic" w:cs="Century Gothic"/>
          <w:i w:val="0"/>
          <w:color w:val="000000"/>
          <w:sz w:val="24"/>
          <w:lang w:val="fr-FR"/>
        </w:rPr>
        <w:t>3.1 - Modalités essentielles de financement et de paiement</w:t>
      </w:r>
      <w:bookmarkEnd w:id="23"/>
    </w:p>
    <w:p w14:paraId="35790092" w14:textId="77777777" w:rsidR="00EE3428" w:rsidRDefault="00035DCC">
      <w:pPr>
        <w:pStyle w:val="ParagrapheIndent2"/>
        <w:spacing w:after="240" w:line="245" w:lineRule="exact"/>
        <w:jc w:val="both"/>
        <w:rPr>
          <w:color w:val="000000"/>
          <w:lang w:val="fr-FR"/>
        </w:rPr>
      </w:pPr>
      <w:r>
        <w:rPr>
          <w:color w:val="000000"/>
          <w:lang w:val="fr-FR"/>
        </w:rPr>
        <w:t>Les sommes dues au(x) titulaire(s) et au(x) sous-traitant(s) de premier rang éventuel(s) du marché seront payées dans un délai global de 50 jours à compter de la date de réception des factures ou des demandes de paiement équivalentes.</w:t>
      </w:r>
    </w:p>
    <w:p w14:paraId="7E17A66B" w14:textId="77777777" w:rsidR="00EE3428" w:rsidRDefault="00035DCC">
      <w:pPr>
        <w:pStyle w:val="ParagrapheIndent2"/>
        <w:spacing w:after="240" w:line="245"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6C585EB7"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24" w:name="ArtL2_RC-2-A4.4"/>
      <w:bookmarkStart w:id="25" w:name="_Toc186199721"/>
      <w:bookmarkEnd w:id="24"/>
      <w:r>
        <w:rPr>
          <w:rFonts w:ascii="Century Gothic" w:eastAsia="Century Gothic" w:hAnsi="Century Gothic" w:cs="Century Gothic"/>
          <w:i w:val="0"/>
          <w:color w:val="000000"/>
          <w:sz w:val="24"/>
          <w:lang w:val="fr-FR"/>
        </w:rPr>
        <w:t>3.2 - Confidentialité et mesures de sécurité</w:t>
      </w:r>
      <w:bookmarkEnd w:id="25"/>
    </w:p>
    <w:p w14:paraId="15367876" w14:textId="77777777" w:rsidR="00EE3428" w:rsidRDefault="00035DCC">
      <w:pPr>
        <w:pStyle w:val="ParagrapheIndent2"/>
        <w:spacing w:line="245"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65B80295" w14:textId="77777777" w:rsidR="00EE3428" w:rsidRDefault="00EE3428">
      <w:pPr>
        <w:pStyle w:val="ParagrapheIndent2"/>
        <w:spacing w:line="245" w:lineRule="exact"/>
        <w:jc w:val="both"/>
        <w:rPr>
          <w:color w:val="000000"/>
          <w:lang w:val="fr-FR"/>
        </w:rPr>
      </w:pPr>
    </w:p>
    <w:p w14:paraId="5F48056A" w14:textId="77777777" w:rsidR="00EE3428" w:rsidRDefault="00035DCC">
      <w:pPr>
        <w:pStyle w:val="ParagrapheIndent2"/>
        <w:spacing w:after="240" w:line="245"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tbl>
      <w:tblPr>
        <w:tblW w:w="0" w:type="auto"/>
        <w:tblLayout w:type="fixed"/>
        <w:tblLook w:val="04A0" w:firstRow="1" w:lastRow="0" w:firstColumn="1" w:lastColumn="0" w:noHBand="0" w:noVBand="1"/>
      </w:tblPr>
      <w:tblGrid>
        <w:gridCol w:w="9620"/>
      </w:tblGrid>
      <w:tr w:rsidR="00EE3428" w14:paraId="6FAC559F" w14:textId="77777777">
        <w:tc>
          <w:tcPr>
            <w:tcW w:w="9620" w:type="dxa"/>
            <w:shd w:val="clear" w:color="FD2456" w:fill="FD2456"/>
            <w:tcMar>
              <w:top w:w="30" w:type="dxa"/>
              <w:left w:w="80" w:type="dxa"/>
              <w:bottom w:w="45" w:type="dxa"/>
              <w:right w:w="80" w:type="dxa"/>
            </w:tcMar>
          </w:tcPr>
          <w:p w14:paraId="690493F0" w14:textId="77777777" w:rsidR="00EE3428" w:rsidRDefault="00035DCC">
            <w:pPr>
              <w:pStyle w:val="Titre1"/>
              <w:rPr>
                <w:rFonts w:ascii="Century Gothic" w:eastAsia="Century Gothic" w:hAnsi="Century Gothic" w:cs="Century Gothic"/>
                <w:color w:val="FFFFFF"/>
                <w:sz w:val="28"/>
                <w:lang w:val="fr-FR"/>
              </w:rPr>
            </w:pPr>
            <w:bookmarkStart w:id="26" w:name="ArtL1_RC-2-A5"/>
            <w:bookmarkStart w:id="27" w:name="_Toc186199722"/>
            <w:bookmarkEnd w:id="26"/>
            <w:r>
              <w:rPr>
                <w:rFonts w:ascii="Century Gothic" w:eastAsia="Century Gothic" w:hAnsi="Century Gothic" w:cs="Century Gothic"/>
                <w:color w:val="FFFFFF"/>
                <w:sz w:val="28"/>
                <w:lang w:val="fr-FR"/>
              </w:rPr>
              <w:t>4 - Contenu du dossier de consultation</w:t>
            </w:r>
            <w:bookmarkEnd w:id="27"/>
          </w:p>
        </w:tc>
      </w:tr>
    </w:tbl>
    <w:p w14:paraId="415DA322" w14:textId="77777777" w:rsidR="00EE3428" w:rsidRDefault="00035DCC">
      <w:pPr>
        <w:spacing w:line="60" w:lineRule="exact"/>
        <w:rPr>
          <w:sz w:val="6"/>
        </w:rPr>
      </w:pPr>
      <w:r>
        <w:t xml:space="preserve"> </w:t>
      </w:r>
    </w:p>
    <w:p w14:paraId="40481842" w14:textId="77777777" w:rsidR="00EE3428" w:rsidRDefault="00035DCC">
      <w:pPr>
        <w:pStyle w:val="ParagrapheIndent1"/>
        <w:spacing w:line="245" w:lineRule="exact"/>
        <w:jc w:val="both"/>
        <w:rPr>
          <w:color w:val="000000"/>
          <w:lang w:val="fr-FR"/>
        </w:rPr>
      </w:pPr>
      <w:r>
        <w:rPr>
          <w:color w:val="000000"/>
          <w:lang w:val="fr-FR"/>
        </w:rPr>
        <w:t>Le dossier de consultation des entreprises (DCE) contient les pièces suivantes :</w:t>
      </w:r>
    </w:p>
    <w:p w14:paraId="28D76BB4" w14:textId="77777777" w:rsidR="00EE3428" w:rsidRDefault="00035DCC">
      <w:pPr>
        <w:pStyle w:val="ParagrapheIndent1"/>
        <w:spacing w:line="245" w:lineRule="exact"/>
        <w:jc w:val="both"/>
        <w:rPr>
          <w:color w:val="000000"/>
          <w:lang w:val="fr-FR"/>
        </w:rPr>
      </w:pPr>
      <w:r>
        <w:rPr>
          <w:color w:val="000000"/>
          <w:lang w:val="fr-FR"/>
        </w:rPr>
        <w:t>- L'attestation de visite</w:t>
      </w:r>
    </w:p>
    <w:p w14:paraId="6B4B960E" w14:textId="77777777" w:rsidR="00EE3428" w:rsidRDefault="00035DCC">
      <w:pPr>
        <w:pStyle w:val="ParagrapheIndent1"/>
        <w:spacing w:line="245" w:lineRule="exact"/>
        <w:jc w:val="both"/>
        <w:rPr>
          <w:color w:val="000000"/>
          <w:lang w:val="fr-FR"/>
        </w:rPr>
      </w:pPr>
      <w:r>
        <w:rPr>
          <w:color w:val="000000"/>
          <w:lang w:val="fr-FR"/>
        </w:rPr>
        <w:t>- Le cahier des clauses administratives particulières (CCAP)</w:t>
      </w:r>
    </w:p>
    <w:p w14:paraId="20728576" w14:textId="48F9AE03" w:rsidR="00EE3428" w:rsidRDefault="00035DCC">
      <w:pPr>
        <w:pStyle w:val="ParagrapheIndent1"/>
        <w:spacing w:line="245" w:lineRule="exact"/>
        <w:jc w:val="both"/>
        <w:rPr>
          <w:color w:val="000000"/>
          <w:lang w:val="fr-FR"/>
        </w:rPr>
      </w:pPr>
      <w:r>
        <w:rPr>
          <w:color w:val="000000"/>
          <w:lang w:val="fr-FR"/>
        </w:rPr>
        <w:t>- Les cahiers des clauses techniques particulières (CCTP) et ses annexes</w:t>
      </w:r>
    </w:p>
    <w:p w14:paraId="6476C240" w14:textId="77777777" w:rsidR="00EE3428" w:rsidRDefault="00035DCC">
      <w:pPr>
        <w:pStyle w:val="ParagrapheIndent1"/>
        <w:spacing w:line="245" w:lineRule="exact"/>
        <w:jc w:val="both"/>
        <w:rPr>
          <w:color w:val="000000"/>
          <w:lang w:val="fr-FR"/>
        </w:rPr>
      </w:pPr>
      <w:r>
        <w:rPr>
          <w:color w:val="000000"/>
          <w:lang w:val="fr-FR"/>
        </w:rPr>
        <w:t>- Le règlement de la consultation (RC)</w:t>
      </w:r>
    </w:p>
    <w:p w14:paraId="3A12A971" w14:textId="77777777" w:rsidR="009D4633" w:rsidRDefault="00035DCC" w:rsidP="009D4633">
      <w:pPr>
        <w:pStyle w:val="ParagrapheIndent1"/>
        <w:spacing w:line="245" w:lineRule="exact"/>
        <w:jc w:val="both"/>
        <w:rPr>
          <w:color w:val="000000"/>
          <w:lang w:val="fr-FR"/>
        </w:rPr>
      </w:pPr>
      <w:r>
        <w:rPr>
          <w:color w:val="000000"/>
          <w:lang w:val="fr-FR"/>
        </w:rPr>
        <w:t>- L'acte d'engagement (AE) et ses annexes</w:t>
      </w:r>
    </w:p>
    <w:p w14:paraId="0A75D4AC" w14:textId="6CF28FF9" w:rsidR="00EE3428" w:rsidRDefault="009D4633" w:rsidP="009D4633">
      <w:pPr>
        <w:pStyle w:val="ParagrapheIndent1"/>
        <w:spacing w:line="245" w:lineRule="exact"/>
        <w:jc w:val="both"/>
        <w:rPr>
          <w:lang w:val="fr-FR"/>
        </w:rPr>
      </w:pPr>
      <w:r>
        <w:rPr>
          <w:color w:val="000000"/>
          <w:lang w:val="fr-FR"/>
        </w:rPr>
        <w:t xml:space="preserve">- </w:t>
      </w:r>
      <w:r w:rsidR="005640DE" w:rsidRPr="009D4633">
        <w:rPr>
          <w:color w:val="000000"/>
          <w:lang w:val="fr-FR"/>
        </w:rPr>
        <w:t>La décomposition du prix global forfaitaire (DPGF), la répartition par co</w:t>
      </w:r>
      <w:r>
        <w:rPr>
          <w:color w:val="000000"/>
          <w:lang w:val="fr-FR"/>
        </w:rPr>
        <w:t>-</w:t>
      </w:r>
      <w:r w:rsidR="005640DE" w:rsidRPr="009D4633">
        <w:rPr>
          <w:color w:val="000000"/>
          <w:lang w:val="fr-FR"/>
        </w:rPr>
        <w:t xml:space="preserve">traitants si présent, </w:t>
      </w:r>
      <w:r w:rsidR="005640DE" w:rsidRPr="009D4633">
        <w:rPr>
          <w:lang w:val="fr-FR"/>
        </w:rPr>
        <w:t>la décomposition de la mission en temps à chaque phase du projet</w:t>
      </w:r>
      <w:r>
        <w:rPr>
          <w:lang w:val="fr-FR"/>
        </w:rPr>
        <w:t xml:space="preserve"> </w:t>
      </w:r>
      <w:r w:rsidR="005640DE" w:rsidRPr="009D4633">
        <w:rPr>
          <w:lang w:val="fr-FR"/>
        </w:rPr>
        <w:t>(temps sur site</w:t>
      </w:r>
      <w:r>
        <w:rPr>
          <w:lang w:val="fr-FR"/>
        </w:rPr>
        <w:t>,</w:t>
      </w:r>
      <w:r w:rsidR="005640DE" w:rsidRPr="009D4633">
        <w:rPr>
          <w:lang w:val="fr-FR"/>
        </w:rPr>
        <w:t xml:space="preserve"> temps en agence</w:t>
      </w:r>
      <w:r>
        <w:rPr>
          <w:lang w:val="fr-FR"/>
        </w:rPr>
        <w:t>,</w:t>
      </w:r>
      <w:r w:rsidR="005640DE" w:rsidRPr="009D4633">
        <w:rPr>
          <w:lang w:val="fr-FR"/>
        </w:rPr>
        <w:t xml:space="preserve"> nombre de réunions prévue</w:t>
      </w:r>
      <w:r w:rsidRPr="009D4633">
        <w:rPr>
          <w:lang w:val="fr-FR"/>
        </w:rPr>
        <w:t>s</w:t>
      </w:r>
      <w:r w:rsidR="00185C95" w:rsidRPr="009D4633">
        <w:rPr>
          <w:lang w:val="fr-FR"/>
        </w:rPr>
        <w:t>)</w:t>
      </w:r>
    </w:p>
    <w:p w14:paraId="308A3679" w14:textId="47306CA3" w:rsidR="005E2BEC" w:rsidRPr="005E2BEC" w:rsidRDefault="005E2BEC" w:rsidP="005E2BEC">
      <w:pPr>
        <w:pStyle w:val="ParagrapheIndent1"/>
        <w:spacing w:line="245" w:lineRule="exact"/>
        <w:jc w:val="both"/>
        <w:rPr>
          <w:color w:val="000000"/>
          <w:lang w:val="fr-FR"/>
        </w:rPr>
      </w:pPr>
      <w:r>
        <w:rPr>
          <w:lang w:val="fr-FR"/>
        </w:rPr>
        <w:t xml:space="preserve">- </w:t>
      </w:r>
      <w:r w:rsidRPr="005E2BEC">
        <w:rPr>
          <w:color w:val="000000"/>
          <w:lang w:val="fr-FR"/>
        </w:rPr>
        <w:t>les plans</w:t>
      </w:r>
    </w:p>
    <w:p w14:paraId="27C4859A" w14:textId="5A4CECDE" w:rsidR="005E2BEC" w:rsidRPr="005E2BEC" w:rsidRDefault="005E2BEC" w:rsidP="005E2BEC">
      <w:pPr>
        <w:pStyle w:val="ParagrapheIndent1"/>
        <w:spacing w:line="245" w:lineRule="exact"/>
        <w:jc w:val="both"/>
        <w:rPr>
          <w:color w:val="000000"/>
          <w:lang w:val="fr-FR"/>
        </w:rPr>
      </w:pPr>
      <w:r w:rsidRPr="005E2BEC">
        <w:rPr>
          <w:color w:val="000000"/>
          <w:lang w:val="fr-FR"/>
        </w:rPr>
        <w:t>- les fiches patrimoine</w:t>
      </w:r>
    </w:p>
    <w:p w14:paraId="64423495" w14:textId="61CAE5C9" w:rsidR="005E2BEC" w:rsidRPr="005E2BEC" w:rsidRDefault="005E2BEC" w:rsidP="005E2BEC">
      <w:pPr>
        <w:pStyle w:val="ParagrapheIndent1"/>
        <w:spacing w:line="245" w:lineRule="exact"/>
        <w:jc w:val="both"/>
        <w:rPr>
          <w:color w:val="000000"/>
          <w:lang w:val="fr-FR"/>
        </w:rPr>
      </w:pPr>
      <w:r w:rsidRPr="005E2BEC">
        <w:rPr>
          <w:color w:val="000000"/>
          <w:lang w:val="fr-FR"/>
        </w:rPr>
        <w:t xml:space="preserve">- un modèle </w:t>
      </w:r>
      <w:r>
        <w:rPr>
          <w:color w:val="000000"/>
          <w:lang w:val="fr-FR"/>
        </w:rPr>
        <w:t xml:space="preserve">type </w:t>
      </w:r>
      <w:r w:rsidRPr="005E2BEC">
        <w:rPr>
          <w:color w:val="000000"/>
          <w:lang w:val="fr-FR"/>
        </w:rPr>
        <w:t>de fiche</w:t>
      </w:r>
      <w:r>
        <w:rPr>
          <w:color w:val="000000"/>
          <w:lang w:val="fr-FR"/>
        </w:rPr>
        <w:t xml:space="preserve"> d’un local de l’EPSM</w:t>
      </w:r>
    </w:p>
    <w:p w14:paraId="656C8BF8" w14:textId="77777777" w:rsidR="00EE3428" w:rsidRDefault="00035DCC">
      <w:pPr>
        <w:pStyle w:val="ParagrapheIndent1"/>
        <w:spacing w:after="240"/>
        <w:jc w:val="both"/>
        <w:rPr>
          <w:color w:val="000000"/>
          <w:lang w:val="fr-FR"/>
        </w:rPr>
      </w:pPr>
      <w:r>
        <w:rPr>
          <w:color w:val="000000"/>
          <w:lang w:val="fr-FR"/>
        </w:rPr>
        <w:t>Il est remis gratuitement à chaque candidat.</w:t>
      </w:r>
    </w:p>
    <w:p w14:paraId="10429FDC" w14:textId="77777777" w:rsidR="00EE3428" w:rsidRDefault="00035DCC">
      <w:pPr>
        <w:pStyle w:val="ParagrapheIndent1"/>
        <w:spacing w:after="240"/>
        <w:jc w:val="both"/>
        <w:rPr>
          <w:color w:val="000000"/>
          <w:lang w:val="fr-FR"/>
        </w:rPr>
      </w:pPr>
      <w:r>
        <w:rPr>
          <w:color w:val="000000"/>
          <w:lang w:val="fr-FR"/>
        </w:rPr>
        <w:t>Aucune demande d'envoi du DCE sur support physique électronique n'est autorisée.</w:t>
      </w:r>
    </w:p>
    <w:p w14:paraId="66FB6A93" w14:textId="77777777" w:rsidR="00EE3428" w:rsidRDefault="00035DCC">
      <w:pPr>
        <w:pStyle w:val="ParagrapheIndent1"/>
        <w:spacing w:line="245"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56347752" w14:textId="77777777" w:rsidR="00EE3428" w:rsidRDefault="00EE3428">
      <w:pPr>
        <w:pStyle w:val="ParagrapheIndent1"/>
        <w:spacing w:line="245" w:lineRule="exact"/>
        <w:jc w:val="both"/>
        <w:rPr>
          <w:color w:val="000000"/>
          <w:lang w:val="fr-FR"/>
        </w:rPr>
      </w:pPr>
    </w:p>
    <w:p w14:paraId="35D27089" w14:textId="23B3FED2" w:rsidR="00EE3428" w:rsidRDefault="00035DCC">
      <w:pPr>
        <w:pStyle w:val="ParagrapheIndent1"/>
        <w:spacing w:after="240" w:line="245"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4B4387A5" w14:textId="78B7981C" w:rsidR="009D4633" w:rsidRDefault="009D4633" w:rsidP="009D4633">
      <w:pPr>
        <w:rPr>
          <w:lang w:val="fr-FR"/>
        </w:rPr>
      </w:pPr>
    </w:p>
    <w:p w14:paraId="36535BD7" w14:textId="2C7AF208" w:rsidR="009D4633" w:rsidRDefault="009D4633" w:rsidP="009D4633">
      <w:pPr>
        <w:rPr>
          <w:lang w:val="fr-FR"/>
        </w:rPr>
      </w:pPr>
    </w:p>
    <w:p w14:paraId="03A3E1B2" w14:textId="35CF3C5B" w:rsidR="009D4633" w:rsidRDefault="009D4633" w:rsidP="009D4633">
      <w:pPr>
        <w:rPr>
          <w:lang w:val="fr-FR"/>
        </w:rPr>
      </w:pPr>
    </w:p>
    <w:p w14:paraId="6A4B32F1" w14:textId="51D38CAE" w:rsidR="009D4633" w:rsidRDefault="009D4633" w:rsidP="009D4633">
      <w:pPr>
        <w:rPr>
          <w:lang w:val="fr-FR"/>
        </w:rPr>
      </w:pPr>
    </w:p>
    <w:p w14:paraId="3BC8DD5B" w14:textId="2DAB37CE" w:rsidR="009D4633" w:rsidRDefault="009D4633" w:rsidP="009D4633">
      <w:pPr>
        <w:rPr>
          <w:lang w:val="fr-FR"/>
        </w:rPr>
      </w:pPr>
    </w:p>
    <w:p w14:paraId="1C88AA50" w14:textId="67C43ACF" w:rsidR="009D4633" w:rsidRDefault="009D4633" w:rsidP="009D4633">
      <w:pPr>
        <w:rPr>
          <w:lang w:val="fr-FR"/>
        </w:rPr>
      </w:pPr>
    </w:p>
    <w:p w14:paraId="6E111800" w14:textId="77777777" w:rsidR="009D4633" w:rsidRPr="009D4633" w:rsidRDefault="009D4633" w:rsidP="009D4633">
      <w:pPr>
        <w:rPr>
          <w:lang w:val="fr-FR"/>
        </w:rPr>
      </w:pPr>
    </w:p>
    <w:tbl>
      <w:tblPr>
        <w:tblW w:w="0" w:type="auto"/>
        <w:tblLayout w:type="fixed"/>
        <w:tblLook w:val="04A0" w:firstRow="1" w:lastRow="0" w:firstColumn="1" w:lastColumn="0" w:noHBand="0" w:noVBand="1"/>
      </w:tblPr>
      <w:tblGrid>
        <w:gridCol w:w="9620"/>
      </w:tblGrid>
      <w:tr w:rsidR="00EE3428" w14:paraId="1AB99228" w14:textId="77777777">
        <w:tc>
          <w:tcPr>
            <w:tcW w:w="9620" w:type="dxa"/>
            <w:shd w:val="clear" w:color="FD2456" w:fill="FD2456"/>
            <w:tcMar>
              <w:top w:w="30" w:type="dxa"/>
              <w:left w:w="80" w:type="dxa"/>
              <w:bottom w:w="45" w:type="dxa"/>
              <w:right w:w="80" w:type="dxa"/>
            </w:tcMar>
          </w:tcPr>
          <w:p w14:paraId="65341940" w14:textId="77777777" w:rsidR="00EE3428" w:rsidRDefault="00035DCC">
            <w:pPr>
              <w:pStyle w:val="Titre1"/>
              <w:rPr>
                <w:rFonts w:ascii="Century Gothic" w:eastAsia="Century Gothic" w:hAnsi="Century Gothic" w:cs="Century Gothic"/>
                <w:color w:val="FFFFFF"/>
                <w:sz w:val="28"/>
                <w:lang w:val="fr-FR"/>
              </w:rPr>
            </w:pPr>
            <w:bookmarkStart w:id="28" w:name="ArtL1_RC-2-A6"/>
            <w:bookmarkStart w:id="29" w:name="_Toc186199723"/>
            <w:bookmarkEnd w:id="28"/>
            <w:r>
              <w:rPr>
                <w:rFonts w:ascii="Century Gothic" w:eastAsia="Century Gothic" w:hAnsi="Century Gothic" w:cs="Century Gothic"/>
                <w:color w:val="FFFFFF"/>
                <w:sz w:val="28"/>
                <w:lang w:val="fr-FR"/>
              </w:rPr>
              <w:t>5 - Présentation des candidatures et des offres</w:t>
            </w:r>
            <w:bookmarkEnd w:id="29"/>
          </w:p>
        </w:tc>
      </w:tr>
    </w:tbl>
    <w:p w14:paraId="5C28BD34" w14:textId="77777777" w:rsidR="00EE3428" w:rsidRDefault="00035DCC">
      <w:pPr>
        <w:spacing w:line="60" w:lineRule="exact"/>
        <w:rPr>
          <w:sz w:val="6"/>
        </w:rPr>
      </w:pPr>
      <w:r>
        <w:t xml:space="preserve"> </w:t>
      </w:r>
    </w:p>
    <w:p w14:paraId="21EF6855" w14:textId="77777777" w:rsidR="00EE3428" w:rsidRDefault="00035DCC">
      <w:pPr>
        <w:pStyle w:val="ParagrapheIndent1"/>
        <w:spacing w:after="240" w:line="245"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788242B1" w14:textId="77777777" w:rsidR="00EE3428" w:rsidRDefault="00035DCC">
      <w:pPr>
        <w:pStyle w:val="ParagrapheIndent1"/>
        <w:spacing w:line="245" w:lineRule="exact"/>
        <w:jc w:val="both"/>
        <w:rPr>
          <w:color w:val="000000"/>
          <w:lang w:val="fr-FR"/>
        </w:rPr>
      </w:pPr>
      <w:r>
        <w:rPr>
          <w:color w:val="000000"/>
          <w:lang w:val="fr-FR"/>
        </w:rPr>
        <w:t>Les offres des candidats seront entièrement rédigées en langue française et exprimées en EURO.</w:t>
      </w:r>
    </w:p>
    <w:p w14:paraId="55D72E58" w14:textId="77777777" w:rsidR="00EE3428" w:rsidRDefault="00035DCC">
      <w:pPr>
        <w:pStyle w:val="ParagrapheIndent1"/>
        <w:spacing w:line="245"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r>
        <w:rPr>
          <w:color w:val="000000"/>
          <w:lang w:val="fr-FR"/>
        </w:rPr>
        <w:cr/>
      </w:r>
    </w:p>
    <w:p w14:paraId="18D3FA17" w14:textId="77777777" w:rsidR="00035DCC" w:rsidRDefault="00035DCC" w:rsidP="00035DCC">
      <w:pPr>
        <w:pStyle w:val="Titre2"/>
        <w:spacing w:after="100"/>
        <w:ind w:left="280"/>
        <w:rPr>
          <w:rFonts w:ascii="Century Gothic" w:eastAsia="Century Gothic" w:hAnsi="Century Gothic" w:cs="Century Gothic"/>
          <w:i w:val="0"/>
          <w:color w:val="000000"/>
          <w:sz w:val="24"/>
          <w:lang w:val="fr-FR"/>
        </w:rPr>
      </w:pPr>
      <w:bookmarkStart w:id="30" w:name="_Toc186199724"/>
      <w:r>
        <w:rPr>
          <w:rFonts w:ascii="Century Gothic" w:eastAsia="Century Gothic" w:hAnsi="Century Gothic" w:cs="Century Gothic"/>
          <w:i w:val="0"/>
          <w:color w:val="000000"/>
          <w:sz w:val="24"/>
          <w:lang w:val="fr-FR"/>
        </w:rPr>
        <w:t>5.1 - Documents à produire</w:t>
      </w:r>
      <w:bookmarkEnd w:id="30"/>
    </w:p>
    <w:p w14:paraId="172E11E9" w14:textId="77777777" w:rsidR="00035DCC" w:rsidRDefault="00035DCC" w:rsidP="00035DCC">
      <w:pPr>
        <w:pStyle w:val="ParagrapheIndent2"/>
        <w:spacing w:line="245" w:lineRule="exact"/>
        <w:jc w:val="both"/>
        <w:rPr>
          <w:color w:val="000000"/>
          <w:lang w:val="fr-FR"/>
        </w:rPr>
      </w:pPr>
      <w:r>
        <w:rPr>
          <w:color w:val="000000"/>
          <w:lang w:val="fr-FR"/>
        </w:rPr>
        <w:t>Chaque candidat aura à produire un dossier complet comprenant les pièces suivantes :</w:t>
      </w:r>
    </w:p>
    <w:p w14:paraId="5D71CB0B" w14:textId="77777777" w:rsidR="00035DCC" w:rsidRDefault="00035DCC" w:rsidP="00035DCC">
      <w:pPr>
        <w:pStyle w:val="ParagrapheIndent2"/>
        <w:spacing w:line="245" w:lineRule="exact"/>
        <w:jc w:val="both"/>
        <w:rPr>
          <w:color w:val="000000"/>
          <w:lang w:val="fr-FR"/>
        </w:rPr>
      </w:pPr>
    </w:p>
    <w:p w14:paraId="7187560F" w14:textId="77777777" w:rsidR="00035DCC" w:rsidRDefault="00035DCC" w:rsidP="00035DCC">
      <w:pPr>
        <w:pStyle w:val="ParagrapheIndent2"/>
        <w:spacing w:line="245"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6FFD8152" w14:textId="77777777" w:rsidR="00035DCC" w:rsidRDefault="00035DCC" w:rsidP="00035DCC">
      <w:pPr>
        <w:pStyle w:val="ParagrapheIndent2"/>
        <w:spacing w:line="245" w:lineRule="exact"/>
        <w:jc w:val="both"/>
        <w:rPr>
          <w:color w:val="000000"/>
          <w:lang w:val="fr-FR"/>
        </w:rPr>
      </w:pPr>
    </w:p>
    <w:p w14:paraId="07B3C4B7" w14:textId="36A66986" w:rsidR="00035DCC" w:rsidRDefault="00035DCC" w:rsidP="00035DCC">
      <w:pPr>
        <w:pStyle w:val="ParagrapheIndent2"/>
        <w:spacing w:line="245" w:lineRule="exact"/>
        <w:jc w:val="both"/>
        <w:rPr>
          <w:color w:val="000000"/>
          <w:lang w:val="fr-FR"/>
        </w:rPr>
      </w:pPr>
      <w:r>
        <w:rPr>
          <w:color w:val="000000"/>
          <w:lang w:val="fr-FR"/>
        </w:rPr>
        <w:t>Renseignements concernant la situation juridique de l'entreprise :</w:t>
      </w:r>
    </w:p>
    <w:tbl>
      <w:tblPr>
        <w:tblW w:w="0" w:type="auto"/>
        <w:tblLayout w:type="fixed"/>
        <w:tblLook w:val="04A0" w:firstRow="1" w:lastRow="0" w:firstColumn="1" w:lastColumn="0" w:noHBand="0" w:noVBand="1"/>
      </w:tblPr>
      <w:tblGrid>
        <w:gridCol w:w="8400"/>
        <w:gridCol w:w="1200"/>
      </w:tblGrid>
      <w:tr w:rsidR="00035DCC" w14:paraId="4EF7751E" w14:textId="77777777" w:rsidTr="008E1A1C">
        <w:trPr>
          <w:trHeight w:val="325"/>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68E61BF" w14:textId="77777777" w:rsidR="00035DCC" w:rsidRDefault="00035DCC" w:rsidP="008E1A1C">
            <w:pPr>
              <w:spacing w:before="40" w:after="2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F4897E1" w14:textId="77777777" w:rsidR="00035DCC" w:rsidRDefault="00035DCC" w:rsidP="008E1A1C">
            <w:pPr>
              <w:spacing w:before="40" w:after="2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Signature</w:t>
            </w:r>
          </w:p>
        </w:tc>
      </w:tr>
      <w:tr w:rsidR="00035DCC" w14:paraId="02141B80" w14:textId="77777777" w:rsidTr="008E1A1C">
        <w:trPr>
          <w:trHeight w:val="4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54ECC6" w14:textId="77777777" w:rsidR="00035DCC" w:rsidRDefault="00035DCC" w:rsidP="008E1A1C">
            <w:pPr>
              <w:spacing w:line="245" w:lineRule="exact"/>
              <w:ind w:left="80" w:right="8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0C187D" w14:textId="77777777" w:rsidR="00035DCC" w:rsidRDefault="00035DCC" w:rsidP="008E1A1C">
            <w:pPr>
              <w:spacing w:before="60" w:after="20"/>
              <w:ind w:left="80" w:right="8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Non</w:t>
            </w:r>
          </w:p>
        </w:tc>
      </w:tr>
    </w:tbl>
    <w:p w14:paraId="586FB7CC" w14:textId="77777777" w:rsidR="00035DCC" w:rsidRDefault="00035DCC" w:rsidP="00035DCC">
      <w:pPr>
        <w:spacing w:line="240" w:lineRule="exact"/>
      </w:pPr>
      <w:r>
        <w:t xml:space="preserve"> </w:t>
      </w:r>
    </w:p>
    <w:p w14:paraId="5E2F0181" w14:textId="77777777" w:rsidR="00035DCC" w:rsidRDefault="00035DCC" w:rsidP="00035DCC">
      <w:pPr>
        <w:spacing w:after="40" w:line="240" w:lineRule="exact"/>
      </w:pPr>
    </w:p>
    <w:p w14:paraId="22C724C3" w14:textId="0F1869FB" w:rsidR="00035DCC" w:rsidRDefault="00035DCC" w:rsidP="009D4633">
      <w:pPr>
        <w:pStyle w:val="ParagrapheIndent2"/>
        <w:spacing w:line="245" w:lineRule="exact"/>
        <w:jc w:val="both"/>
        <w:rPr>
          <w:color w:val="000000"/>
          <w:lang w:val="fr-FR"/>
        </w:rPr>
      </w:pPr>
      <w:r>
        <w:rPr>
          <w:color w:val="000000"/>
          <w:lang w:val="fr-FR"/>
        </w:rPr>
        <w:t>Renseignements concernant la capacité économique et financière de l'entreprise :</w:t>
      </w:r>
    </w:p>
    <w:tbl>
      <w:tblPr>
        <w:tblW w:w="0" w:type="auto"/>
        <w:tblLayout w:type="fixed"/>
        <w:tblLook w:val="04A0" w:firstRow="1" w:lastRow="0" w:firstColumn="1" w:lastColumn="0" w:noHBand="0" w:noVBand="1"/>
      </w:tblPr>
      <w:tblGrid>
        <w:gridCol w:w="8000"/>
        <w:gridCol w:w="1600"/>
      </w:tblGrid>
      <w:tr w:rsidR="00035DCC" w14:paraId="3CE746C8" w14:textId="77777777" w:rsidTr="008E1A1C">
        <w:trPr>
          <w:trHeight w:val="505"/>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CDA16B8" w14:textId="77777777" w:rsidR="00035DCC" w:rsidRDefault="00035DCC" w:rsidP="008E1A1C">
            <w:pPr>
              <w:spacing w:before="140" w:after="4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5A66E6D" w14:textId="77777777" w:rsidR="00035DCC" w:rsidRDefault="00035DCC" w:rsidP="008E1A1C">
            <w:pPr>
              <w:spacing w:before="140" w:after="4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Signature</w:t>
            </w:r>
          </w:p>
        </w:tc>
      </w:tr>
      <w:tr w:rsidR="00035DCC" w14:paraId="72E7E104" w14:textId="77777777" w:rsidTr="008E1A1C">
        <w:trPr>
          <w:trHeight w:val="785"/>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9331D0" w14:textId="77777777" w:rsidR="00035DCC" w:rsidRDefault="00035DCC" w:rsidP="008E1A1C">
            <w:pPr>
              <w:spacing w:before="20" w:after="20" w:line="245" w:lineRule="exact"/>
              <w:ind w:left="40" w:right="4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EAB329" w14:textId="77777777" w:rsidR="00035DCC" w:rsidRDefault="00035DCC" w:rsidP="008E1A1C">
            <w:pPr>
              <w:spacing w:before="60" w:after="40"/>
              <w:ind w:left="40" w:right="4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Non</w:t>
            </w:r>
          </w:p>
        </w:tc>
      </w:tr>
    </w:tbl>
    <w:p w14:paraId="44B04E57" w14:textId="77777777" w:rsidR="00035DCC" w:rsidRDefault="00035DCC" w:rsidP="00035DCC">
      <w:pPr>
        <w:spacing w:line="240" w:lineRule="exact"/>
      </w:pPr>
      <w:r>
        <w:t xml:space="preserve"> </w:t>
      </w:r>
    </w:p>
    <w:p w14:paraId="1312B4EB" w14:textId="77777777" w:rsidR="00035DCC" w:rsidRDefault="00035DCC" w:rsidP="00035DCC">
      <w:pPr>
        <w:spacing w:after="40" w:line="240" w:lineRule="exact"/>
      </w:pPr>
    </w:p>
    <w:p w14:paraId="4FB36660" w14:textId="77777777" w:rsidR="00035DCC" w:rsidRDefault="00035DCC" w:rsidP="00035DCC">
      <w:pPr>
        <w:pStyle w:val="ParagrapheIndent2"/>
        <w:spacing w:after="240" w:line="245"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306B43E6" w14:textId="77777777" w:rsidR="00035DCC" w:rsidRDefault="00035DCC" w:rsidP="00035DCC">
      <w:pPr>
        <w:pStyle w:val="ParagrapheIndent2"/>
        <w:spacing w:after="240" w:line="245"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2EBCAD82" w14:textId="292AFB05" w:rsidR="00035DCC" w:rsidRDefault="00035DCC" w:rsidP="00035DCC">
      <w:pPr>
        <w:pStyle w:val="ParagrapheIndent2"/>
        <w:spacing w:line="245" w:lineRule="exact"/>
        <w:jc w:val="both"/>
        <w:rPr>
          <w:color w:val="000000"/>
          <w:lang w:val="fr-FR"/>
        </w:rPr>
      </w:pPr>
      <w:r>
        <w:rPr>
          <w:color w:val="000000"/>
          <w:lang w:val="fr-FR"/>
        </w:rPr>
        <w:t>Pièces de l'offre :</w:t>
      </w:r>
    </w:p>
    <w:tbl>
      <w:tblPr>
        <w:tblW w:w="0" w:type="auto"/>
        <w:tblLayout w:type="fixed"/>
        <w:tblLook w:val="04A0" w:firstRow="1" w:lastRow="0" w:firstColumn="1" w:lastColumn="0" w:noHBand="0" w:noVBand="1"/>
      </w:tblPr>
      <w:tblGrid>
        <w:gridCol w:w="8400"/>
        <w:gridCol w:w="1200"/>
      </w:tblGrid>
      <w:tr w:rsidR="00035DCC" w14:paraId="7E96BBEF" w14:textId="77777777" w:rsidTr="008E1A1C">
        <w:trPr>
          <w:trHeight w:val="325"/>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75926BA" w14:textId="77777777" w:rsidR="00035DCC" w:rsidRDefault="00035DCC" w:rsidP="008E1A1C">
            <w:pPr>
              <w:spacing w:before="40" w:after="2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22F6085" w14:textId="77777777" w:rsidR="00035DCC" w:rsidRDefault="00035DCC" w:rsidP="008E1A1C">
            <w:pPr>
              <w:spacing w:before="40" w:after="2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Signature</w:t>
            </w:r>
          </w:p>
        </w:tc>
      </w:tr>
      <w:tr w:rsidR="00035DCC" w14:paraId="622E39BA" w14:textId="77777777" w:rsidTr="008E1A1C">
        <w:trPr>
          <w:trHeight w:val="3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B4B60F" w14:textId="77777777" w:rsidR="00035DCC" w:rsidRDefault="00035DCC" w:rsidP="008E1A1C">
            <w:pPr>
              <w:spacing w:before="60" w:after="20"/>
              <w:ind w:left="80" w:right="8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B94F90" w14:textId="77777777" w:rsidR="00035DCC" w:rsidRDefault="00035DCC" w:rsidP="008E1A1C">
            <w:pPr>
              <w:spacing w:before="60" w:after="20"/>
              <w:ind w:left="80" w:right="8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Oui</w:t>
            </w:r>
          </w:p>
        </w:tc>
      </w:tr>
      <w:tr w:rsidR="00035DCC" w14:paraId="2BE61BDF" w14:textId="77777777" w:rsidTr="008E1A1C">
        <w:trPr>
          <w:trHeight w:val="3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697C6C" w14:textId="77777777" w:rsidR="00035DCC" w:rsidRDefault="00035DCC" w:rsidP="008E1A1C">
            <w:pPr>
              <w:spacing w:before="60" w:after="20"/>
              <w:ind w:left="80" w:right="8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D70BA2" w14:textId="77777777" w:rsidR="00035DCC" w:rsidRDefault="00035DCC" w:rsidP="008E1A1C">
            <w:pPr>
              <w:spacing w:before="60" w:after="20"/>
              <w:ind w:left="80" w:right="8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Oui</w:t>
            </w:r>
          </w:p>
        </w:tc>
      </w:tr>
      <w:tr w:rsidR="00035DCC" w14:paraId="3D1D27B7" w14:textId="77777777" w:rsidTr="008E1A1C">
        <w:trPr>
          <w:trHeight w:val="3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C80192" w14:textId="77777777" w:rsidR="00035DCC" w:rsidRDefault="00035DCC" w:rsidP="008E1A1C">
            <w:pPr>
              <w:spacing w:before="60" w:after="20"/>
              <w:ind w:left="80" w:right="8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Mémoire technique permettant d'apprécier la valeur technique de l'offre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F1036C" w14:textId="77777777" w:rsidR="00035DCC" w:rsidRDefault="00035DCC" w:rsidP="008E1A1C">
            <w:pPr>
              <w:spacing w:before="60" w:after="20"/>
              <w:ind w:left="80" w:right="8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Oui</w:t>
            </w:r>
          </w:p>
        </w:tc>
      </w:tr>
    </w:tbl>
    <w:p w14:paraId="22897D63" w14:textId="77777777" w:rsidR="00035DCC" w:rsidRDefault="00035DCC" w:rsidP="00035DCC">
      <w:pPr>
        <w:spacing w:line="240" w:lineRule="exact"/>
      </w:pPr>
      <w:r>
        <w:t xml:space="preserve"> </w:t>
      </w:r>
    </w:p>
    <w:p w14:paraId="0F9BF3A5" w14:textId="77777777" w:rsidR="00035DCC" w:rsidRDefault="00035DCC" w:rsidP="00035DCC">
      <w:pPr>
        <w:spacing w:line="240" w:lineRule="exact"/>
      </w:pPr>
    </w:p>
    <w:p w14:paraId="6CDEA8A7" w14:textId="77777777" w:rsidR="00035DCC" w:rsidRDefault="00035DCC" w:rsidP="00035DCC">
      <w:pPr>
        <w:spacing w:after="40" w:line="240" w:lineRule="exact"/>
      </w:pPr>
    </w:p>
    <w:p w14:paraId="34F8F2D9" w14:textId="77777777" w:rsidR="00035DCC" w:rsidRDefault="00035DCC" w:rsidP="00035DCC">
      <w:pPr>
        <w:pStyle w:val="ParagrapheIndent2"/>
        <w:spacing w:line="245" w:lineRule="exact"/>
        <w:jc w:val="both"/>
        <w:rPr>
          <w:color w:val="000000"/>
          <w:lang w:val="fr-FR"/>
        </w:rPr>
        <w:sectPr w:rsidR="00035DCC">
          <w:footerReference w:type="default" r:id="rId23"/>
          <w:pgSz w:w="11900" w:h="16840"/>
          <w:pgMar w:top="1380" w:right="1140" w:bottom="1140" w:left="1140" w:header="1380" w:footer="1140" w:gutter="0"/>
          <w:cols w:space="708"/>
        </w:sectPr>
      </w:pPr>
      <w:r>
        <w:rPr>
          <w:color w:val="000000"/>
          <w:lang w:val="fr-FR"/>
        </w:rPr>
        <w:lastRenderedPageBreak/>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r>
        <w:rPr>
          <w:color w:val="000000"/>
          <w:lang w:val="fr-FR"/>
        </w:rPr>
        <w:cr/>
      </w:r>
    </w:p>
    <w:p w14:paraId="4D894320" w14:textId="77777777" w:rsidR="00035DCC" w:rsidRDefault="00035DCC" w:rsidP="00035DCC">
      <w:pPr>
        <w:pStyle w:val="Titre2"/>
        <w:spacing w:after="100"/>
        <w:ind w:left="280"/>
        <w:rPr>
          <w:rFonts w:ascii="Century Gothic" w:eastAsia="Century Gothic" w:hAnsi="Century Gothic" w:cs="Century Gothic"/>
          <w:i w:val="0"/>
          <w:color w:val="000000"/>
          <w:sz w:val="24"/>
          <w:lang w:val="fr-FR"/>
        </w:rPr>
      </w:pPr>
      <w:bookmarkStart w:id="31" w:name="_Toc186199725"/>
      <w:r>
        <w:rPr>
          <w:rFonts w:ascii="Century Gothic" w:eastAsia="Century Gothic" w:hAnsi="Century Gothic" w:cs="Century Gothic"/>
          <w:i w:val="0"/>
          <w:color w:val="000000"/>
          <w:sz w:val="24"/>
          <w:lang w:val="fr-FR"/>
        </w:rPr>
        <w:lastRenderedPageBreak/>
        <w:t>5.2 - Présentation des variantes</w:t>
      </w:r>
      <w:bookmarkEnd w:id="31"/>
    </w:p>
    <w:p w14:paraId="38457AE2" w14:textId="59ABE9F5" w:rsidR="00035DCC" w:rsidRPr="00035DCC" w:rsidRDefault="00035DCC" w:rsidP="00035DCC">
      <w:pPr>
        <w:pStyle w:val="ParagrapheIndent2"/>
        <w:spacing w:after="240" w:line="245" w:lineRule="exact"/>
        <w:rPr>
          <w:color w:val="000000"/>
          <w:lang w:val="fr-FR"/>
        </w:rPr>
        <w:sectPr w:rsidR="00035DCC" w:rsidRPr="00035DCC">
          <w:footerReference w:type="default" r:id="rId24"/>
          <w:pgSz w:w="11900" w:h="16840"/>
          <w:pgMar w:top="1140" w:right="1140" w:bottom="1140" w:left="1140" w:header="1140" w:footer="1140" w:gutter="0"/>
          <w:cols w:space="708"/>
        </w:sectPr>
      </w:pPr>
      <w:r>
        <w:rPr>
          <w:color w:val="000000"/>
          <w:lang w:val="fr-FR"/>
        </w:rPr>
        <w:t>Les candidats présenteront un dossier général " variantes " comportant un sous-dossier particulier pour chaque variante qu'ils proposent. Outre les répercussions de chaque variante sur le montant de leur offre de base, ils indiqueront les adaptations à apporter tout en respectant les exigences minimales indiquées au cahier des charge</w:t>
      </w:r>
    </w:p>
    <w:p w14:paraId="471D6D20" w14:textId="5DE0A95F" w:rsidR="00EE3428" w:rsidRDefault="00EE3428">
      <w:pPr>
        <w:pStyle w:val="ParagrapheIndent2"/>
        <w:spacing w:after="240" w:line="245" w:lineRule="exact"/>
        <w:jc w:val="both"/>
        <w:rPr>
          <w:color w:val="000000"/>
          <w:lang w:val="fr-FR"/>
        </w:rPr>
      </w:pPr>
      <w:bookmarkStart w:id="32" w:name="ArtL2_RC-2-A6.4"/>
      <w:bookmarkEnd w:id="32"/>
    </w:p>
    <w:tbl>
      <w:tblPr>
        <w:tblW w:w="0" w:type="auto"/>
        <w:tblLayout w:type="fixed"/>
        <w:tblLook w:val="04A0" w:firstRow="1" w:lastRow="0" w:firstColumn="1" w:lastColumn="0" w:noHBand="0" w:noVBand="1"/>
      </w:tblPr>
      <w:tblGrid>
        <w:gridCol w:w="9620"/>
      </w:tblGrid>
      <w:tr w:rsidR="00EE3428" w14:paraId="70DB80E6" w14:textId="77777777">
        <w:tc>
          <w:tcPr>
            <w:tcW w:w="9620" w:type="dxa"/>
            <w:shd w:val="clear" w:color="FD2456" w:fill="FD2456"/>
            <w:tcMar>
              <w:top w:w="30" w:type="dxa"/>
              <w:left w:w="80" w:type="dxa"/>
              <w:bottom w:w="45" w:type="dxa"/>
              <w:right w:w="80" w:type="dxa"/>
            </w:tcMar>
          </w:tcPr>
          <w:p w14:paraId="4EF03985" w14:textId="77777777" w:rsidR="00EE3428" w:rsidRDefault="00035DCC">
            <w:pPr>
              <w:pStyle w:val="Titre1"/>
              <w:rPr>
                <w:rFonts w:ascii="Century Gothic" w:eastAsia="Century Gothic" w:hAnsi="Century Gothic" w:cs="Century Gothic"/>
                <w:color w:val="FFFFFF"/>
                <w:sz w:val="28"/>
                <w:lang w:val="fr-FR"/>
              </w:rPr>
            </w:pPr>
            <w:bookmarkStart w:id="33" w:name="ArtL1_RC-2-A7"/>
            <w:bookmarkStart w:id="34" w:name="_Toc186199726"/>
            <w:bookmarkEnd w:id="33"/>
            <w:r>
              <w:rPr>
                <w:rFonts w:ascii="Century Gothic" w:eastAsia="Century Gothic" w:hAnsi="Century Gothic" w:cs="Century Gothic"/>
                <w:color w:val="FFFFFF"/>
                <w:sz w:val="28"/>
                <w:lang w:val="fr-FR"/>
              </w:rPr>
              <w:t>6 - Conditions d'envoi ou de remise des plis</w:t>
            </w:r>
            <w:bookmarkEnd w:id="34"/>
          </w:p>
        </w:tc>
      </w:tr>
    </w:tbl>
    <w:p w14:paraId="2FECF2BD" w14:textId="77777777" w:rsidR="00EE3428" w:rsidRDefault="00035DCC">
      <w:pPr>
        <w:spacing w:line="60" w:lineRule="exact"/>
        <w:rPr>
          <w:sz w:val="6"/>
        </w:rPr>
      </w:pPr>
      <w:r>
        <w:t xml:space="preserve"> </w:t>
      </w:r>
    </w:p>
    <w:p w14:paraId="302907D1" w14:textId="77777777" w:rsidR="00EE3428" w:rsidRDefault="00035DCC">
      <w:pPr>
        <w:pStyle w:val="ParagrapheIndent1"/>
        <w:spacing w:after="240" w:line="245"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311D9785"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35" w:name="ArtL2_RC-2-A7.4"/>
      <w:bookmarkStart w:id="36" w:name="_Toc186199727"/>
      <w:bookmarkEnd w:id="35"/>
      <w:r>
        <w:rPr>
          <w:rFonts w:ascii="Century Gothic" w:eastAsia="Century Gothic" w:hAnsi="Century Gothic" w:cs="Century Gothic"/>
          <w:i w:val="0"/>
          <w:color w:val="000000"/>
          <w:sz w:val="24"/>
          <w:lang w:val="fr-FR"/>
        </w:rPr>
        <w:t>6.1 - Transmission électronique</w:t>
      </w:r>
      <w:bookmarkEnd w:id="36"/>
    </w:p>
    <w:p w14:paraId="574AA4CE" w14:textId="77777777" w:rsidR="00EE3428" w:rsidRDefault="00035DCC">
      <w:pPr>
        <w:pStyle w:val="ParagrapheIndent2"/>
        <w:spacing w:line="245" w:lineRule="exact"/>
        <w:jc w:val="both"/>
        <w:rPr>
          <w:color w:val="000000"/>
          <w:lang w:val="fr-FR"/>
        </w:rPr>
      </w:pPr>
      <w:r>
        <w:rPr>
          <w:color w:val="000000"/>
          <w:lang w:val="fr-FR"/>
        </w:rPr>
        <w:t>La transmission des documents par voie électronique est effectuée sur le profil d'acheteur du pouvoir adjudicateur, à l'adresse URL suivante : http://www.marches-publics.gouv.fr.</w:t>
      </w:r>
    </w:p>
    <w:p w14:paraId="65A1445B" w14:textId="77777777" w:rsidR="00EE3428" w:rsidRDefault="00EE3428">
      <w:pPr>
        <w:pStyle w:val="ParagrapheIndent2"/>
        <w:spacing w:line="245" w:lineRule="exact"/>
        <w:jc w:val="both"/>
        <w:rPr>
          <w:color w:val="000000"/>
          <w:lang w:val="fr-FR"/>
        </w:rPr>
      </w:pPr>
    </w:p>
    <w:p w14:paraId="76C848DF" w14:textId="77777777" w:rsidR="00EE3428" w:rsidRDefault="00EE3428">
      <w:pPr>
        <w:pStyle w:val="ParagrapheIndent2"/>
        <w:spacing w:line="245" w:lineRule="exact"/>
        <w:jc w:val="both"/>
        <w:rPr>
          <w:color w:val="000000"/>
          <w:lang w:val="fr-FR"/>
        </w:rPr>
      </w:pPr>
    </w:p>
    <w:p w14:paraId="7CA08FD7" w14:textId="77777777" w:rsidR="00EE3428" w:rsidRDefault="00035DCC">
      <w:pPr>
        <w:pStyle w:val="ParagrapheIndent2"/>
        <w:spacing w:after="240" w:line="245"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36BB1C9F" w14:textId="77777777" w:rsidR="00EE3428" w:rsidRDefault="00035DCC">
      <w:pPr>
        <w:pStyle w:val="ParagrapheIndent2"/>
        <w:spacing w:line="245"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4345E0CB" w14:textId="77777777" w:rsidR="00EE3428" w:rsidRDefault="00EE3428">
      <w:pPr>
        <w:pStyle w:val="ParagrapheIndent2"/>
        <w:spacing w:line="245" w:lineRule="exact"/>
        <w:jc w:val="both"/>
        <w:rPr>
          <w:color w:val="000000"/>
          <w:lang w:val="fr-FR"/>
        </w:rPr>
      </w:pPr>
    </w:p>
    <w:p w14:paraId="6ACDAE33" w14:textId="77777777" w:rsidR="00EE3428" w:rsidRDefault="00035DCC">
      <w:pPr>
        <w:pStyle w:val="ParagrapheIndent2"/>
        <w:spacing w:line="245"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w:t>
      </w:r>
      <w:proofErr w:type="gramStart"/>
      <w:r>
        <w:rPr>
          <w:color w:val="000000"/>
          <w:lang w:val="fr-FR"/>
        </w:rPr>
        <w:t>01:</w:t>
      </w:r>
      <w:proofErr w:type="gramEnd"/>
      <w:r>
        <w:rPr>
          <w:color w:val="000000"/>
          <w:lang w:val="fr-FR"/>
        </w:rPr>
        <w:t>00) Paris, Bruxelles, Copenhague, Madrid. Le pli sera considéré « hors délai » si le téléchargement se termine après la date et l'heure limites de réception des offres.</w:t>
      </w:r>
    </w:p>
    <w:p w14:paraId="6FA0CE4A" w14:textId="77777777" w:rsidR="00EE3428" w:rsidRDefault="00EE3428">
      <w:pPr>
        <w:pStyle w:val="ParagrapheIndent2"/>
        <w:spacing w:line="245" w:lineRule="exact"/>
        <w:jc w:val="both"/>
        <w:rPr>
          <w:color w:val="000000"/>
          <w:lang w:val="fr-FR"/>
        </w:rPr>
      </w:pPr>
    </w:p>
    <w:p w14:paraId="0716DF27" w14:textId="77777777" w:rsidR="00EE3428" w:rsidRDefault="00035DCC">
      <w:pPr>
        <w:pStyle w:val="ParagrapheIndent2"/>
        <w:spacing w:after="240" w:line="245"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137B8ECC" w14:textId="77777777" w:rsidR="00EE3428" w:rsidRDefault="00035DCC">
      <w:pPr>
        <w:pStyle w:val="ParagrapheIndent2"/>
        <w:spacing w:line="245"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ou sur support papier. Cette copie doit être placée dans un pli portant la mention « copie de sauvegarde », ainsi que le nom du candidat et l'identification de la procédure concernée. Elle est ouverte dans les cas suivants :</w:t>
      </w:r>
    </w:p>
    <w:p w14:paraId="0621E15C" w14:textId="333B4488" w:rsidR="00EE3428" w:rsidRDefault="00035DCC">
      <w:pPr>
        <w:pStyle w:val="ParagrapheIndent2"/>
        <w:spacing w:line="245" w:lineRule="exact"/>
        <w:jc w:val="both"/>
        <w:rPr>
          <w:color w:val="000000"/>
          <w:lang w:val="fr-FR"/>
        </w:rPr>
      </w:pPr>
      <w:r>
        <w:rPr>
          <w:color w:val="000000"/>
          <w:lang w:val="fr-FR"/>
        </w:rPr>
        <w:t xml:space="preserve">- lorsqu'un programme informatique malveillant est détecté dans le pli transmis par voie électronique </w:t>
      </w:r>
    </w:p>
    <w:p w14:paraId="5CCF3134" w14:textId="77777777" w:rsidR="00EE3428" w:rsidRDefault="00035DCC">
      <w:pPr>
        <w:pStyle w:val="ParagrapheIndent2"/>
        <w:spacing w:line="245"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139F8D3B" w14:textId="77777777" w:rsidR="00EE3428" w:rsidRDefault="00EE3428">
      <w:pPr>
        <w:pStyle w:val="ParagrapheIndent2"/>
        <w:spacing w:line="245" w:lineRule="exact"/>
        <w:jc w:val="both"/>
        <w:rPr>
          <w:color w:val="000000"/>
          <w:lang w:val="fr-FR"/>
        </w:rPr>
      </w:pPr>
    </w:p>
    <w:p w14:paraId="6AF9D524" w14:textId="77777777" w:rsidR="00EE3428" w:rsidRDefault="00035DCC">
      <w:pPr>
        <w:pStyle w:val="ParagrapheIndent2"/>
        <w:spacing w:line="245" w:lineRule="exact"/>
        <w:jc w:val="both"/>
        <w:rPr>
          <w:color w:val="000000"/>
          <w:lang w:val="fr-FR"/>
        </w:rPr>
      </w:pPr>
      <w:r>
        <w:rPr>
          <w:color w:val="000000"/>
          <w:lang w:val="fr-FR"/>
        </w:rPr>
        <w:t>La copie de sauvegarde peut être transmise ou déposée à l'adresse suivante :</w:t>
      </w:r>
    </w:p>
    <w:p w14:paraId="0D72B593" w14:textId="77777777" w:rsidR="00EE3428" w:rsidRDefault="00035DCC">
      <w:pPr>
        <w:pStyle w:val="ParagrapheIndent2"/>
        <w:spacing w:line="245" w:lineRule="exact"/>
        <w:jc w:val="both"/>
        <w:rPr>
          <w:color w:val="000000"/>
          <w:lang w:val="fr-FR"/>
        </w:rPr>
      </w:pPr>
      <w:r>
        <w:rPr>
          <w:color w:val="000000"/>
          <w:lang w:val="fr-FR"/>
        </w:rPr>
        <w:t>CH DE CORNOUAILLE</w:t>
      </w:r>
    </w:p>
    <w:p w14:paraId="04AC86AC" w14:textId="77777777" w:rsidR="00EE3428" w:rsidRDefault="00035DCC">
      <w:pPr>
        <w:pStyle w:val="ParagrapheIndent2"/>
        <w:spacing w:line="245" w:lineRule="exact"/>
        <w:jc w:val="both"/>
        <w:rPr>
          <w:color w:val="000000"/>
          <w:lang w:val="fr-FR"/>
        </w:rPr>
      </w:pPr>
      <w:r>
        <w:rPr>
          <w:color w:val="000000"/>
          <w:lang w:val="fr-FR"/>
        </w:rPr>
        <w:t>Direction des Ressources Matérielles</w:t>
      </w:r>
    </w:p>
    <w:p w14:paraId="69B725C9" w14:textId="77777777" w:rsidR="00EE3428" w:rsidRDefault="00035DCC">
      <w:pPr>
        <w:pStyle w:val="ParagrapheIndent2"/>
        <w:spacing w:line="245" w:lineRule="exact"/>
        <w:jc w:val="both"/>
        <w:rPr>
          <w:color w:val="000000"/>
          <w:lang w:val="fr-FR"/>
        </w:rPr>
      </w:pPr>
      <w:r>
        <w:rPr>
          <w:color w:val="000000"/>
          <w:lang w:val="fr-FR"/>
        </w:rPr>
        <w:t>14 AVENUE YVES THEPOT</w:t>
      </w:r>
    </w:p>
    <w:p w14:paraId="32317DCA" w14:textId="77777777" w:rsidR="00EE3428" w:rsidRDefault="00035DCC">
      <w:pPr>
        <w:pStyle w:val="ParagrapheIndent2"/>
        <w:spacing w:line="245" w:lineRule="exact"/>
        <w:jc w:val="both"/>
        <w:rPr>
          <w:color w:val="000000"/>
          <w:lang w:val="fr-FR"/>
        </w:rPr>
      </w:pPr>
      <w:r>
        <w:rPr>
          <w:color w:val="000000"/>
          <w:lang w:val="fr-FR"/>
        </w:rPr>
        <w:t>BP 175</w:t>
      </w:r>
    </w:p>
    <w:p w14:paraId="2FB38C32" w14:textId="77777777" w:rsidR="00EE3428" w:rsidRDefault="00035DCC">
      <w:pPr>
        <w:pStyle w:val="ParagrapheIndent2"/>
        <w:spacing w:line="245" w:lineRule="exact"/>
        <w:jc w:val="both"/>
        <w:rPr>
          <w:color w:val="000000"/>
          <w:lang w:val="fr-FR"/>
        </w:rPr>
      </w:pPr>
      <w:r>
        <w:rPr>
          <w:color w:val="000000"/>
          <w:lang w:val="fr-FR"/>
        </w:rPr>
        <w:t>29107 QUIMPER CEDEX</w:t>
      </w:r>
    </w:p>
    <w:p w14:paraId="16161D87" w14:textId="77777777" w:rsidR="00EE3428" w:rsidRDefault="00EE3428">
      <w:pPr>
        <w:pStyle w:val="ParagrapheIndent2"/>
        <w:spacing w:after="240" w:line="245" w:lineRule="exact"/>
        <w:jc w:val="both"/>
        <w:rPr>
          <w:color w:val="000000"/>
          <w:lang w:val="fr-FR"/>
        </w:rPr>
      </w:pPr>
    </w:p>
    <w:p w14:paraId="697782D5" w14:textId="77777777" w:rsidR="00EE3428" w:rsidRDefault="00035DCC">
      <w:pPr>
        <w:pStyle w:val="ParagrapheIndent2"/>
        <w:spacing w:after="240" w:line="245"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28E30776" w14:textId="77777777" w:rsidR="00EE3428" w:rsidRDefault="00035DCC">
      <w:pPr>
        <w:pStyle w:val="ParagrapheIndent2"/>
        <w:spacing w:line="245" w:lineRule="exact"/>
        <w:jc w:val="both"/>
        <w:rPr>
          <w:color w:val="000000"/>
          <w:lang w:val="fr-FR"/>
        </w:rPr>
      </w:pPr>
      <w:r>
        <w:rPr>
          <w:color w:val="000000"/>
          <w:lang w:val="fr-FR"/>
        </w:rPr>
        <w:t>L'organisation et le nommage des fichiers attendus par le pouvoir adjudicateur est le suivant :</w:t>
      </w:r>
    </w:p>
    <w:p w14:paraId="28A20ACB" w14:textId="16BF27C4" w:rsidR="00EE3428" w:rsidRDefault="00035DCC">
      <w:pPr>
        <w:pStyle w:val="ParagrapheIndent2"/>
        <w:spacing w:after="140" w:line="245" w:lineRule="exact"/>
        <w:jc w:val="both"/>
        <w:rPr>
          <w:color w:val="000000"/>
          <w:lang w:val="fr-FR"/>
        </w:rPr>
        <w:sectPr w:rsidR="00EE3428">
          <w:footerReference w:type="default" r:id="rId25"/>
          <w:pgSz w:w="11900" w:h="16840"/>
          <w:pgMar w:top="1140" w:right="1140" w:bottom="1140" w:left="1140" w:header="1140" w:footer="1140" w:gutter="0"/>
          <w:cols w:space="708"/>
        </w:sectPr>
      </w:pPr>
      <w:r>
        <w:rPr>
          <w:color w:val="000000"/>
          <w:lang w:val="fr-FR"/>
        </w:rPr>
        <w:t xml:space="preserve">La transmission des dossiers doit pourvoir faire l’objet d’une date certaine de réception et </w:t>
      </w:r>
      <w:proofErr w:type="gramStart"/>
      <w:r>
        <w:rPr>
          <w:color w:val="000000"/>
          <w:lang w:val="fr-FR"/>
        </w:rPr>
        <w:t xml:space="preserve">d’un </w:t>
      </w:r>
      <w:r w:rsidR="009D4633">
        <w:rPr>
          <w:color w:val="000000"/>
          <w:lang w:val="fr-FR"/>
        </w:rPr>
        <w:t xml:space="preserve"> accusé</w:t>
      </w:r>
      <w:proofErr w:type="gramEnd"/>
      <w:r w:rsidR="009D4633">
        <w:rPr>
          <w:color w:val="000000"/>
          <w:lang w:val="fr-FR"/>
        </w:rPr>
        <w:t xml:space="preserve"> </w:t>
      </w:r>
      <w:proofErr w:type="spellStart"/>
      <w:r w:rsidR="009D4633">
        <w:rPr>
          <w:color w:val="000000"/>
          <w:lang w:val="fr-FR"/>
        </w:rPr>
        <w:t>dé</w:t>
      </w:r>
      <w:proofErr w:type="spellEnd"/>
      <w:r w:rsidR="009D4633">
        <w:rPr>
          <w:color w:val="000000"/>
          <w:lang w:val="fr-FR"/>
        </w:rPr>
        <w:t xml:space="preserve"> réception électronique indiquant la date et l’heure de dépôt.</w:t>
      </w:r>
    </w:p>
    <w:p w14:paraId="7272BE27" w14:textId="77777777" w:rsidR="00EE3428" w:rsidRDefault="00035DCC">
      <w:pPr>
        <w:pStyle w:val="ParagrapheIndent2"/>
        <w:spacing w:line="245" w:lineRule="exact"/>
        <w:jc w:val="both"/>
        <w:rPr>
          <w:color w:val="000000"/>
          <w:lang w:val="fr-FR"/>
        </w:rPr>
      </w:pPr>
      <w:r>
        <w:rPr>
          <w:color w:val="000000"/>
          <w:lang w:val="fr-FR"/>
        </w:rPr>
        <w:lastRenderedPageBreak/>
        <w:t>La confidentialité, la sécurité des transactions et l’accessibilité du réseau informatique de façon non discriminatoire sont assurés par le pouvoir adjudicateur ou son représentant.</w:t>
      </w:r>
    </w:p>
    <w:p w14:paraId="36F5DB4D" w14:textId="77777777" w:rsidR="00EE3428" w:rsidRDefault="00035DCC">
      <w:pPr>
        <w:pStyle w:val="ParagrapheIndent2"/>
        <w:spacing w:line="245" w:lineRule="exact"/>
        <w:jc w:val="both"/>
        <w:rPr>
          <w:color w:val="000000"/>
          <w:lang w:val="fr-FR"/>
        </w:rPr>
      </w:pPr>
      <w:r>
        <w:rPr>
          <w:color w:val="000000"/>
          <w:lang w:val="fr-FR"/>
        </w:rPr>
        <w:t>La confidentialité des offres transmises par la plateforme de dématérialisation est assurée par cryptage automatique. Les offres ainsi sécurisées ne peuvent être lues que par le Pouvoir Adjudicateur ou son représentant habilité, lors de l’ouverture des plis.</w:t>
      </w:r>
    </w:p>
    <w:p w14:paraId="10EAD9A4" w14:textId="77777777" w:rsidR="00EE3428" w:rsidRDefault="00035DCC">
      <w:pPr>
        <w:pStyle w:val="ParagrapheIndent2"/>
        <w:spacing w:line="245" w:lineRule="exact"/>
        <w:jc w:val="both"/>
        <w:rPr>
          <w:color w:val="000000"/>
          <w:lang w:val="fr-FR"/>
        </w:rPr>
      </w:pPr>
      <w:r>
        <w:rPr>
          <w:color w:val="000000"/>
          <w:lang w:val="fr-FR"/>
        </w:rPr>
        <w:t>Les candidats ne sont pas autorisés à chiffrer le contenu de leur pli avec un outil qui leur serait propre.</w:t>
      </w:r>
    </w:p>
    <w:p w14:paraId="1CAC12B1" w14:textId="77777777" w:rsidR="00EE3428" w:rsidRDefault="00EE3428">
      <w:pPr>
        <w:pStyle w:val="ParagrapheIndent2"/>
        <w:spacing w:line="245" w:lineRule="exact"/>
        <w:jc w:val="both"/>
        <w:rPr>
          <w:color w:val="000000"/>
          <w:lang w:val="fr-FR"/>
        </w:rPr>
      </w:pPr>
    </w:p>
    <w:p w14:paraId="1055C6ED" w14:textId="77777777" w:rsidR="00EE3428" w:rsidRDefault="00035DCC">
      <w:pPr>
        <w:pStyle w:val="ParagrapheIndent2"/>
        <w:spacing w:line="245" w:lineRule="exact"/>
        <w:jc w:val="both"/>
        <w:rPr>
          <w:color w:val="000000"/>
          <w:lang w:val="fr-FR"/>
        </w:rPr>
      </w:pPr>
      <w:r>
        <w:rPr>
          <w:color w:val="000000"/>
          <w:lang w:val="fr-FR"/>
        </w:rPr>
        <w:t>Compatibilité des formats et virus</w:t>
      </w:r>
    </w:p>
    <w:p w14:paraId="45BD3588" w14:textId="77777777" w:rsidR="00EE3428" w:rsidRDefault="00035DCC">
      <w:pPr>
        <w:pStyle w:val="ParagrapheIndent2"/>
        <w:spacing w:line="245" w:lineRule="exact"/>
        <w:jc w:val="both"/>
        <w:rPr>
          <w:color w:val="000000"/>
          <w:lang w:val="fr-FR"/>
        </w:rPr>
      </w:pPr>
      <w:r>
        <w:rPr>
          <w:color w:val="000000"/>
          <w:lang w:val="fr-FR"/>
        </w:rPr>
        <w:t>Afin de pouvoir décompresser et lire les documents mis à disposition par la personne publique, les soumissionnaires devront disposer des logiciels permettant de lire les formats suivants :</w:t>
      </w:r>
    </w:p>
    <w:p w14:paraId="06BB8E88" w14:textId="77777777" w:rsidR="00EE3428" w:rsidRDefault="00035DCC">
      <w:pPr>
        <w:pStyle w:val="ParagrapheIndent2"/>
        <w:spacing w:line="245" w:lineRule="exact"/>
        <w:jc w:val="both"/>
        <w:rPr>
          <w:color w:val="000000"/>
          <w:lang w:val="fr-FR"/>
        </w:rPr>
      </w:pPr>
      <w:r>
        <w:rPr>
          <w:color w:val="000000"/>
          <w:lang w:val="fr-FR"/>
        </w:rPr>
        <w:t xml:space="preserve">- Fichiers compressés au standard .zip (lisibles par les logiciels </w:t>
      </w:r>
      <w:proofErr w:type="spellStart"/>
      <w:r>
        <w:rPr>
          <w:color w:val="000000"/>
          <w:lang w:val="fr-FR"/>
        </w:rPr>
        <w:t>Winzip</w:t>
      </w:r>
      <w:proofErr w:type="spellEnd"/>
      <w:r>
        <w:rPr>
          <w:color w:val="000000"/>
          <w:lang w:val="fr-FR"/>
        </w:rPr>
        <w:t>, 7</w:t>
      </w:r>
      <w:proofErr w:type="gramStart"/>
      <w:r>
        <w:rPr>
          <w:color w:val="000000"/>
          <w:lang w:val="fr-FR"/>
        </w:rPr>
        <w:t>zip,…</w:t>
      </w:r>
      <w:proofErr w:type="gramEnd"/>
      <w:r>
        <w:rPr>
          <w:color w:val="000000"/>
          <w:lang w:val="fr-FR"/>
        </w:rPr>
        <w:t>)</w:t>
      </w:r>
    </w:p>
    <w:p w14:paraId="6457AF00" w14:textId="77777777" w:rsidR="00EE3428" w:rsidRDefault="00035DCC">
      <w:pPr>
        <w:pStyle w:val="ParagrapheIndent2"/>
        <w:spacing w:line="245" w:lineRule="exact"/>
        <w:jc w:val="both"/>
        <w:rPr>
          <w:color w:val="000000"/>
          <w:lang w:val="fr-FR"/>
        </w:rPr>
      </w:pPr>
      <w:r>
        <w:rPr>
          <w:color w:val="000000"/>
          <w:lang w:val="fr-FR"/>
        </w:rPr>
        <w:t>- Adobe® Acrobat®.pdf (lisibles par le logiciel Acrobat Reader version 6)</w:t>
      </w:r>
    </w:p>
    <w:p w14:paraId="12E18AAA" w14:textId="77777777" w:rsidR="00EE3428" w:rsidRDefault="00035DCC">
      <w:pPr>
        <w:pStyle w:val="ParagrapheIndent2"/>
        <w:spacing w:line="245" w:lineRule="exact"/>
        <w:jc w:val="both"/>
        <w:rPr>
          <w:color w:val="000000"/>
          <w:lang w:val="fr-FR"/>
        </w:rPr>
      </w:pPr>
      <w:r>
        <w:rPr>
          <w:color w:val="000000"/>
          <w:lang w:val="fr-FR"/>
        </w:rPr>
        <w:t xml:space="preserve">- .doc </w:t>
      </w:r>
      <w:proofErr w:type="gramStart"/>
      <w:r>
        <w:rPr>
          <w:color w:val="000000"/>
          <w:lang w:val="fr-FR"/>
        </w:rPr>
        <w:t>ou</w:t>
      </w:r>
      <w:proofErr w:type="gramEnd"/>
      <w:r>
        <w:rPr>
          <w:color w:val="000000"/>
          <w:lang w:val="fr-FR"/>
        </w:rPr>
        <w:t xml:space="preserve"> .docx ou .</w:t>
      </w:r>
      <w:proofErr w:type="spellStart"/>
      <w:r>
        <w:rPr>
          <w:color w:val="000000"/>
          <w:lang w:val="fr-FR"/>
        </w:rPr>
        <w:t>xls</w:t>
      </w:r>
      <w:proofErr w:type="spellEnd"/>
      <w:r>
        <w:rPr>
          <w:color w:val="000000"/>
          <w:lang w:val="fr-FR"/>
        </w:rPr>
        <w:t xml:space="preserve"> ou .xlsx ou .</w:t>
      </w:r>
      <w:proofErr w:type="spellStart"/>
      <w:r>
        <w:rPr>
          <w:color w:val="000000"/>
          <w:lang w:val="fr-FR"/>
        </w:rPr>
        <w:t>pdf</w:t>
      </w:r>
      <w:proofErr w:type="spellEnd"/>
      <w:r>
        <w:rPr>
          <w:color w:val="000000"/>
          <w:lang w:val="fr-FR"/>
        </w:rPr>
        <w:t xml:space="preserve">. </w:t>
      </w:r>
      <w:proofErr w:type="gramStart"/>
      <w:r>
        <w:rPr>
          <w:color w:val="000000"/>
          <w:lang w:val="fr-FR"/>
        </w:rPr>
        <w:t>ou</w:t>
      </w:r>
      <w:proofErr w:type="gramEnd"/>
      <w:r>
        <w:rPr>
          <w:color w:val="000000"/>
          <w:lang w:val="fr-FR"/>
        </w:rPr>
        <w:t xml:space="preserve"> .</w:t>
      </w:r>
      <w:proofErr w:type="spellStart"/>
      <w:r>
        <w:rPr>
          <w:color w:val="000000"/>
          <w:lang w:val="fr-FR"/>
        </w:rPr>
        <w:t>ppt</w:t>
      </w:r>
      <w:proofErr w:type="spellEnd"/>
      <w:r>
        <w:rPr>
          <w:color w:val="000000"/>
          <w:lang w:val="fr-FR"/>
        </w:rPr>
        <w:t xml:space="preserve"> en version office 2010</w:t>
      </w:r>
    </w:p>
    <w:p w14:paraId="7191524E" w14:textId="77777777" w:rsidR="00EE3428" w:rsidRDefault="00035DCC">
      <w:pPr>
        <w:pStyle w:val="ParagrapheIndent2"/>
        <w:spacing w:line="245" w:lineRule="exact"/>
        <w:jc w:val="both"/>
        <w:rPr>
          <w:color w:val="000000"/>
          <w:lang w:val="fr-FR"/>
        </w:rPr>
      </w:pPr>
      <w:r>
        <w:rPr>
          <w:color w:val="000000"/>
          <w:lang w:val="fr-FR"/>
        </w:rPr>
        <w:t>- .</w:t>
      </w:r>
      <w:proofErr w:type="spellStart"/>
      <w:r>
        <w:rPr>
          <w:color w:val="000000"/>
          <w:lang w:val="fr-FR"/>
        </w:rPr>
        <w:t>cmp</w:t>
      </w:r>
      <w:proofErr w:type="spellEnd"/>
      <w:r>
        <w:rPr>
          <w:color w:val="000000"/>
          <w:lang w:val="fr-FR"/>
        </w:rPr>
        <w:t xml:space="preserve"> (via HELIOSWEB ou EURYDICE V6.09)</w:t>
      </w:r>
    </w:p>
    <w:p w14:paraId="6F0F5D2A" w14:textId="77777777" w:rsidR="00EE3428" w:rsidRDefault="00035DCC">
      <w:pPr>
        <w:pStyle w:val="ParagrapheIndent2"/>
        <w:spacing w:line="245" w:lineRule="exact"/>
        <w:jc w:val="both"/>
        <w:rPr>
          <w:color w:val="000000"/>
          <w:lang w:val="fr-FR"/>
        </w:rPr>
      </w:pPr>
      <w:r>
        <w:rPr>
          <w:color w:val="000000"/>
          <w:lang w:val="fr-FR"/>
        </w:rPr>
        <w:t>- .jpg</w:t>
      </w:r>
    </w:p>
    <w:p w14:paraId="3B760493" w14:textId="77777777" w:rsidR="00EE3428" w:rsidRDefault="00EE3428">
      <w:pPr>
        <w:pStyle w:val="ParagrapheIndent2"/>
        <w:spacing w:line="245" w:lineRule="exact"/>
        <w:jc w:val="both"/>
        <w:rPr>
          <w:color w:val="000000"/>
          <w:lang w:val="fr-FR"/>
        </w:rPr>
      </w:pPr>
    </w:p>
    <w:p w14:paraId="399A6008" w14:textId="77777777" w:rsidR="00EE3428" w:rsidRDefault="00035DCC">
      <w:pPr>
        <w:pStyle w:val="ParagrapheIndent2"/>
        <w:spacing w:line="245" w:lineRule="exact"/>
        <w:jc w:val="both"/>
        <w:rPr>
          <w:color w:val="000000"/>
          <w:lang w:val="fr-FR"/>
        </w:rPr>
      </w:pPr>
      <w:r>
        <w:rPr>
          <w:color w:val="000000"/>
          <w:lang w:val="fr-FR"/>
        </w:rPr>
        <w:t>Tous les fichiers renvoyés devront être compatibles avec ces formats. En cas de format différent, l’offre pourra être rejetée.</w:t>
      </w:r>
    </w:p>
    <w:p w14:paraId="7262EA92" w14:textId="77777777" w:rsidR="00EE3428" w:rsidRDefault="00EE3428">
      <w:pPr>
        <w:pStyle w:val="ParagrapheIndent2"/>
        <w:spacing w:line="245" w:lineRule="exact"/>
        <w:jc w:val="both"/>
        <w:rPr>
          <w:color w:val="000000"/>
          <w:lang w:val="fr-FR"/>
        </w:rPr>
      </w:pPr>
    </w:p>
    <w:p w14:paraId="57CDD0CF" w14:textId="77777777" w:rsidR="00EE3428" w:rsidRDefault="00035DCC">
      <w:pPr>
        <w:pStyle w:val="ParagrapheIndent2"/>
        <w:spacing w:line="245" w:lineRule="exact"/>
        <w:jc w:val="both"/>
        <w:rPr>
          <w:color w:val="000000"/>
          <w:lang w:val="fr-FR"/>
        </w:rPr>
      </w:pPr>
      <w:r>
        <w:rPr>
          <w:color w:val="000000"/>
          <w:lang w:val="fr-FR"/>
        </w:rPr>
        <w:t>Le candidat est invité à ne pas utiliser certains formats, notamment les « .exe » et à ne pas utiliser certains outils, notamment les « macros ». Il veillera à traiter les fichiers préalablement par un anti-virus. La réception de tout fichier contenant un virus fera l’objet d’un archivage de sécurité sans lecture du document.</w:t>
      </w:r>
    </w:p>
    <w:p w14:paraId="0DD07316" w14:textId="77777777" w:rsidR="00EE3428" w:rsidRDefault="00EE3428">
      <w:pPr>
        <w:pStyle w:val="ParagrapheIndent2"/>
        <w:spacing w:line="245" w:lineRule="exact"/>
        <w:jc w:val="both"/>
        <w:rPr>
          <w:color w:val="000000"/>
          <w:lang w:val="fr-FR"/>
        </w:rPr>
      </w:pPr>
    </w:p>
    <w:p w14:paraId="10DBDD53" w14:textId="77777777" w:rsidR="00EE3428" w:rsidRDefault="00035DCC">
      <w:pPr>
        <w:pStyle w:val="ParagrapheIndent2"/>
        <w:spacing w:line="245" w:lineRule="exact"/>
        <w:jc w:val="both"/>
        <w:rPr>
          <w:color w:val="000000"/>
          <w:lang w:val="fr-FR"/>
        </w:rPr>
      </w:pPr>
      <w:r>
        <w:rPr>
          <w:color w:val="000000"/>
          <w:lang w:val="fr-FR"/>
        </w:rPr>
        <w:t>En application de l’article R2132-11 du code de la commande publique, une copie de sauvegarde peut être envoyée dans les conditions fixées par l’arrêté du 14 décembre 2009.</w:t>
      </w:r>
    </w:p>
    <w:p w14:paraId="5DC673D2" w14:textId="77777777" w:rsidR="00EE3428" w:rsidRDefault="00035DCC">
      <w:pPr>
        <w:pStyle w:val="ParagrapheIndent2"/>
        <w:spacing w:line="245" w:lineRule="exact"/>
        <w:jc w:val="both"/>
        <w:rPr>
          <w:color w:val="000000"/>
          <w:lang w:val="fr-FR"/>
        </w:rPr>
      </w:pPr>
      <w:r>
        <w:rPr>
          <w:color w:val="000000"/>
          <w:lang w:val="fr-FR"/>
        </w:rPr>
        <w:t xml:space="preserve">La copie de sauvegarde peut être sur support physique électronique (Cd –rom, </w:t>
      </w:r>
      <w:proofErr w:type="spellStart"/>
      <w:r>
        <w:rPr>
          <w:color w:val="000000"/>
          <w:lang w:val="fr-FR"/>
        </w:rPr>
        <w:t>DVD-rom</w:t>
      </w:r>
      <w:proofErr w:type="spellEnd"/>
      <w:r>
        <w:rPr>
          <w:color w:val="000000"/>
          <w:lang w:val="fr-FR"/>
        </w:rPr>
        <w:t>, clé USB) ou sur support papier. Cette copie est transmise sous pli scellé et comporte obligatoirement la mention lisible « Copie de sauvegarde ». Elle devra être identifiée au nom du candidat et comporter l’identification de la procédure de consultation concernée.</w:t>
      </w:r>
    </w:p>
    <w:p w14:paraId="215621BF" w14:textId="77777777" w:rsidR="00EE3428" w:rsidRDefault="00EE3428">
      <w:pPr>
        <w:pStyle w:val="ParagrapheIndent2"/>
        <w:spacing w:line="245" w:lineRule="exact"/>
        <w:jc w:val="both"/>
        <w:rPr>
          <w:color w:val="000000"/>
          <w:lang w:val="fr-FR"/>
        </w:rPr>
      </w:pPr>
    </w:p>
    <w:p w14:paraId="005969CB" w14:textId="77777777" w:rsidR="00EE3428" w:rsidRDefault="00035DCC">
      <w:pPr>
        <w:pStyle w:val="ParagrapheIndent2"/>
        <w:spacing w:line="245" w:lineRule="exact"/>
        <w:jc w:val="both"/>
        <w:rPr>
          <w:color w:val="000000"/>
          <w:lang w:val="fr-FR"/>
        </w:rPr>
      </w:pPr>
      <w:r>
        <w:rPr>
          <w:color w:val="000000"/>
          <w:lang w:val="fr-FR"/>
        </w:rPr>
        <w:t>Elle ne sera ouverte par le pouvoir adjudicateur que dans le cas où un virus serait détecté dans les enveloppes transmises par voie électronique.</w:t>
      </w:r>
    </w:p>
    <w:p w14:paraId="013C3637" w14:textId="77777777" w:rsidR="00EE3428" w:rsidRDefault="00035DCC">
      <w:pPr>
        <w:pStyle w:val="ParagrapheIndent2"/>
        <w:spacing w:after="240" w:line="245" w:lineRule="exact"/>
        <w:jc w:val="both"/>
        <w:rPr>
          <w:color w:val="000000"/>
          <w:lang w:val="fr-FR"/>
        </w:rPr>
      </w:pPr>
      <w:r>
        <w:rPr>
          <w:color w:val="000000"/>
          <w:lang w:val="fr-FR"/>
        </w:rPr>
        <w:t>En cas de copie de sauvegarde sur support électronique, les documents, qui l’exigent traditionnellement doivent obligatoirement comporter une signature.</w:t>
      </w:r>
    </w:p>
    <w:p w14:paraId="7DF88890" w14:textId="77777777" w:rsidR="00EE3428" w:rsidRDefault="00035DCC">
      <w:pPr>
        <w:pStyle w:val="ParagrapheIndent2"/>
        <w:spacing w:after="240"/>
        <w:jc w:val="both"/>
        <w:rPr>
          <w:color w:val="000000"/>
          <w:lang w:val="fr-FR"/>
        </w:rPr>
      </w:pPr>
      <w:r>
        <w:rPr>
          <w:color w:val="000000"/>
          <w:lang w:val="fr-FR"/>
        </w:rPr>
        <w:t>La signature électronique des documents n'est pas exigée dans le cadre de cette consultation.</w:t>
      </w:r>
    </w:p>
    <w:p w14:paraId="429BE772" w14:textId="77777777" w:rsidR="00EE3428" w:rsidRDefault="00035DCC">
      <w:pPr>
        <w:pStyle w:val="ParagrapheIndent2"/>
        <w:spacing w:after="240" w:line="245" w:lineRule="exact"/>
        <w:jc w:val="both"/>
        <w:rPr>
          <w:color w:val="000000"/>
          <w:lang w:val="fr-FR"/>
        </w:rPr>
      </w:pPr>
      <w:r>
        <w:rPr>
          <w:color w:val="000000"/>
          <w:lang w:val="fr-FR"/>
        </w:rPr>
        <w:t>La signature électronique du contrat par l'attributaire n'est pas exigée dans le cadre de cette consultation.</w:t>
      </w:r>
    </w:p>
    <w:p w14:paraId="720AEBA2" w14:textId="77777777" w:rsidR="00EE3428" w:rsidRDefault="00035DCC">
      <w:pPr>
        <w:pStyle w:val="ParagrapheIndent2"/>
        <w:spacing w:after="240" w:line="245" w:lineRule="exact"/>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EE3428" w14:paraId="306FB59B" w14:textId="77777777">
        <w:trPr>
          <w:trHeight w:val="685"/>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EE3428" w14:paraId="77F0A64D" w14:textId="77777777">
              <w:trPr>
                <w:trHeight w:val="40"/>
              </w:trPr>
              <w:tc>
                <w:tcPr>
                  <w:tcW w:w="400" w:type="dxa"/>
                  <w:tcMar>
                    <w:top w:w="0" w:type="dxa"/>
                    <w:left w:w="0" w:type="dxa"/>
                    <w:bottom w:w="0" w:type="dxa"/>
                    <w:right w:w="0" w:type="dxa"/>
                  </w:tcMar>
                </w:tcPr>
                <w:p w14:paraId="27FEA349" w14:textId="77777777" w:rsidR="00EE3428" w:rsidRDefault="00EE3428">
                  <w:pPr>
                    <w:rPr>
                      <w:sz w:val="2"/>
                    </w:rPr>
                  </w:pPr>
                </w:p>
              </w:tc>
              <w:tc>
                <w:tcPr>
                  <w:tcW w:w="300" w:type="dxa"/>
                  <w:tcMar>
                    <w:top w:w="0" w:type="dxa"/>
                    <w:left w:w="0" w:type="dxa"/>
                    <w:bottom w:w="0" w:type="dxa"/>
                    <w:right w:w="0" w:type="dxa"/>
                  </w:tcMar>
                </w:tcPr>
                <w:p w14:paraId="6ECADDB1" w14:textId="77777777" w:rsidR="00EE3428" w:rsidRDefault="00EE3428">
                  <w:pPr>
                    <w:rPr>
                      <w:sz w:val="2"/>
                    </w:rPr>
                  </w:pPr>
                </w:p>
              </w:tc>
              <w:tc>
                <w:tcPr>
                  <w:tcW w:w="7300" w:type="dxa"/>
                  <w:vMerge w:val="restart"/>
                  <w:tcMar>
                    <w:top w:w="0" w:type="dxa"/>
                    <w:left w:w="0" w:type="dxa"/>
                    <w:bottom w:w="0" w:type="dxa"/>
                    <w:right w:w="0" w:type="dxa"/>
                  </w:tcMar>
                  <w:vAlign w:val="center"/>
                </w:tcPr>
                <w:p w14:paraId="77A7B5A6" w14:textId="77777777" w:rsidR="00EE3428" w:rsidRDefault="00035DCC">
                  <w:pPr>
                    <w:rPr>
                      <w:rFonts w:ascii="Century Gothic" w:eastAsia="Century Gothic" w:hAnsi="Century Gothic" w:cs="Century Gothic"/>
                      <w:b/>
                      <w:color w:val="000000"/>
                      <w:sz w:val="22"/>
                      <w:lang w:val="fr-FR"/>
                    </w:rPr>
                  </w:pPr>
                  <w:r>
                    <w:rPr>
                      <w:rFonts w:ascii="Century Gothic" w:eastAsia="Century Gothic" w:hAnsi="Century Gothic" w:cs="Century Gothic"/>
                      <w:b/>
                      <w:color w:val="000000"/>
                      <w:sz w:val="22"/>
                      <w:lang w:val="fr-FR"/>
                    </w:rPr>
                    <w:t>Pensez à anticiper votre dépôt plusieurs heures avant l'heure limite</w:t>
                  </w:r>
                </w:p>
              </w:tc>
            </w:tr>
            <w:tr w:rsidR="00EE3428" w14:paraId="17CC098B" w14:textId="77777777">
              <w:trPr>
                <w:trHeight w:val="385"/>
              </w:trPr>
              <w:tc>
                <w:tcPr>
                  <w:tcW w:w="400" w:type="dxa"/>
                  <w:tcMar>
                    <w:top w:w="0" w:type="dxa"/>
                    <w:left w:w="0" w:type="dxa"/>
                    <w:bottom w:w="0" w:type="dxa"/>
                    <w:right w:w="0" w:type="dxa"/>
                  </w:tcMar>
                </w:tcPr>
                <w:p w14:paraId="6628C1B2" w14:textId="374F71E4" w:rsidR="00EE3428" w:rsidRDefault="00035DCC">
                  <w:pPr>
                    <w:rPr>
                      <w:sz w:val="2"/>
                    </w:rPr>
                  </w:pPr>
                  <w:r>
                    <w:rPr>
                      <w:noProof/>
                    </w:rPr>
                    <w:drawing>
                      <wp:inline distT="0" distB="0" distL="0" distR="0" wp14:anchorId="640D4F66" wp14:editId="7E164484">
                        <wp:extent cx="257175" cy="25717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449BAEE4" w14:textId="77777777" w:rsidR="00EE3428" w:rsidRDefault="00EE3428">
                  <w:pPr>
                    <w:rPr>
                      <w:sz w:val="2"/>
                    </w:rPr>
                  </w:pPr>
                </w:p>
              </w:tc>
              <w:tc>
                <w:tcPr>
                  <w:tcW w:w="7300" w:type="dxa"/>
                  <w:vMerge/>
                  <w:tcMar>
                    <w:top w:w="0" w:type="dxa"/>
                    <w:left w:w="0" w:type="dxa"/>
                    <w:bottom w:w="0" w:type="dxa"/>
                    <w:right w:w="0" w:type="dxa"/>
                  </w:tcMar>
                </w:tcPr>
                <w:p w14:paraId="239149E1" w14:textId="77777777" w:rsidR="00EE3428" w:rsidRDefault="00EE3428"/>
              </w:tc>
            </w:tr>
            <w:tr w:rsidR="00EE3428" w14:paraId="2635E779" w14:textId="77777777">
              <w:trPr>
                <w:trHeight w:val="45"/>
              </w:trPr>
              <w:tc>
                <w:tcPr>
                  <w:tcW w:w="400" w:type="dxa"/>
                  <w:tcMar>
                    <w:top w:w="0" w:type="dxa"/>
                    <w:left w:w="0" w:type="dxa"/>
                    <w:bottom w:w="0" w:type="dxa"/>
                    <w:right w:w="0" w:type="dxa"/>
                  </w:tcMar>
                </w:tcPr>
                <w:p w14:paraId="0996D3F2" w14:textId="77777777" w:rsidR="00EE3428" w:rsidRDefault="00EE3428">
                  <w:pPr>
                    <w:rPr>
                      <w:sz w:val="2"/>
                    </w:rPr>
                  </w:pPr>
                </w:p>
              </w:tc>
              <w:tc>
                <w:tcPr>
                  <w:tcW w:w="300" w:type="dxa"/>
                  <w:tcMar>
                    <w:top w:w="0" w:type="dxa"/>
                    <w:left w:w="0" w:type="dxa"/>
                    <w:bottom w:w="0" w:type="dxa"/>
                    <w:right w:w="0" w:type="dxa"/>
                  </w:tcMar>
                </w:tcPr>
                <w:p w14:paraId="7A4D9219" w14:textId="77777777" w:rsidR="00EE3428" w:rsidRDefault="00EE3428">
                  <w:pPr>
                    <w:rPr>
                      <w:sz w:val="2"/>
                    </w:rPr>
                  </w:pPr>
                </w:p>
              </w:tc>
              <w:tc>
                <w:tcPr>
                  <w:tcW w:w="7300" w:type="dxa"/>
                  <w:vMerge/>
                  <w:tcMar>
                    <w:top w:w="0" w:type="dxa"/>
                    <w:left w:w="0" w:type="dxa"/>
                    <w:bottom w:w="0" w:type="dxa"/>
                    <w:right w:w="0" w:type="dxa"/>
                  </w:tcMar>
                </w:tcPr>
                <w:p w14:paraId="0CEAC936" w14:textId="77777777" w:rsidR="00EE3428" w:rsidRDefault="00EE3428"/>
              </w:tc>
            </w:tr>
          </w:tbl>
          <w:p w14:paraId="7CFDD20A" w14:textId="77777777" w:rsidR="00EE3428" w:rsidRDefault="00EE3428">
            <w:pPr>
              <w:rPr>
                <w:sz w:val="2"/>
              </w:rPr>
            </w:pPr>
          </w:p>
        </w:tc>
      </w:tr>
    </w:tbl>
    <w:p w14:paraId="4896CB68" w14:textId="77777777" w:rsidR="00EE3428" w:rsidRDefault="00EE3428">
      <w:pPr>
        <w:sectPr w:rsidR="00EE3428">
          <w:footerReference w:type="default" r:id="rId26"/>
          <w:pgSz w:w="11900" w:h="16840"/>
          <w:pgMar w:top="1140" w:right="1140" w:bottom="1140" w:left="1140" w:header="1140" w:footer="1140" w:gutter="0"/>
          <w:cols w:space="708"/>
        </w:sectPr>
      </w:pPr>
    </w:p>
    <w:p w14:paraId="5C06354A"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37" w:name="ArtL2_RC-2-A7.5"/>
      <w:bookmarkStart w:id="38" w:name="_Toc186199728"/>
      <w:bookmarkEnd w:id="37"/>
      <w:r>
        <w:rPr>
          <w:rFonts w:ascii="Century Gothic" w:eastAsia="Century Gothic" w:hAnsi="Century Gothic" w:cs="Century Gothic"/>
          <w:i w:val="0"/>
          <w:color w:val="000000"/>
          <w:sz w:val="24"/>
          <w:lang w:val="fr-FR"/>
        </w:rPr>
        <w:lastRenderedPageBreak/>
        <w:t>6.2 - Transmission sous support papier</w:t>
      </w:r>
      <w:bookmarkEnd w:id="38"/>
    </w:p>
    <w:p w14:paraId="75372FEC" w14:textId="77777777" w:rsidR="00EE3428" w:rsidRDefault="00035DCC">
      <w:pPr>
        <w:pStyle w:val="ParagrapheIndent2"/>
        <w:spacing w:after="240" w:line="245"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tbl>
      <w:tblPr>
        <w:tblW w:w="0" w:type="auto"/>
        <w:tblLayout w:type="fixed"/>
        <w:tblLook w:val="04A0" w:firstRow="1" w:lastRow="0" w:firstColumn="1" w:lastColumn="0" w:noHBand="0" w:noVBand="1"/>
      </w:tblPr>
      <w:tblGrid>
        <w:gridCol w:w="9620"/>
      </w:tblGrid>
      <w:tr w:rsidR="00EE3428" w14:paraId="7D4D3EE6" w14:textId="77777777">
        <w:tc>
          <w:tcPr>
            <w:tcW w:w="9620" w:type="dxa"/>
            <w:shd w:val="clear" w:color="FD2456" w:fill="FD2456"/>
            <w:tcMar>
              <w:top w:w="30" w:type="dxa"/>
              <w:left w:w="80" w:type="dxa"/>
              <w:bottom w:w="45" w:type="dxa"/>
              <w:right w:w="80" w:type="dxa"/>
            </w:tcMar>
          </w:tcPr>
          <w:p w14:paraId="61365AFB" w14:textId="77777777" w:rsidR="00EE3428" w:rsidRDefault="00035DCC">
            <w:pPr>
              <w:pStyle w:val="Titre1"/>
              <w:rPr>
                <w:rFonts w:ascii="Century Gothic" w:eastAsia="Century Gothic" w:hAnsi="Century Gothic" w:cs="Century Gothic"/>
                <w:color w:val="FFFFFF"/>
                <w:sz w:val="28"/>
                <w:lang w:val="fr-FR"/>
              </w:rPr>
            </w:pPr>
            <w:bookmarkStart w:id="39" w:name="ArtL1_RC-2-A9"/>
            <w:bookmarkStart w:id="40" w:name="_Toc186199729"/>
            <w:bookmarkEnd w:id="39"/>
            <w:r>
              <w:rPr>
                <w:rFonts w:ascii="Century Gothic" w:eastAsia="Century Gothic" w:hAnsi="Century Gothic" w:cs="Century Gothic"/>
                <w:color w:val="FFFFFF"/>
                <w:sz w:val="28"/>
                <w:lang w:val="fr-FR"/>
              </w:rPr>
              <w:t>7 - Examen des candidatures et des offres</w:t>
            </w:r>
            <w:bookmarkEnd w:id="40"/>
          </w:p>
        </w:tc>
      </w:tr>
    </w:tbl>
    <w:p w14:paraId="1772F717" w14:textId="77777777" w:rsidR="00EE3428" w:rsidRDefault="00035DCC">
      <w:pPr>
        <w:spacing w:line="60" w:lineRule="exact"/>
        <w:rPr>
          <w:sz w:val="6"/>
        </w:rPr>
      </w:pPr>
      <w:r>
        <w:t xml:space="preserve"> </w:t>
      </w:r>
    </w:p>
    <w:p w14:paraId="307DF8CF"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41" w:name="ArtL2_RC-2-A9.1"/>
      <w:bookmarkStart w:id="42" w:name="_Toc186199730"/>
      <w:bookmarkEnd w:id="41"/>
      <w:r>
        <w:rPr>
          <w:rFonts w:ascii="Century Gothic" w:eastAsia="Century Gothic" w:hAnsi="Century Gothic" w:cs="Century Gothic"/>
          <w:i w:val="0"/>
          <w:color w:val="000000"/>
          <w:sz w:val="24"/>
          <w:lang w:val="fr-FR"/>
        </w:rPr>
        <w:t>7.1 - Sélection des candidatures</w:t>
      </w:r>
      <w:bookmarkEnd w:id="42"/>
    </w:p>
    <w:p w14:paraId="6BBEF3AA" w14:textId="77777777" w:rsidR="00EE3428" w:rsidRDefault="00035DCC">
      <w:pPr>
        <w:pStyle w:val="ParagrapheIndent2"/>
        <w:spacing w:after="240" w:line="245"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1796B221" w14:textId="77777777" w:rsidR="00EE3428" w:rsidRDefault="00035DCC">
      <w:pPr>
        <w:pStyle w:val="ParagrapheIndent2"/>
        <w:spacing w:after="240" w:line="245"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0B3C48B9"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43" w:name="ArtL2_RC-2-A9.3"/>
      <w:bookmarkStart w:id="44" w:name="_Toc186199731"/>
      <w:bookmarkEnd w:id="43"/>
      <w:r>
        <w:rPr>
          <w:rFonts w:ascii="Century Gothic" w:eastAsia="Century Gothic" w:hAnsi="Century Gothic" w:cs="Century Gothic"/>
          <w:i w:val="0"/>
          <w:color w:val="000000"/>
          <w:sz w:val="24"/>
          <w:lang w:val="fr-FR"/>
        </w:rPr>
        <w:t>7.2 - Attribution des marchés</w:t>
      </w:r>
      <w:bookmarkEnd w:id="44"/>
    </w:p>
    <w:p w14:paraId="22BEA58B" w14:textId="77777777" w:rsidR="00EE3428" w:rsidRDefault="00035DCC">
      <w:pPr>
        <w:pStyle w:val="ParagrapheIndent2"/>
        <w:spacing w:line="245"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06E19227" w14:textId="77777777" w:rsidR="00EE3428" w:rsidRDefault="00EE3428">
      <w:pPr>
        <w:pStyle w:val="ParagrapheIndent2"/>
        <w:spacing w:line="245" w:lineRule="exact"/>
        <w:jc w:val="both"/>
        <w:rPr>
          <w:color w:val="000000"/>
          <w:lang w:val="fr-FR"/>
        </w:rPr>
      </w:pPr>
    </w:p>
    <w:p w14:paraId="16B08EAE" w14:textId="77777777" w:rsidR="00EE3428" w:rsidRDefault="00035DCC">
      <w:pPr>
        <w:pStyle w:val="ParagrapheIndent2"/>
        <w:spacing w:line="245"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0E5E58A5" w14:textId="77777777" w:rsidR="00EE3428" w:rsidRDefault="00EE3428">
      <w:pPr>
        <w:pStyle w:val="ParagrapheIndent2"/>
        <w:spacing w:line="245" w:lineRule="exact"/>
        <w:jc w:val="both"/>
        <w:rPr>
          <w:color w:val="000000"/>
          <w:lang w:val="fr-FR"/>
        </w:rPr>
      </w:pPr>
    </w:p>
    <w:p w14:paraId="547B6498" w14:textId="77777777" w:rsidR="00EE3428" w:rsidRDefault="00035DCC">
      <w:pPr>
        <w:pStyle w:val="ParagrapheIndent2"/>
        <w:spacing w:line="245" w:lineRule="exact"/>
        <w:jc w:val="both"/>
        <w:rPr>
          <w:color w:val="000000"/>
          <w:lang w:val="fr-FR"/>
        </w:rPr>
      </w:pPr>
      <w:r>
        <w:rPr>
          <w:color w:val="000000"/>
          <w:lang w:val="fr-FR"/>
        </w:rPr>
        <w:t>Toute offre demeurant irrégulière pourra être régularisée dans un délai approprié.</w:t>
      </w:r>
    </w:p>
    <w:p w14:paraId="1CCEECF8" w14:textId="77777777" w:rsidR="00EE3428" w:rsidRDefault="00EE3428">
      <w:pPr>
        <w:pStyle w:val="ParagrapheIndent2"/>
        <w:spacing w:line="245" w:lineRule="exact"/>
        <w:jc w:val="both"/>
        <w:rPr>
          <w:color w:val="000000"/>
          <w:lang w:val="fr-FR"/>
        </w:rPr>
      </w:pPr>
    </w:p>
    <w:p w14:paraId="4965A017" w14:textId="77777777" w:rsidR="00EE3428" w:rsidRDefault="00035DCC">
      <w:pPr>
        <w:pStyle w:val="ParagrapheIndent2"/>
        <w:spacing w:after="240" w:line="245" w:lineRule="exact"/>
        <w:jc w:val="both"/>
        <w:rPr>
          <w:color w:val="000000"/>
          <w:lang w:val="fr-FR"/>
        </w:rPr>
      </w:pPr>
      <w:r>
        <w:rPr>
          <w:color w:val="000000"/>
          <w:lang w:val="fr-FR"/>
        </w:rPr>
        <w:t>La régularisation d'une offre pourra avoir lieu à condition qu'elle ne soit pas anormalement basse.</w:t>
      </w:r>
    </w:p>
    <w:p w14:paraId="5ABB5C75" w14:textId="77777777" w:rsidR="00EE3428" w:rsidRDefault="00035DCC">
      <w:pPr>
        <w:pStyle w:val="ParagrapheIndent2"/>
        <w:spacing w:line="245" w:lineRule="exact"/>
        <w:jc w:val="both"/>
        <w:rPr>
          <w:color w:val="000000"/>
          <w:lang w:val="fr-FR"/>
        </w:rPr>
      </w:pPr>
      <w:r>
        <w:rPr>
          <w:color w:val="000000"/>
          <w:lang w:val="fr-FR"/>
        </w:rPr>
        <w:t xml:space="preserve">Le jugement des offres sera effectué dans le respect des principes fondamentaux </w:t>
      </w:r>
      <w:proofErr w:type="spellStart"/>
      <w:r>
        <w:rPr>
          <w:color w:val="000000"/>
          <w:lang w:val="fr-FR"/>
        </w:rPr>
        <w:t>dela</w:t>
      </w:r>
      <w:proofErr w:type="spellEnd"/>
      <w:r>
        <w:rPr>
          <w:color w:val="000000"/>
          <w:lang w:val="fr-FR"/>
        </w:rPr>
        <w:t xml:space="preserve"> commande publique selon les critères indiqués ci-dessous et pondérés de la manière suivante :</w:t>
      </w:r>
    </w:p>
    <w:p w14:paraId="60D6E6FE" w14:textId="77777777" w:rsidR="00EE3428" w:rsidRDefault="00EE3428">
      <w:pPr>
        <w:pStyle w:val="ParagrapheIndent2"/>
        <w:spacing w:line="245"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EE3428" w14:paraId="7B2F1607" w14:textId="77777777">
        <w:trPr>
          <w:trHeight w:val="325"/>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F688D18" w14:textId="77777777" w:rsidR="00EE3428" w:rsidRDefault="00035DCC">
            <w:pPr>
              <w:spacing w:before="40" w:after="2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8F99DFF" w14:textId="77777777" w:rsidR="00EE3428" w:rsidRDefault="00035DCC">
            <w:pPr>
              <w:spacing w:before="40" w:after="20"/>
              <w:jc w:val="center"/>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Pondération</w:t>
            </w:r>
          </w:p>
        </w:tc>
      </w:tr>
      <w:tr w:rsidR="00EE3428" w14:paraId="29D7A1A8" w14:textId="77777777">
        <w:trPr>
          <w:trHeight w:val="385"/>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6CF4F1" w14:textId="77777777" w:rsidR="00EE3428" w:rsidRDefault="00035DCC">
            <w:pPr>
              <w:spacing w:before="80" w:after="20"/>
              <w:ind w:left="80" w:right="8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1-Valeur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FD98B1" w14:textId="77777777" w:rsidR="00EE3428" w:rsidRDefault="00035DCC">
            <w:pPr>
              <w:spacing w:before="80" w:after="20"/>
              <w:ind w:left="80" w:right="8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60.0 %</w:t>
            </w:r>
          </w:p>
        </w:tc>
      </w:tr>
      <w:tr w:rsidR="00EE3428" w14:paraId="4EC71E0E" w14:textId="77777777">
        <w:trPr>
          <w:trHeight w:val="385"/>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617E53" w14:textId="77777777" w:rsidR="00EE3428" w:rsidRDefault="00035DCC">
            <w:pPr>
              <w:spacing w:before="80" w:after="20"/>
              <w:ind w:left="80" w:right="8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2-Prix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381D41" w14:textId="77777777" w:rsidR="00EE3428" w:rsidRDefault="00035DCC">
            <w:pPr>
              <w:spacing w:before="80" w:after="20"/>
              <w:ind w:left="80" w:right="80"/>
              <w:rPr>
                <w:rFonts w:ascii="Century Gothic" w:eastAsia="Century Gothic" w:hAnsi="Century Gothic" w:cs="Century Gothic"/>
                <w:color w:val="000000"/>
                <w:sz w:val="20"/>
                <w:lang w:val="fr-FR"/>
              </w:rPr>
            </w:pPr>
            <w:r>
              <w:rPr>
                <w:rFonts w:ascii="Century Gothic" w:eastAsia="Century Gothic" w:hAnsi="Century Gothic" w:cs="Century Gothic"/>
                <w:color w:val="000000"/>
                <w:sz w:val="20"/>
                <w:lang w:val="fr-FR"/>
              </w:rPr>
              <w:t>40.0 %</w:t>
            </w:r>
          </w:p>
        </w:tc>
      </w:tr>
    </w:tbl>
    <w:p w14:paraId="47D8D7F3" w14:textId="77777777" w:rsidR="00EE3428" w:rsidRDefault="00035DCC">
      <w:pPr>
        <w:spacing w:after="120" w:line="240" w:lineRule="exact"/>
      </w:pPr>
      <w:r>
        <w:t xml:space="preserve"> </w:t>
      </w:r>
    </w:p>
    <w:p w14:paraId="64E16F73" w14:textId="77777777" w:rsidR="00EE3428" w:rsidRDefault="00035DCC">
      <w:pPr>
        <w:pStyle w:val="ParagrapheIndent2"/>
        <w:spacing w:line="245" w:lineRule="exact"/>
        <w:jc w:val="both"/>
        <w:rPr>
          <w:color w:val="000000"/>
          <w:lang w:val="fr-FR"/>
        </w:rPr>
      </w:pPr>
      <w:r>
        <w:rPr>
          <w:color w:val="000000"/>
          <w:lang w:val="fr-FR"/>
        </w:rPr>
        <w:t>Chaque candidat se verra attribuer une note globale sur /20.</w:t>
      </w:r>
    </w:p>
    <w:p w14:paraId="377D7761" w14:textId="77777777" w:rsidR="00EE3428" w:rsidRDefault="00035DCC">
      <w:pPr>
        <w:pStyle w:val="ParagrapheIndent2"/>
        <w:spacing w:after="240" w:line="245" w:lineRule="exact"/>
        <w:jc w:val="both"/>
        <w:rPr>
          <w:color w:val="000000"/>
          <w:lang w:val="fr-FR"/>
        </w:rPr>
      </w:pPr>
      <w:r>
        <w:rPr>
          <w:color w:val="000000"/>
          <w:lang w:val="fr-FR"/>
        </w:rPr>
        <w:t>Les critères sont notés sur 20.</w:t>
      </w:r>
    </w:p>
    <w:p w14:paraId="63598D97" w14:textId="77777777" w:rsidR="00EE3428" w:rsidRDefault="00035DCC">
      <w:pPr>
        <w:pStyle w:val="ParagrapheIndent2"/>
        <w:spacing w:line="245" w:lineRule="exact"/>
        <w:jc w:val="both"/>
        <w:rPr>
          <w:color w:val="000000"/>
          <w:lang w:val="fr-FR"/>
        </w:rPr>
      </w:pPr>
      <w:r>
        <w:rPr>
          <w:color w:val="000000"/>
          <w:lang w:val="fr-FR"/>
        </w:rPr>
        <w:t>La méthode de calcul utilisée pour la notation du critère Prix des prestations est la suivante :</w:t>
      </w:r>
    </w:p>
    <w:p w14:paraId="7D99D363" w14:textId="77777777" w:rsidR="00EE3428" w:rsidRDefault="00035DCC">
      <w:pPr>
        <w:pStyle w:val="ParagrapheIndent2"/>
        <w:spacing w:line="245" w:lineRule="exact"/>
        <w:jc w:val="both"/>
        <w:rPr>
          <w:color w:val="000000"/>
          <w:lang w:val="fr-FR"/>
        </w:rPr>
      </w:pPr>
      <w:r>
        <w:rPr>
          <w:color w:val="000000"/>
          <w:lang w:val="fr-FR"/>
        </w:rPr>
        <w:t>Note de l'offre = (Montant de l'offre moins-</w:t>
      </w:r>
      <w:proofErr w:type="spellStart"/>
      <w:r>
        <w:rPr>
          <w:color w:val="000000"/>
          <w:lang w:val="fr-FR"/>
        </w:rPr>
        <w:t>disante</w:t>
      </w:r>
      <w:proofErr w:type="spellEnd"/>
      <w:r>
        <w:rPr>
          <w:color w:val="000000"/>
          <w:lang w:val="fr-FR"/>
        </w:rPr>
        <w:t xml:space="preserve"> / Montant de l'offre à noter) * Base de notation</w:t>
      </w:r>
    </w:p>
    <w:p w14:paraId="114F6EA2" w14:textId="77777777" w:rsidR="00EE3428" w:rsidRDefault="00EE3428">
      <w:pPr>
        <w:pStyle w:val="ParagrapheIndent2"/>
        <w:spacing w:line="245" w:lineRule="exact"/>
        <w:jc w:val="both"/>
        <w:rPr>
          <w:color w:val="000000"/>
          <w:lang w:val="fr-FR"/>
        </w:rPr>
      </w:pPr>
    </w:p>
    <w:p w14:paraId="2F540575" w14:textId="77777777" w:rsidR="00EE3428" w:rsidRDefault="00035DCC">
      <w:pPr>
        <w:pStyle w:val="ParagrapheIndent2"/>
        <w:spacing w:line="245" w:lineRule="exact"/>
        <w:jc w:val="both"/>
        <w:rPr>
          <w:color w:val="000000"/>
          <w:lang w:val="fr-FR"/>
        </w:rPr>
      </w:pPr>
      <w:r>
        <w:rPr>
          <w:color w:val="000000"/>
          <w:lang w:val="fr-FR"/>
        </w:rPr>
        <w:t>Montant de l'offre moins-</w:t>
      </w:r>
      <w:proofErr w:type="spellStart"/>
      <w:r>
        <w:rPr>
          <w:color w:val="000000"/>
          <w:lang w:val="fr-FR"/>
        </w:rPr>
        <w:t>disante</w:t>
      </w:r>
      <w:proofErr w:type="spellEnd"/>
      <w:r>
        <w:rPr>
          <w:color w:val="000000"/>
          <w:lang w:val="fr-FR"/>
        </w:rPr>
        <w:t xml:space="preserve"> = correspond au prix de l'offre la moins chère (offres anormalement basses exclues).</w:t>
      </w:r>
    </w:p>
    <w:p w14:paraId="456233B8" w14:textId="77777777" w:rsidR="00EE3428" w:rsidRDefault="00035DCC">
      <w:pPr>
        <w:pStyle w:val="ParagrapheIndent2"/>
        <w:spacing w:line="245" w:lineRule="exact"/>
        <w:jc w:val="both"/>
        <w:rPr>
          <w:color w:val="000000"/>
          <w:lang w:val="fr-FR"/>
        </w:rPr>
      </w:pPr>
      <w:r>
        <w:rPr>
          <w:color w:val="000000"/>
          <w:lang w:val="fr-FR"/>
        </w:rPr>
        <w:t>Montant de l'offre à noter = correspond au prix de l'offre à évaluer.</w:t>
      </w:r>
    </w:p>
    <w:p w14:paraId="6366E7FE" w14:textId="77777777" w:rsidR="00EE3428" w:rsidRDefault="00035DCC">
      <w:pPr>
        <w:pStyle w:val="ParagrapheIndent2"/>
        <w:spacing w:after="240" w:line="245" w:lineRule="exact"/>
        <w:jc w:val="both"/>
        <w:rPr>
          <w:color w:val="000000"/>
          <w:lang w:val="fr-FR"/>
        </w:rPr>
      </w:pPr>
      <w:r>
        <w:rPr>
          <w:color w:val="000000"/>
          <w:lang w:val="fr-FR"/>
        </w:rPr>
        <w:t>Base de notation = correspond à la note maximale pouvant être obtenue.</w:t>
      </w:r>
    </w:p>
    <w:p w14:paraId="7DDEE66B" w14:textId="44D9AF69" w:rsidR="00EE3428" w:rsidRDefault="00035DCC">
      <w:pPr>
        <w:pStyle w:val="ParagrapheIndent2"/>
        <w:spacing w:line="245" w:lineRule="exact"/>
        <w:jc w:val="both"/>
        <w:rPr>
          <w:color w:val="000000"/>
          <w:lang w:val="fr-FR"/>
        </w:rPr>
      </w:pPr>
      <w:r>
        <w:rPr>
          <w:color w:val="000000"/>
          <w:lang w:val="fr-FR"/>
        </w:rPr>
        <w:t>Le critère</w:t>
      </w:r>
      <w:proofErr w:type="gramStart"/>
      <w:r>
        <w:rPr>
          <w:color w:val="000000"/>
          <w:lang w:val="fr-FR"/>
        </w:rPr>
        <w:t xml:space="preserve"> «valeur</w:t>
      </w:r>
      <w:proofErr w:type="gramEnd"/>
      <w:r>
        <w:rPr>
          <w:color w:val="000000"/>
          <w:lang w:val="fr-FR"/>
        </w:rPr>
        <w:t xml:space="preserve"> technique», noté sur </w:t>
      </w:r>
      <w:r w:rsidR="00C67E07" w:rsidRPr="001565CC">
        <w:rPr>
          <w:color w:val="000000"/>
          <w:lang w:val="fr-FR"/>
        </w:rPr>
        <w:t>100 points</w:t>
      </w:r>
      <w:r w:rsidRPr="001565CC">
        <w:rPr>
          <w:color w:val="000000"/>
          <w:lang w:val="fr-FR"/>
        </w:rPr>
        <w:t>, s</w:t>
      </w:r>
      <w:r>
        <w:rPr>
          <w:color w:val="000000"/>
          <w:lang w:val="fr-FR"/>
        </w:rPr>
        <w:t>era apprécié au regard des informations transmises par les candidats dans le cadre du mémoire technique sur les sous critères suivants:</w:t>
      </w:r>
    </w:p>
    <w:p w14:paraId="6C646BD2" w14:textId="77777777" w:rsidR="00EE3428" w:rsidRDefault="00EE3428">
      <w:pPr>
        <w:pStyle w:val="ParagrapheIndent2"/>
        <w:spacing w:line="245" w:lineRule="exact"/>
        <w:jc w:val="both"/>
        <w:rPr>
          <w:color w:val="000000"/>
          <w:lang w:val="fr-FR"/>
        </w:rPr>
      </w:pPr>
    </w:p>
    <w:p w14:paraId="231A1AB3" w14:textId="77777777" w:rsidR="00185C95" w:rsidRDefault="00185C95" w:rsidP="00185C95">
      <w:pPr>
        <w:rPr>
          <w:lang w:val="fr-FR"/>
        </w:rPr>
      </w:pPr>
    </w:p>
    <w:p w14:paraId="10F65FB4" w14:textId="77777777" w:rsidR="00185C95" w:rsidRDefault="00185C95" w:rsidP="00185C95">
      <w:pPr>
        <w:rPr>
          <w:lang w:val="fr-FR"/>
        </w:rPr>
      </w:pPr>
    </w:p>
    <w:tbl>
      <w:tblPr>
        <w:tblStyle w:val="Grilledutableau"/>
        <w:tblW w:w="9918" w:type="dxa"/>
        <w:tblLook w:val="04A0" w:firstRow="1" w:lastRow="0" w:firstColumn="1" w:lastColumn="0" w:noHBand="0" w:noVBand="1"/>
      </w:tblPr>
      <w:tblGrid>
        <w:gridCol w:w="4531"/>
        <w:gridCol w:w="5387"/>
      </w:tblGrid>
      <w:tr w:rsidR="001565CC" w14:paraId="6BCA1829" w14:textId="77777777" w:rsidTr="001565CC">
        <w:tc>
          <w:tcPr>
            <w:tcW w:w="4531" w:type="dxa"/>
          </w:tcPr>
          <w:p w14:paraId="2EB13388" w14:textId="77777777" w:rsidR="001565CC" w:rsidRPr="001565CC" w:rsidRDefault="001565CC" w:rsidP="001565CC">
            <w:pPr>
              <w:pStyle w:val="Paragraphedeliste"/>
              <w:numPr>
                <w:ilvl w:val="1"/>
                <w:numId w:val="2"/>
              </w:numPr>
              <w:rPr>
                <w:sz w:val="18"/>
                <w:szCs w:val="18"/>
              </w:rPr>
            </w:pPr>
            <w:r w:rsidRPr="001565CC">
              <w:rPr>
                <w:sz w:val="18"/>
                <w:szCs w:val="18"/>
                <w:u w:val="single"/>
              </w:rPr>
              <w:t>Composition et organisation de l’équipe de travail intervenant sur le projet apprécié à partir notamment des éléments ci-après</w:t>
            </w:r>
            <w:r w:rsidRPr="001565CC">
              <w:rPr>
                <w:sz w:val="18"/>
                <w:szCs w:val="18"/>
              </w:rPr>
              <w:t> :</w:t>
            </w:r>
          </w:p>
          <w:p w14:paraId="5F12C52A" w14:textId="77777777" w:rsidR="001565CC" w:rsidRPr="001565CC" w:rsidRDefault="001565CC" w:rsidP="001565CC">
            <w:pPr>
              <w:pStyle w:val="Paragraphedeliste"/>
              <w:numPr>
                <w:ilvl w:val="0"/>
                <w:numId w:val="3"/>
              </w:numPr>
              <w:rPr>
                <w:sz w:val="18"/>
                <w:szCs w:val="18"/>
              </w:rPr>
            </w:pPr>
            <w:r w:rsidRPr="001565CC">
              <w:rPr>
                <w:sz w:val="18"/>
                <w:szCs w:val="18"/>
              </w:rPr>
              <w:t>Qualification et expérience des personnes pressenties pour suivre ce dossier</w:t>
            </w:r>
          </w:p>
          <w:p w14:paraId="6E22D783" w14:textId="77777777" w:rsidR="001565CC" w:rsidRPr="001565CC" w:rsidRDefault="001565CC" w:rsidP="001565CC">
            <w:pPr>
              <w:pStyle w:val="Paragraphedeliste"/>
              <w:numPr>
                <w:ilvl w:val="0"/>
                <w:numId w:val="3"/>
              </w:numPr>
              <w:rPr>
                <w:sz w:val="18"/>
                <w:szCs w:val="18"/>
              </w:rPr>
            </w:pPr>
            <w:r w:rsidRPr="001565CC">
              <w:rPr>
                <w:sz w:val="18"/>
                <w:szCs w:val="18"/>
              </w:rPr>
              <w:t>Organisation interne et pilote désigné.</w:t>
            </w:r>
          </w:p>
          <w:p w14:paraId="49B2B513" w14:textId="77777777" w:rsidR="001565CC" w:rsidRPr="001565CC" w:rsidRDefault="001565CC" w:rsidP="001565CC">
            <w:pPr>
              <w:pStyle w:val="Paragraphedeliste"/>
              <w:numPr>
                <w:ilvl w:val="0"/>
                <w:numId w:val="3"/>
              </w:numPr>
              <w:rPr>
                <w:sz w:val="18"/>
                <w:szCs w:val="18"/>
              </w:rPr>
            </w:pPr>
            <w:r w:rsidRPr="001565CC">
              <w:rPr>
                <w:sz w:val="18"/>
                <w:szCs w:val="18"/>
              </w:rPr>
              <w:t>Organisation sur plusieurs agences</w:t>
            </w:r>
          </w:p>
          <w:p w14:paraId="67D976BD" w14:textId="77777777" w:rsidR="001565CC" w:rsidRPr="001565CC" w:rsidRDefault="001565CC" w:rsidP="001565CC">
            <w:pPr>
              <w:pStyle w:val="Paragraphedeliste"/>
              <w:numPr>
                <w:ilvl w:val="0"/>
                <w:numId w:val="3"/>
              </w:numPr>
              <w:rPr>
                <w:sz w:val="18"/>
                <w:szCs w:val="18"/>
              </w:rPr>
            </w:pPr>
            <w:r w:rsidRPr="001565CC">
              <w:rPr>
                <w:sz w:val="18"/>
                <w:szCs w:val="18"/>
              </w:rPr>
              <w:t>Expériences sur projet similaires menée par l’agence locale ou pas</w:t>
            </w:r>
          </w:p>
          <w:p w14:paraId="1CAD0C86" w14:textId="77777777" w:rsidR="001565CC" w:rsidRPr="001565CC" w:rsidRDefault="001565CC" w:rsidP="001565CC">
            <w:pPr>
              <w:pStyle w:val="Paragraphedeliste"/>
              <w:numPr>
                <w:ilvl w:val="0"/>
                <w:numId w:val="3"/>
              </w:numPr>
              <w:rPr>
                <w:sz w:val="18"/>
                <w:szCs w:val="18"/>
              </w:rPr>
            </w:pPr>
            <w:r w:rsidRPr="001565CC">
              <w:rPr>
                <w:sz w:val="18"/>
                <w:szCs w:val="18"/>
              </w:rPr>
              <w:t>Autres éléments à apporter par la société</w:t>
            </w:r>
          </w:p>
          <w:p w14:paraId="35C63EAE" w14:textId="77777777" w:rsidR="001565CC" w:rsidRPr="001565CC" w:rsidRDefault="001565CC" w:rsidP="00F23153">
            <w:pPr>
              <w:rPr>
                <w:sz w:val="18"/>
                <w:szCs w:val="18"/>
              </w:rPr>
            </w:pPr>
          </w:p>
        </w:tc>
        <w:tc>
          <w:tcPr>
            <w:tcW w:w="5387" w:type="dxa"/>
          </w:tcPr>
          <w:p w14:paraId="115F766D" w14:textId="77777777" w:rsidR="001565CC" w:rsidRPr="001565CC" w:rsidRDefault="001565CC" w:rsidP="00F23153">
            <w:pPr>
              <w:rPr>
                <w:sz w:val="18"/>
                <w:szCs w:val="18"/>
              </w:rPr>
            </w:pPr>
            <w:r w:rsidRPr="001565CC">
              <w:rPr>
                <w:sz w:val="18"/>
                <w:szCs w:val="18"/>
              </w:rPr>
              <w:t>30 points</w:t>
            </w:r>
          </w:p>
          <w:p w14:paraId="164EE594" w14:textId="77777777" w:rsidR="001565CC" w:rsidRPr="001565CC" w:rsidRDefault="001565CC" w:rsidP="00F23153">
            <w:pPr>
              <w:rPr>
                <w:sz w:val="18"/>
                <w:szCs w:val="18"/>
              </w:rPr>
            </w:pPr>
          </w:p>
        </w:tc>
      </w:tr>
      <w:tr w:rsidR="001565CC" w14:paraId="3879DF0C" w14:textId="77777777" w:rsidTr="001565CC">
        <w:tc>
          <w:tcPr>
            <w:tcW w:w="4531" w:type="dxa"/>
          </w:tcPr>
          <w:p w14:paraId="430DBBFB" w14:textId="77777777" w:rsidR="001565CC" w:rsidRPr="001565CC" w:rsidRDefault="001565CC" w:rsidP="00F23153">
            <w:pPr>
              <w:rPr>
                <w:sz w:val="18"/>
                <w:szCs w:val="18"/>
              </w:rPr>
            </w:pPr>
            <w:r w:rsidRPr="001565CC">
              <w:rPr>
                <w:sz w:val="18"/>
                <w:szCs w:val="18"/>
              </w:rPr>
              <w:t xml:space="preserve">1.2- </w:t>
            </w:r>
            <w:r w:rsidRPr="001565CC">
              <w:rPr>
                <w:sz w:val="18"/>
                <w:szCs w:val="18"/>
                <w:u w:val="single"/>
              </w:rPr>
              <w:t>Pertinence de la méthode de travail proposée appréciée à partir notamment des éléments ci -après</w:t>
            </w:r>
            <w:r w:rsidRPr="001565CC">
              <w:rPr>
                <w:sz w:val="18"/>
                <w:szCs w:val="18"/>
              </w:rPr>
              <w:t> :</w:t>
            </w:r>
          </w:p>
          <w:p w14:paraId="00F152FF" w14:textId="77777777" w:rsidR="001565CC" w:rsidRPr="001565CC" w:rsidRDefault="001565CC" w:rsidP="00F23153">
            <w:pPr>
              <w:rPr>
                <w:sz w:val="18"/>
                <w:szCs w:val="18"/>
              </w:rPr>
            </w:pPr>
            <w:r w:rsidRPr="001565CC">
              <w:rPr>
                <w:sz w:val="18"/>
                <w:szCs w:val="18"/>
              </w:rPr>
              <w:t xml:space="preserve">- Présentation de la méthode de travail de l’entreprise, </w:t>
            </w:r>
          </w:p>
          <w:p w14:paraId="4509A6B3" w14:textId="77777777" w:rsidR="001565CC" w:rsidRPr="001565CC" w:rsidRDefault="001565CC" w:rsidP="00F23153">
            <w:pPr>
              <w:rPr>
                <w:sz w:val="18"/>
                <w:szCs w:val="18"/>
              </w:rPr>
            </w:pPr>
            <w:r w:rsidRPr="001565CC">
              <w:rPr>
                <w:sz w:val="18"/>
                <w:szCs w:val="18"/>
              </w:rPr>
              <w:t>Quantification à titre indicatif du nombre de réunions prévues avec groupe de travail, maitre d’ouvrage, maitrise d’œuvre, chantier …, du temps passé que ce soit agence ou à l’EPSM aux différentes phases de l’opération.</w:t>
            </w:r>
          </w:p>
          <w:p w14:paraId="1E4D055C" w14:textId="77777777" w:rsidR="001565CC" w:rsidRPr="001565CC" w:rsidRDefault="001565CC" w:rsidP="00F23153">
            <w:pPr>
              <w:rPr>
                <w:sz w:val="18"/>
                <w:szCs w:val="18"/>
              </w:rPr>
            </w:pPr>
            <w:r w:rsidRPr="001565CC">
              <w:rPr>
                <w:sz w:val="18"/>
                <w:szCs w:val="18"/>
              </w:rPr>
              <w:t>Méthode de travail élaboration du pré programme, et programme.</w:t>
            </w:r>
          </w:p>
          <w:p w14:paraId="0BD361AF" w14:textId="77777777" w:rsidR="001565CC" w:rsidRPr="001565CC" w:rsidRDefault="001565CC" w:rsidP="00F23153">
            <w:pPr>
              <w:rPr>
                <w:sz w:val="18"/>
                <w:szCs w:val="18"/>
              </w:rPr>
            </w:pPr>
            <w:r w:rsidRPr="001565CC">
              <w:rPr>
                <w:sz w:val="18"/>
                <w:szCs w:val="18"/>
              </w:rPr>
              <w:t>Méthode pour analyse études MOE présentation des au groupe de travail et MOA aux différentes phases des études.</w:t>
            </w:r>
          </w:p>
          <w:p w14:paraId="47572016" w14:textId="77777777" w:rsidR="001565CC" w:rsidRPr="001565CC" w:rsidRDefault="001565CC" w:rsidP="00F23153">
            <w:pPr>
              <w:rPr>
                <w:sz w:val="18"/>
                <w:szCs w:val="18"/>
              </w:rPr>
            </w:pPr>
            <w:r w:rsidRPr="001565CC">
              <w:rPr>
                <w:sz w:val="18"/>
                <w:szCs w:val="18"/>
              </w:rPr>
              <w:t>Méthode pour suivre le bon avancement des travaux ; suivi financier, avenants ; suivi validations plans exe, suivi levées des réserves, divers, …</w:t>
            </w:r>
          </w:p>
          <w:p w14:paraId="7476B798" w14:textId="77777777" w:rsidR="001565CC" w:rsidRPr="001565CC" w:rsidRDefault="001565CC" w:rsidP="00F23153">
            <w:pPr>
              <w:rPr>
                <w:sz w:val="18"/>
                <w:szCs w:val="18"/>
              </w:rPr>
            </w:pPr>
            <w:r w:rsidRPr="001565CC">
              <w:rPr>
                <w:sz w:val="18"/>
                <w:szCs w:val="18"/>
              </w:rPr>
              <w:t>Autres éléments que peut apporter la société</w:t>
            </w:r>
          </w:p>
          <w:p w14:paraId="096E26A0" w14:textId="77777777" w:rsidR="001565CC" w:rsidRPr="001565CC" w:rsidRDefault="001565CC" w:rsidP="00F23153">
            <w:pPr>
              <w:rPr>
                <w:sz w:val="18"/>
                <w:szCs w:val="18"/>
              </w:rPr>
            </w:pPr>
          </w:p>
          <w:p w14:paraId="61CC8AE2" w14:textId="77777777" w:rsidR="001565CC" w:rsidRPr="001565CC" w:rsidRDefault="001565CC" w:rsidP="00F23153">
            <w:pPr>
              <w:rPr>
                <w:sz w:val="18"/>
                <w:szCs w:val="18"/>
              </w:rPr>
            </w:pPr>
          </w:p>
        </w:tc>
        <w:tc>
          <w:tcPr>
            <w:tcW w:w="5387" w:type="dxa"/>
          </w:tcPr>
          <w:p w14:paraId="7EF8FA3B" w14:textId="0F4E47CD" w:rsidR="001565CC" w:rsidRPr="001565CC" w:rsidRDefault="003E1CD2" w:rsidP="00F23153">
            <w:pPr>
              <w:rPr>
                <w:sz w:val="18"/>
                <w:szCs w:val="18"/>
              </w:rPr>
            </w:pPr>
            <w:r>
              <w:rPr>
                <w:sz w:val="18"/>
                <w:szCs w:val="18"/>
              </w:rPr>
              <w:t>50</w:t>
            </w:r>
            <w:r w:rsidR="001565CC" w:rsidRPr="001565CC">
              <w:rPr>
                <w:sz w:val="18"/>
                <w:szCs w:val="18"/>
              </w:rPr>
              <w:t xml:space="preserve"> points</w:t>
            </w:r>
          </w:p>
          <w:p w14:paraId="30A4AC7C" w14:textId="77777777" w:rsidR="001565CC" w:rsidRPr="001565CC" w:rsidRDefault="001565CC" w:rsidP="00F23153">
            <w:pPr>
              <w:rPr>
                <w:sz w:val="18"/>
                <w:szCs w:val="18"/>
              </w:rPr>
            </w:pPr>
          </w:p>
        </w:tc>
      </w:tr>
      <w:tr w:rsidR="001565CC" w14:paraId="48E5D1F0" w14:textId="77777777" w:rsidTr="001565CC">
        <w:tc>
          <w:tcPr>
            <w:tcW w:w="4531" w:type="dxa"/>
          </w:tcPr>
          <w:p w14:paraId="366EAC92" w14:textId="77777777" w:rsidR="001565CC" w:rsidRPr="001565CC" w:rsidRDefault="001565CC" w:rsidP="001565CC">
            <w:pPr>
              <w:pStyle w:val="Paragraphedeliste"/>
              <w:numPr>
                <w:ilvl w:val="1"/>
                <w:numId w:val="2"/>
              </w:numPr>
              <w:rPr>
                <w:sz w:val="18"/>
                <w:szCs w:val="18"/>
              </w:rPr>
            </w:pPr>
            <w:r w:rsidRPr="001565CC">
              <w:rPr>
                <w:sz w:val="18"/>
                <w:szCs w:val="18"/>
              </w:rPr>
              <w:t>Présentation d’un calendrier prévisionnel programmation, études, permis et travaux, phases de validations,</w:t>
            </w:r>
          </w:p>
          <w:p w14:paraId="4EDF3561" w14:textId="77777777" w:rsidR="001565CC" w:rsidRPr="001565CC" w:rsidRDefault="001565CC" w:rsidP="00F23153">
            <w:pPr>
              <w:pStyle w:val="Paragraphedeliste"/>
              <w:ind w:left="390"/>
              <w:rPr>
                <w:sz w:val="18"/>
                <w:szCs w:val="18"/>
              </w:rPr>
            </w:pPr>
            <w:r w:rsidRPr="001565CC">
              <w:rPr>
                <w:sz w:val="18"/>
                <w:szCs w:val="18"/>
              </w:rPr>
              <w:t>Pertinence du calendrier</w:t>
            </w:r>
          </w:p>
        </w:tc>
        <w:tc>
          <w:tcPr>
            <w:tcW w:w="5387" w:type="dxa"/>
          </w:tcPr>
          <w:p w14:paraId="640FA9FF" w14:textId="77777777" w:rsidR="001565CC" w:rsidRPr="001565CC" w:rsidRDefault="001565CC" w:rsidP="00F23153">
            <w:pPr>
              <w:rPr>
                <w:sz w:val="18"/>
                <w:szCs w:val="18"/>
              </w:rPr>
            </w:pPr>
            <w:r w:rsidRPr="001565CC">
              <w:rPr>
                <w:sz w:val="18"/>
                <w:szCs w:val="18"/>
              </w:rPr>
              <w:t>10 points</w:t>
            </w:r>
          </w:p>
          <w:p w14:paraId="47F97AB8" w14:textId="77777777" w:rsidR="001565CC" w:rsidRPr="001565CC" w:rsidRDefault="001565CC" w:rsidP="00F23153">
            <w:pPr>
              <w:rPr>
                <w:sz w:val="18"/>
                <w:szCs w:val="18"/>
              </w:rPr>
            </w:pPr>
          </w:p>
        </w:tc>
      </w:tr>
      <w:tr w:rsidR="001565CC" w14:paraId="09F0BF09" w14:textId="77777777" w:rsidTr="001565CC">
        <w:tc>
          <w:tcPr>
            <w:tcW w:w="4531" w:type="dxa"/>
          </w:tcPr>
          <w:p w14:paraId="33B3D003" w14:textId="77777777" w:rsidR="001565CC" w:rsidRPr="001565CC" w:rsidRDefault="001565CC" w:rsidP="00F23153">
            <w:pPr>
              <w:rPr>
                <w:sz w:val="18"/>
                <w:szCs w:val="18"/>
              </w:rPr>
            </w:pPr>
            <w:r w:rsidRPr="001565CC">
              <w:rPr>
                <w:sz w:val="18"/>
                <w:szCs w:val="18"/>
              </w:rPr>
              <w:t>1.4- moyens matériels consacré à l’exercice de la mission :</w:t>
            </w:r>
          </w:p>
          <w:p w14:paraId="143FC52E" w14:textId="77777777" w:rsidR="001565CC" w:rsidRPr="001565CC" w:rsidRDefault="001565CC" w:rsidP="00F23153">
            <w:pPr>
              <w:rPr>
                <w:sz w:val="18"/>
                <w:szCs w:val="18"/>
              </w:rPr>
            </w:pPr>
            <w:r w:rsidRPr="001565CC">
              <w:rPr>
                <w:sz w:val="18"/>
                <w:szCs w:val="18"/>
              </w:rPr>
              <w:t>Equipements dont disposent la société pour réaliser sa mission (logiciels présentation documents, Logiciel rédaction pièces marché, suivi opération ; partage de données, moyens d’impression, …)</w:t>
            </w:r>
          </w:p>
          <w:p w14:paraId="6D7C3120" w14:textId="77777777" w:rsidR="001565CC" w:rsidRPr="001565CC" w:rsidRDefault="001565CC" w:rsidP="00F23153">
            <w:pPr>
              <w:rPr>
                <w:sz w:val="18"/>
                <w:szCs w:val="18"/>
              </w:rPr>
            </w:pPr>
          </w:p>
        </w:tc>
        <w:tc>
          <w:tcPr>
            <w:tcW w:w="5387" w:type="dxa"/>
          </w:tcPr>
          <w:p w14:paraId="50759A66" w14:textId="66258037" w:rsidR="001565CC" w:rsidRPr="001565CC" w:rsidRDefault="003E1CD2" w:rsidP="00F23153">
            <w:pPr>
              <w:rPr>
                <w:sz w:val="18"/>
                <w:szCs w:val="18"/>
              </w:rPr>
            </w:pPr>
            <w:r>
              <w:rPr>
                <w:sz w:val="18"/>
                <w:szCs w:val="18"/>
              </w:rPr>
              <w:t>10</w:t>
            </w:r>
            <w:r w:rsidR="001565CC" w:rsidRPr="001565CC">
              <w:rPr>
                <w:sz w:val="18"/>
                <w:szCs w:val="18"/>
              </w:rPr>
              <w:t xml:space="preserve"> points</w:t>
            </w:r>
          </w:p>
          <w:p w14:paraId="4AB12BF9" w14:textId="77777777" w:rsidR="001565CC" w:rsidRPr="001565CC" w:rsidRDefault="001565CC" w:rsidP="00F23153">
            <w:pPr>
              <w:rPr>
                <w:sz w:val="18"/>
                <w:szCs w:val="18"/>
              </w:rPr>
            </w:pPr>
          </w:p>
        </w:tc>
      </w:tr>
    </w:tbl>
    <w:p w14:paraId="751A13D9" w14:textId="0DD50E0B" w:rsidR="00EE3428" w:rsidRDefault="00EE3428">
      <w:pPr>
        <w:pStyle w:val="ParagrapheIndent2"/>
        <w:spacing w:after="240" w:line="245" w:lineRule="exact"/>
        <w:jc w:val="both"/>
        <w:rPr>
          <w:color w:val="000000"/>
          <w:lang w:val="fr-FR"/>
        </w:rPr>
      </w:pPr>
    </w:p>
    <w:p w14:paraId="04787328" w14:textId="77777777" w:rsidR="00EE3428" w:rsidRDefault="00035DCC">
      <w:pPr>
        <w:pStyle w:val="ParagrapheIndent2"/>
        <w:spacing w:after="240" w:line="245"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1BE67ACF"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45" w:name="ArtL2_RC-2-A9.4"/>
      <w:bookmarkStart w:id="46" w:name="_Toc186199732"/>
      <w:bookmarkEnd w:id="45"/>
      <w:r>
        <w:rPr>
          <w:rFonts w:ascii="Century Gothic" w:eastAsia="Century Gothic" w:hAnsi="Century Gothic" w:cs="Century Gothic"/>
          <w:i w:val="0"/>
          <w:color w:val="000000"/>
          <w:sz w:val="24"/>
          <w:lang w:val="fr-FR"/>
        </w:rPr>
        <w:t>7.3 - Suite à donner à la consultation</w:t>
      </w:r>
      <w:bookmarkEnd w:id="46"/>
    </w:p>
    <w:p w14:paraId="7402104B" w14:textId="77777777" w:rsidR="00EE3428" w:rsidRDefault="00035DCC">
      <w:pPr>
        <w:pStyle w:val="ParagrapheIndent2"/>
        <w:spacing w:line="245" w:lineRule="exact"/>
        <w:jc w:val="both"/>
        <w:rPr>
          <w:color w:val="000000"/>
          <w:lang w:val="fr-FR"/>
        </w:rPr>
      </w:pPr>
      <w:r>
        <w:rPr>
          <w:color w:val="000000"/>
          <w:lang w:val="fr-FR"/>
        </w:rPr>
        <w:t>Après examen des offres, le pouvoir adjudicateur engagera des négociations avec tous les candidats sélectionnés. Toutefois, le pouvoir adjudicateur se réserve la possibilité d'attribuer le marché sur la base des offres initiales, sans négociation.</w:t>
      </w:r>
    </w:p>
    <w:p w14:paraId="0E37F6D3" w14:textId="77777777" w:rsidR="00EE3428" w:rsidRDefault="00EE3428">
      <w:pPr>
        <w:pStyle w:val="ParagrapheIndent2"/>
        <w:spacing w:line="245" w:lineRule="exact"/>
        <w:jc w:val="both"/>
        <w:rPr>
          <w:color w:val="000000"/>
          <w:lang w:val="fr-FR"/>
        </w:rPr>
      </w:pPr>
    </w:p>
    <w:p w14:paraId="1404AD95" w14:textId="77777777" w:rsidR="00EE3428" w:rsidRDefault="00035DCC">
      <w:pPr>
        <w:pStyle w:val="ParagrapheIndent2"/>
        <w:spacing w:after="240" w:line="245" w:lineRule="exact"/>
        <w:jc w:val="both"/>
        <w:rPr>
          <w:color w:val="000000"/>
          <w:lang w:val="fr-FR"/>
        </w:rPr>
      </w:pPr>
      <w:r>
        <w:rPr>
          <w:color w:val="000000"/>
          <w:lang w:val="fr-FR"/>
        </w:rPr>
        <w:t>Les offres inappropriées seront éliminées.</w:t>
      </w:r>
    </w:p>
    <w:p w14:paraId="1283F80F" w14:textId="77777777" w:rsidR="00EE3428" w:rsidRDefault="00035DCC">
      <w:pPr>
        <w:pStyle w:val="ParagrapheIndent2"/>
        <w:spacing w:after="240" w:line="245"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tbl>
      <w:tblPr>
        <w:tblW w:w="0" w:type="auto"/>
        <w:tblLayout w:type="fixed"/>
        <w:tblLook w:val="04A0" w:firstRow="1" w:lastRow="0" w:firstColumn="1" w:lastColumn="0" w:noHBand="0" w:noVBand="1"/>
      </w:tblPr>
      <w:tblGrid>
        <w:gridCol w:w="9620"/>
      </w:tblGrid>
      <w:tr w:rsidR="00EE3428" w14:paraId="2AEECD5A" w14:textId="77777777">
        <w:tc>
          <w:tcPr>
            <w:tcW w:w="9620" w:type="dxa"/>
            <w:shd w:val="clear" w:color="FD2456" w:fill="FD2456"/>
            <w:tcMar>
              <w:top w:w="30" w:type="dxa"/>
              <w:left w:w="80" w:type="dxa"/>
              <w:bottom w:w="45" w:type="dxa"/>
              <w:right w:w="80" w:type="dxa"/>
            </w:tcMar>
          </w:tcPr>
          <w:p w14:paraId="6BD02380" w14:textId="77777777" w:rsidR="00EE3428" w:rsidRDefault="00035DCC">
            <w:pPr>
              <w:pStyle w:val="Titre1"/>
              <w:rPr>
                <w:rFonts w:ascii="Century Gothic" w:eastAsia="Century Gothic" w:hAnsi="Century Gothic" w:cs="Century Gothic"/>
                <w:color w:val="FFFFFF"/>
                <w:sz w:val="28"/>
                <w:lang w:val="fr-FR"/>
              </w:rPr>
            </w:pPr>
            <w:bookmarkStart w:id="47" w:name="ArtL1_RC-2-A11"/>
            <w:bookmarkStart w:id="48" w:name="_Toc186199733"/>
            <w:bookmarkEnd w:id="47"/>
            <w:r>
              <w:rPr>
                <w:rFonts w:ascii="Century Gothic" w:eastAsia="Century Gothic" w:hAnsi="Century Gothic" w:cs="Century Gothic"/>
                <w:color w:val="FFFFFF"/>
                <w:sz w:val="28"/>
                <w:lang w:val="fr-FR"/>
              </w:rPr>
              <w:lastRenderedPageBreak/>
              <w:t>8 - Renseignements complémentaires</w:t>
            </w:r>
            <w:bookmarkEnd w:id="48"/>
          </w:p>
        </w:tc>
      </w:tr>
    </w:tbl>
    <w:p w14:paraId="2648C63F" w14:textId="77777777" w:rsidR="00EE3428" w:rsidRDefault="00035DCC">
      <w:pPr>
        <w:spacing w:line="60" w:lineRule="exact"/>
        <w:rPr>
          <w:sz w:val="6"/>
        </w:rPr>
      </w:pPr>
      <w:r>
        <w:t xml:space="preserve"> </w:t>
      </w:r>
    </w:p>
    <w:p w14:paraId="50EA1C7A"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49" w:name="ArtL2_RC-2-A11.1"/>
      <w:bookmarkStart w:id="50" w:name="_Toc186199734"/>
      <w:bookmarkEnd w:id="49"/>
      <w:r>
        <w:rPr>
          <w:rFonts w:ascii="Century Gothic" w:eastAsia="Century Gothic" w:hAnsi="Century Gothic" w:cs="Century Gothic"/>
          <w:i w:val="0"/>
          <w:color w:val="000000"/>
          <w:sz w:val="24"/>
          <w:lang w:val="fr-FR"/>
        </w:rPr>
        <w:t>8.1 - Adresses supplémentaires et points de contact</w:t>
      </w:r>
      <w:bookmarkEnd w:id="50"/>
    </w:p>
    <w:p w14:paraId="40535A00" w14:textId="77777777" w:rsidR="00EE3428" w:rsidRDefault="00035DCC">
      <w:pPr>
        <w:pStyle w:val="ParagrapheIndent2"/>
        <w:spacing w:line="245"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http://www.marches-publics.gouv.fr</w:t>
      </w:r>
    </w:p>
    <w:p w14:paraId="58B07822" w14:textId="77777777" w:rsidR="00EE3428" w:rsidRDefault="00EE3428">
      <w:pPr>
        <w:pStyle w:val="ParagrapheIndent2"/>
        <w:spacing w:line="245" w:lineRule="exact"/>
        <w:jc w:val="both"/>
        <w:rPr>
          <w:color w:val="000000"/>
          <w:lang w:val="fr-FR"/>
        </w:rPr>
      </w:pPr>
    </w:p>
    <w:p w14:paraId="04FD8ACB" w14:textId="77777777" w:rsidR="00EE3428" w:rsidRDefault="00035DCC">
      <w:pPr>
        <w:pStyle w:val="ParagrapheIndent2"/>
        <w:spacing w:after="240" w:line="245" w:lineRule="exact"/>
        <w:jc w:val="both"/>
        <w:rPr>
          <w:color w:val="000000"/>
          <w:lang w:val="fr-FR"/>
        </w:rPr>
      </w:pPr>
      <w:r>
        <w:rPr>
          <w:color w:val="000000"/>
          <w:lang w:val="fr-FR"/>
        </w:rPr>
        <w:t>Cette demande doit intervenir au plus tard 10 jours avant la date limite de remise des plis.</w:t>
      </w:r>
    </w:p>
    <w:p w14:paraId="0DC24A71" w14:textId="77777777" w:rsidR="00EE3428" w:rsidRDefault="00035DCC">
      <w:pPr>
        <w:pStyle w:val="ParagrapheIndent2"/>
        <w:spacing w:after="240" w:line="245"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71AE8978" w14:textId="77777777" w:rsidR="00EE3428" w:rsidRDefault="00035DCC">
      <w:pPr>
        <w:pStyle w:val="Titre2"/>
        <w:spacing w:after="100"/>
        <w:ind w:left="280"/>
        <w:rPr>
          <w:rFonts w:ascii="Century Gothic" w:eastAsia="Century Gothic" w:hAnsi="Century Gothic" w:cs="Century Gothic"/>
          <w:i w:val="0"/>
          <w:color w:val="000000"/>
          <w:sz w:val="24"/>
          <w:lang w:val="fr-FR"/>
        </w:rPr>
      </w:pPr>
      <w:bookmarkStart w:id="51" w:name="ArtL2_RC-2-A11.2"/>
      <w:bookmarkStart w:id="52" w:name="_Toc186199735"/>
      <w:bookmarkEnd w:id="51"/>
      <w:r>
        <w:rPr>
          <w:rFonts w:ascii="Century Gothic" w:eastAsia="Century Gothic" w:hAnsi="Century Gothic" w:cs="Century Gothic"/>
          <w:i w:val="0"/>
          <w:color w:val="000000"/>
          <w:sz w:val="24"/>
          <w:lang w:val="fr-FR"/>
        </w:rPr>
        <w:t>8.2 - Procédures de recours</w:t>
      </w:r>
      <w:bookmarkEnd w:id="52"/>
    </w:p>
    <w:p w14:paraId="4FDCB82E" w14:textId="77777777" w:rsidR="00EE3428" w:rsidRDefault="00035DCC">
      <w:pPr>
        <w:pStyle w:val="ParagrapheIndent2"/>
        <w:spacing w:line="245" w:lineRule="exact"/>
        <w:jc w:val="both"/>
        <w:rPr>
          <w:color w:val="000000"/>
          <w:lang w:val="fr-FR"/>
        </w:rPr>
      </w:pPr>
      <w:r>
        <w:rPr>
          <w:color w:val="000000"/>
          <w:lang w:val="fr-FR"/>
        </w:rPr>
        <w:t>Le tribunal territorialement compétent est :</w:t>
      </w:r>
    </w:p>
    <w:p w14:paraId="619292A7" w14:textId="77777777" w:rsidR="00EE3428" w:rsidRDefault="00035DCC">
      <w:pPr>
        <w:pStyle w:val="ParagrapheIndent2"/>
        <w:spacing w:line="245" w:lineRule="exact"/>
        <w:jc w:val="both"/>
        <w:rPr>
          <w:color w:val="000000"/>
          <w:lang w:val="fr-FR"/>
        </w:rPr>
      </w:pPr>
      <w:r>
        <w:rPr>
          <w:color w:val="000000"/>
          <w:lang w:val="fr-FR"/>
        </w:rPr>
        <w:t>Tribunal Administratif de Rennes</w:t>
      </w:r>
    </w:p>
    <w:p w14:paraId="4F10F79E" w14:textId="77777777" w:rsidR="00EE3428" w:rsidRDefault="00035DCC">
      <w:pPr>
        <w:pStyle w:val="ParagrapheIndent2"/>
        <w:spacing w:line="245" w:lineRule="exact"/>
        <w:jc w:val="both"/>
        <w:rPr>
          <w:color w:val="000000"/>
          <w:lang w:val="fr-FR"/>
        </w:rPr>
      </w:pPr>
      <w:r>
        <w:rPr>
          <w:color w:val="000000"/>
          <w:lang w:val="fr-FR"/>
        </w:rPr>
        <w:t>3 Contour de la Motte</w:t>
      </w:r>
    </w:p>
    <w:p w14:paraId="58F85844" w14:textId="77777777" w:rsidR="00EE3428" w:rsidRDefault="00035DCC">
      <w:pPr>
        <w:pStyle w:val="ParagrapheIndent2"/>
        <w:spacing w:line="245" w:lineRule="exact"/>
        <w:jc w:val="both"/>
        <w:rPr>
          <w:color w:val="000000"/>
          <w:lang w:val="fr-FR"/>
        </w:rPr>
      </w:pPr>
      <w:r>
        <w:rPr>
          <w:color w:val="000000"/>
          <w:lang w:val="fr-FR"/>
        </w:rPr>
        <w:t>35044 RENNES CEDEX CS 44416</w:t>
      </w:r>
    </w:p>
    <w:p w14:paraId="4A5F09CF" w14:textId="77777777" w:rsidR="00EE3428" w:rsidRDefault="00EE3428">
      <w:pPr>
        <w:pStyle w:val="ParagrapheIndent2"/>
        <w:spacing w:line="245" w:lineRule="exact"/>
        <w:jc w:val="both"/>
        <w:rPr>
          <w:color w:val="000000"/>
          <w:lang w:val="fr-FR"/>
        </w:rPr>
      </w:pPr>
    </w:p>
    <w:p w14:paraId="3B0833A0" w14:textId="77777777" w:rsidR="00EE3428" w:rsidRDefault="00035DCC">
      <w:pPr>
        <w:pStyle w:val="ParagrapheIndent2"/>
        <w:spacing w:line="245" w:lineRule="exact"/>
        <w:jc w:val="both"/>
        <w:rPr>
          <w:color w:val="000000"/>
          <w:lang w:val="fr-FR"/>
        </w:rPr>
      </w:pPr>
      <w:r>
        <w:rPr>
          <w:color w:val="000000"/>
          <w:lang w:val="fr-FR"/>
        </w:rPr>
        <w:t>Tél : 02 23 21 28 28</w:t>
      </w:r>
    </w:p>
    <w:p w14:paraId="44B14A68" w14:textId="77777777" w:rsidR="00EE3428" w:rsidRDefault="00035DCC">
      <w:pPr>
        <w:pStyle w:val="ParagrapheIndent2"/>
        <w:spacing w:line="245" w:lineRule="exact"/>
        <w:jc w:val="both"/>
        <w:rPr>
          <w:color w:val="000000"/>
          <w:lang w:val="fr-FR"/>
        </w:rPr>
      </w:pPr>
      <w:r>
        <w:rPr>
          <w:color w:val="000000"/>
          <w:lang w:val="fr-FR"/>
        </w:rPr>
        <w:t>Télécopie : 02 99 63 56 84</w:t>
      </w:r>
    </w:p>
    <w:p w14:paraId="608043FB" w14:textId="77777777" w:rsidR="00EE3428" w:rsidRDefault="00035DCC">
      <w:pPr>
        <w:pStyle w:val="ParagrapheIndent2"/>
        <w:spacing w:line="245" w:lineRule="exact"/>
        <w:jc w:val="both"/>
        <w:rPr>
          <w:color w:val="000000"/>
          <w:lang w:val="fr-FR"/>
        </w:rPr>
      </w:pPr>
      <w:r>
        <w:rPr>
          <w:color w:val="000000"/>
          <w:lang w:val="fr-FR"/>
        </w:rPr>
        <w:t>Courriel : greffe.ta-rennes@juradm.fr</w:t>
      </w:r>
    </w:p>
    <w:p w14:paraId="33BCE9F9" w14:textId="77777777" w:rsidR="00EE3428" w:rsidRDefault="00035DCC">
      <w:pPr>
        <w:pStyle w:val="ParagrapheIndent2"/>
        <w:spacing w:after="240" w:line="245" w:lineRule="exact"/>
        <w:jc w:val="both"/>
        <w:rPr>
          <w:color w:val="000000"/>
          <w:lang w:val="fr-FR"/>
        </w:rPr>
      </w:pPr>
      <w:r>
        <w:rPr>
          <w:color w:val="000000"/>
          <w:lang w:val="fr-FR"/>
        </w:rPr>
        <w:t xml:space="preserve">Adresse </w:t>
      </w:r>
      <w:proofErr w:type="gramStart"/>
      <w:r>
        <w:rPr>
          <w:color w:val="000000"/>
          <w:lang w:val="fr-FR"/>
        </w:rPr>
        <w:t>internet(</w:t>
      </w:r>
      <w:proofErr w:type="gramEnd"/>
      <w:r>
        <w:rPr>
          <w:color w:val="000000"/>
          <w:lang w:val="fr-FR"/>
        </w:rPr>
        <w:t>U.R.L) : http://www.ta-rennes.juradm.fr/</w:t>
      </w:r>
    </w:p>
    <w:p w14:paraId="7168BD9C" w14:textId="77777777" w:rsidR="00EE3428" w:rsidRDefault="00035DCC">
      <w:pPr>
        <w:pStyle w:val="ParagrapheIndent2"/>
        <w:spacing w:after="80" w:line="245" w:lineRule="exact"/>
        <w:jc w:val="both"/>
        <w:rPr>
          <w:color w:val="000000"/>
          <w:lang w:val="fr-FR"/>
        </w:rPr>
        <w:sectPr w:rsidR="00EE3428">
          <w:footerReference w:type="default" r:id="rId27"/>
          <w:pgSz w:w="11900" w:h="16840"/>
          <w:pgMar w:top="1140" w:right="1140" w:bottom="1140" w:left="1140" w:header="1140" w:footer="1140" w:gutter="0"/>
          <w:cols w:space="708"/>
        </w:sect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w:t>
      </w:r>
      <w:r>
        <w:rPr>
          <w:color w:val="000000"/>
          <w:lang w:val="fr-FR"/>
        </w:rPr>
        <w:cr/>
      </w:r>
    </w:p>
    <w:p w14:paraId="5A3F06CD" w14:textId="77777777" w:rsidR="00EE3428" w:rsidRDefault="00035DCC">
      <w:pPr>
        <w:pStyle w:val="ParagrapheIndent2"/>
        <w:spacing w:after="240" w:line="245" w:lineRule="exact"/>
        <w:jc w:val="both"/>
        <w:rPr>
          <w:color w:val="000000"/>
          <w:lang w:val="fr-FR"/>
        </w:rPr>
      </w:pPr>
      <w:r>
        <w:rPr>
          <w:color w:val="000000"/>
          <w:lang w:val="fr-FR"/>
        </w:rPr>
        <w:lastRenderedPageBreak/>
        <w:t>signature du contrat. Référé contractuel prévu aux articles L.551-13 à L.551-23 du CJA, et pouvant être exercé dans les délais prévus à l'article R. 551-7 du CJA. Recours de pleine juridiction ouvert aux tiers justifiant d’un intérêt lésé, et pouvant être exercé dans les deux mois suivant la date à laquelle la conclusion du contrat est rendue publique.</w:t>
      </w:r>
    </w:p>
    <w:p w14:paraId="3EF4CD80" w14:textId="77777777" w:rsidR="00EE3428" w:rsidRDefault="00035DCC">
      <w:pPr>
        <w:pStyle w:val="ParagrapheIndent2"/>
        <w:spacing w:line="245" w:lineRule="exact"/>
        <w:jc w:val="both"/>
        <w:rPr>
          <w:color w:val="000000"/>
          <w:lang w:val="fr-FR"/>
        </w:rPr>
      </w:pPr>
      <w:r>
        <w:rPr>
          <w:color w:val="000000"/>
          <w:lang w:val="fr-FR"/>
        </w:rPr>
        <w:t>Pour obtenir des renseignements relatifs à l'introduction des recours, les candidats devront s'adresser à :</w:t>
      </w:r>
    </w:p>
    <w:p w14:paraId="507C77F9" w14:textId="77777777" w:rsidR="00EE3428" w:rsidRDefault="00035DCC">
      <w:pPr>
        <w:pStyle w:val="ParagrapheIndent2"/>
        <w:spacing w:line="245" w:lineRule="exact"/>
        <w:jc w:val="both"/>
        <w:rPr>
          <w:color w:val="000000"/>
          <w:lang w:val="fr-FR"/>
        </w:rPr>
      </w:pPr>
      <w:r>
        <w:rPr>
          <w:color w:val="000000"/>
          <w:lang w:val="fr-FR"/>
        </w:rPr>
        <w:t>Tribunal Administratif de Rennes</w:t>
      </w:r>
    </w:p>
    <w:p w14:paraId="52136871" w14:textId="77777777" w:rsidR="00EE3428" w:rsidRDefault="00035DCC">
      <w:pPr>
        <w:pStyle w:val="ParagrapheIndent2"/>
        <w:spacing w:line="245" w:lineRule="exact"/>
        <w:jc w:val="both"/>
        <w:rPr>
          <w:color w:val="000000"/>
          <w:lang w:val="fr-FR"/>
        </w:rPr>
      </w:pPr>
      <w:r>
        <w:rPr>
          <w:color w:val="000000"/>
          <w:lang w:val="fr-FR"/>
        </w:rPr>
        <w:t>Hôtel de Bizien</w:t>
      </w:r>
    </w:p>
    <w:p w14:paraId="4D9AA0D9" w14:textId="77777777" w:rsidR="00EE3428" w:rsidRDefault="00035DCC">
      <w:pPr>
        <w:pStyle w:val="ParagrapheIndent2"/>
        <w:spacing w:line="245" w:lineRule="exact"/>
        <w:jc w:val="both"/>
        <w:rPr>
          <w:color w:val="000000"/>
          <w:lang w:val="fr-FR"/>
        </w:rPr>
      </w:pPr>
      <w:r>
        <w:rPr>
          <w:color w:val="000000"/>
          <w:lang w:val="fr-FR"/>
        </w:rPr>
        <w:t>3 Contour de la Motte</w:t>
      </w:r>
    </w:p>
    <w:p w14:paraId="401990F4" w14:textId="77777777" w:rsidR="00EE3428" w:rsidRDefault="00035DCC">
      <w:pPr>
        <w:pStyle w:val="ParagrapheIndent2"/>
        <w:spacing w:line="245" w:lineRule="exact"/>
        <w:jc w:val="both"/>
        <w:rPr>
          <w:color w:val="000000"/>
          <w:lang w:val="fr-FR"/>
        </w:rPr>
      </w:pPr>
      <w:r>
        <w:rPr>
          <w:color w:val="000000"/>
          <w:lang w:val="fr-FR"/>
        </w:rPr>
        <w:t>35044 RENNES CEDEX CS 44416</w:t>
      </w:r>
    </w:p>
    <w:p w14:paraId="2FDABE9A" w14:textId="77777777" w:rsidR="00EE3428" w:rsidRDefault="00EE3428">
      <w:pPr>
        <w:pStyle w:val="ParagrapheIndent2"/>
        <w:spacing w:line="245" w:lineRule="exact"/>
        <w:jc w:val="both"/>
        <w:rPr>
          <w:color w:val="000000"/>
          <w:lang w:val="fr-FR"/>
        </w:rPr>
      </w:pPr>
    </w:p>
    <w:p w14:paraId="75CEEB3D" w14:textId="77777777" w:rsidR="00EE3428" w:rsidRDefault="00035DCC">
      <w:pPr>
        <w:pStyle w:val="ParagrapheIndent2"/>
        <w:spacing w:line="245" w:lineRule="exact"/>
        <w:jc w:val="both"/>
        <w:rPr>
          <w:color w:val="000000"/>
          <w:lang w:val="fr-FR"/>
        </w:rPr>
      </w:pPr>
      <w:r>
        <w:rPr>
          <w:color w:val="000000"/>
          <w:lang w:val="fr-FR"/>
        </w:rPr>
        <w:t>Tél : 02 23 21 28 28</w:t>
      </w:r>
    </w:p>
    <w:p w14:paraId="1E238670" w14:textId="77777777" w:rsidR="00EE3428" w:rsidRDefault="00035DCC">
      <w:pPr>
        <w:pStyle w:val="ParagrapheIndent2"/>
        <w:spacing w:line="245" w:lineRule="exact"/>
        <w:jc w:val="both"/>
        <w:rPr>
          <w:color w:val="000000"/>
          <w:lang w:val="fr-FR"/>
        </w:rPr>
      </w:pPr>
      <w:r>
        <w:rPr>
          <w:color w:val="000000"/>
          <w:lang w:val="fr-FR"/>
        </w:rPr>
        <w:t>Télécopie : 02 99 63 56 84</w:t>
      </w:r>
    </w:p>
    <w:p w14:paraId="53E93327" w14:textId="77777777" w:rsidR="00EE3428" w:rsidRDefault="00035DCC">
      <w:pPr>
        <w:pStyle w:val="ParagrapheIndent2"/>
        <w:spacing w:line="245" w:lineRule="exact"/>
        <w:jc w:val="both"/>
        <w:rPr>
          <w:color w:val="000000"/>
          <w:lang w:val="fr-FR"/>
        </w:rPr>
      </w:pPr>
      <w:r>
        <w:rPr>
          <w:color w:val="000000"/>
          <w:lang w:val="fr-FR"/>
        </w:rPr>
        <w:t>Courriel : greffe.ta-rennes@juradm.fr</w:t>
      </w:r>
    </w:p>
    <w:p w14:paraId="345C4F69" w14:textId="77777777" w:rsidR="00EE3428" w:rsidRDefault="00035DCC">
      <w:pPr>
        <w:pStyle w:val="ParagrapheIndent2"/>
        <w:spacing w:after="240" w:line="245" w:lineRule="exact"/>
        <w:jc w:val="both"/>
        <w:rPr>
          <w:color w:val="000000"/>
          <w:lang w:val="fr-FR"/>
        </w:rPr>
      </w:pPr>
      <w:r>
        <w:rPr>
          <w:color w:val="000000"/>
          <w:lang w:val="fr-FR"/>
        </w:rPr>
        <w:t xml:space="preserve">Adresse </w:t>
      </w:r>
      <w:proofErr w:type="gramStart"/>
      <w:r>
        <w:rPr>
          <w:color w:val="000000"/>
          <w:lang w:val="fr-FR"/>
        </w:rPr>
        <w:t>internet(</w:t>
      </w:r>
      <w:proofErr w:type="gramEnd"/>
      <w:r>
        <w:rPr>
          <w:color w:val="000000"/>
          <w:lang w:val="fr-FR"/>
        </w:rPr>
        <w:t>U.R.L) : http://www.ta-rennes.juradm.fr/</w:t>
      </w:r>
    </w:p>
    <w:p w14:paraId="545F4CBB" w14:textId="77777777" w:rsidR="00EE3428" w:rsidRDefault="00035DCC">
      <w:pPr>
        <w:pStyle w:val="ParagrapheIndent2"/>
        <w:spacing w:line="245" w:lineRule="exact"/>
        <w:jc w:val="both"/>
        <w:rPr>
          <w:color w:val="000000"/>
          <w:lang w:val="fr-FR"/>
        </w:rPr>
      </w:pPr>
      <w:r>
        <w:rPr>
          <w:color w:val="000000"/>
          <w:lang w:val="fr-FR"/>
        </w:rPr>
        <w:t>En cas de difficultés survenant lors de la procédure de passation, l'organe chargé de jouer le rôle de médiateur est :</w:t>
      </w:r>
    </w:p>
    <w:p w14:paraId="670F76C0" w14:textId="77777777" w:rsidR="00EE3428" w:rsidRDefault="00035DCC">
      <w:pPr>
        <w:pStyle w:val="ParagrapheIndent2"/>
        <w:spacing w:line="245" w:lineRule="exact"/>
        <w:jc w:val="both"/>
        <w:rPr>
          <w:color w:val="000000"/>
          <w:lang w:val="fr-FR"/>
        </w:rPr>
      </w:pPr>
      <w:r>
        <w:rPr>
          <w:color w:val="000000"/>
          <w:lang w:val="fr-FR"/>
        </w:rPr>
        <w:t>CCIRAD</w:t>
      </w:r>
    </w:p>
    <w:p w14:paraId="574B9544" w14:textId="77777777" w:rsidR="00EE3428" w:rsidRDefault="00035DCC">
      <w:pPr>
        <w:pStyle w:val="ParagrapheIndent2"/>
        <w:spacing w:line="245" w:lineRule="exact"/>
        <w:jc w:val="both"/>
        <w:rPr>
          <w:color w:val="000000"/>
          <w:lang w:val="fr-FR"/>
        </w:rPr>
      </w:pPr>
      <w:r>
        <w:rPr>
          <w:color w:val="000000"/>
          <w:lang w:val="fr-FR"/>
        </w:rPr>
        <w:t>22 Mail Pablo Picasso</w:t>
      </w:r>
    </w:p>
    <w:p w14:paraId="09AA32AA" w14:textId="77777777" w:rsidR="00EE3428" w:rsidRDefault="00035DCC">
      <w:pPr>
        <w:pStyle w:val="ParagrapheIndent2"/>
        <w:spacing w:line="245" w:lineRule="exact"/>
        <w:jc w:val="both"/>
        <w:rPr>
          <w:color w:val="000000"/>
          <w:lang w:val="fr-FR"/>
        </w:rPr>
      </w:pPr>
      <w:r>
        <w:rPr>
          <w:color w:val="000000"/>
          <w:lang w:val="fr-FR"/>
        </w:rPr>
        <w:t>44042 NANTES</w:t>
      </w:r>
    </w:p>
    <w:sectPr w:rsidR="00EE3428">
      <w:footerReference w:type="default" r:id="rId28"/>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12D3" w14:textId="77777777" w:rsidR="004471C6" w:rsidRDefault="00035DCC">
      <w:r>
        <w:separator/>
      </w:r>
    </w:p>
  </w:endnote>
  <w:endnote w:type="continuationSeparator" w:id="0">
    <w:p w14:paraId="226806E9" w14:textId="77777777" w:rsidR="004471C6" w:rsidRDefault="0003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147C" w14:textId="77777777" w:rsidR="00EE3428" w:rsidRDefault="00EE3428">
    <w:pPr>
      <w:spacing w:line="240" w:lineRule="exact"/>
    </w:pPr>
  </w:p>
  <w:tbl>
    <w:tblPr>
      <w:tblW w:w="0" w:type="auto"/>
      <w:tblLayout w:type="fixed"/>
      <w:tblLook w:val="04A0" w:firstRow="1" w:lastRow="0" w:firstColumn="1" w:lastColumn="0" w:noHBand="0" w:noVBand="1"/>
    </w:tblPr>
    <w:tblGrid>
      <w:gridCol w:w="5220"/>
      <w:gridCol w:w="4400"/>
    </w:tblGrid>
    <w:tr w:rsidR="00EE3428" w14:paraId="395E5494" w14:textId="77777777">
      <w:trPr>
        <w:trHeight w:val="245"/>
      </w:trPr>
      <w:tc>
        <w:tcPr>
          <w:tcW w:w="5220" w:type="dxa"/>
          <w:tcMar>
            <w:top w:w="0" w:type="dxa"/>
            <w:left w:w="0" w:type="dxa"/>
            <w:bottom w:w="0" w:type="dxa"/>
            <w:right w:w="0" w:type="dxa"/>
          </w:tcMar>
          <w:vAlign w:val="center"/>
        </w:tcPr>
        <w:p w14:paraId="2180BD87" w14:textId="77777777" w:rsidR="00EE3428" w:rsidRDefault="00035DCC">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2024-0005</w:t>
          </w:r>
        </w:p>
      </w:tc>
      <w:tc>
        <w:tcPr>
          <w:tcW w:w="4400" w:type="dxa"/>
          <w:tcMar>
            <w:top w:w="0" w:type="dxa"/>
            <w:left w:w="0" w:type="dxa"/>
            <w:bottom w:w="0" w:type="dxa"/>
            <w:right w:w="0" w:type="dxa"/>
          </w:tcMar>
          <w:vAlign w:val="center"/>
        </w:tcPr>
        <w:p w14:paraId="62F3ADC5" w14:textId="77777777" w:rsidR="00EE3428" w:rsidRDefault="00035DC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256C" w14:textId="77777777" w:rsidR="00EE3428" w:rsidRDefault="00EE3428">
    <w:pPr>
      <w:spacing w:line="240" w:lineRule="exact"/>
    </w:pPr>
  </w:p>
  <w:tbl>
    <w:tblPr>
      <w:tblW w:w="0" w:type="auto"/>
      <w:tblLayout w:type="fixed"/>
      <w:tblLook w:val="04A0" w:firstRow="1" w:lastRow="0" w:firstColumn="1" w:lastColumn="0" w:noHBand="0" w:noVBand="1"/>
    </w:tblPr>
    <w:tblGrid>
      <w:gridCol w:w="5220"/>
      <w:gridCol w:w="4400"/>
    </w:tblGrid>
    <w:tr w:rsidR="00EE3428" w14:paraId="2E2B3C00" w14:textId="77777777">
      <w:trPr>
        <w:trHeight w:val="245"/>
      </w:trPr>
      <w:tc>
        <w:tcPr>
          <w:tcW w:w="5220" w:type="dxa"/>
          <w:tcMar>
            <w:top w:w="0" w:type="dxa"/>
            <w:left w:w="0" w:type="dxa"/>
            <w:bottom w:w="0" w:type="dxa"/>
            <w:right w:w="0" w:type="dxa"/>
          </w:tcMar>
          <w:vAlign w:val="center"/>
        </w:tcPr>
        <w:p w14:paraId="46E361F2" w14:textId="77777777" w:rsidR="00EE3428" w:rsidRDefault="00035DCC">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2024-0005</w:t>
          </w:r>
        </w:p>
      </w:tc>
      <w:tc>
        <w:tcPr>
          <w:tcW w:w="4400" w:type="dxa"/>
          <w:tcMar>
            <w:top w:w="0" w:type="dxa"/>
            <w:left w:w="0" w:type="dxa"/>
            <w:bottom w:w="0" w:type="dxa"/>
            <w:right w:w="0" w:type="dxa"/>
          </w:tcMar>
          <w:vAlign w:val="center"/>
        </w:tcPr>
        <w:p w14:paraId="1C316638" w14:textId="77777777" w:rsidR="00EE3428" w:rsidRDefault="00035DC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FC03" w14:textId="77777777" w:rsidR="00035DCC" w:rsidRDefault="00035DCC">
    <w:pPr>
      <w:spacing w:line="240" w:lineRule="exact"/>
    </w:pPr>
  </w:p>
  <w:tbl>
    <w:tblPr>
      <w:tblW w:w="0" w:type="auto"/>
      <w:tblLayout w:type="fixed"/>
      <w:tblLook w:val="04A0" w:firstRow="1" w:lastRow="0" w:firstColumn="1" w:lastColumn="0" w:noHBand="0" w:noVBand="1"/>
    </w:tblPr>
    <w:tblGrid>
      <w:gridCol w:w="5220"/>
      <w:gridCol w:w="4400"/>
    </w:tblGrid>
    <w:tr w:rsidR="00035DCC" w14:paraId="1A2B352A" w14:textId="77777777">
      <w:trPr>
        <w:trHeight w:val="245"/>
      </w:trPr>
      <w:tc>
        <w:tcPr>
          <w:tcW w:w="5220" w:type="dxa"/>
          <w:tcMar>
            <w:top w:w="0" w:type="dxa"/>
            <w:left w:w="0" w:type="dxa"/>
            <w:bottom w:w="0" w:type="dxa"/>
            <w:right w:w="0" w:type="dxa"/>
          </w:tcMar>
          <w:vAlign w:val="center"/>
        </w:tcPr>
        <w:p w14:paraId="1C56D7F5" w14:textId="77777777" w:rsidR="00035DCC" w:rsidRDefault="00035DCC">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2024-0005</w:t>
          </w:r>
        </w:p>
      </w:tc>
      <w:tc>
        <w:tcPr>
          <w:tcW w:w="4400" w:type="dxa"/>
          <w:tcMar>
            <w:top w:w="0" w:type="dxa"/>
            <w:left w:w="0" w:type="dxa"/>
            <w:bottom w:w="0" w:type="dxa"/>
            <w:right w:w="0" w:type="dxa"/>
          </w:tcMar>
          <w:vAlign w:val="center"/>
        </w:tcPr>
        <w:p w14:paraId="4AA795D0" w14:textId="77777777" w:rsidR="00035DCC" w:rsidRDefault="00035DC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B865" w14:textId="77777777" w:rsidR="00EE3428" w:rsidRDefault="00EE3428">
    <w:pPr>
      <w:spacing w:line="240" w:lineRule="exact"/>
    </w:pPr>
  </w:p>
  <w:tbl>
    <w:tblPr>
      <w:tblW w:w="0" w:type="auto"/>
      <w:tblLayout w:type="fixed"/>
      <w:tblLook w:val="04A0" w:firstRow="1" w:lastRow="0" w:firstColumn="1" w:lastColumn="0" w:noHBand="0" w:noVBand="1"/>
    </w:tblPr>
    <w:tblGrid>
      <w:gridCol w:w="5220"/>
      <w:gridCol w:w="4400"/>
    </w:tblGrid>
    <w:tr w:rsidR="00EE3428" w14:paraId="080D8CBB" w14:textId="77777777">
      <w:trPr>
        <w:trHeight w:val="245"/>
      </w:trPr>
      <w:tc>
        <w:tcPr>
          <w:tcW w:w="5220" w:type="dxa"/>
          <w:tcMar>
            <w:top w:w="0" w:type="dxa"/>
            <w:left w:w="0" w:type="dxa"/>
            <w:bottom w:w="0" w:type="dxa"/>
            <w:right w:w="0" w:type="dxa"/>
          </w:tcMar>
          <w:vAlign w:val="center"/>
        </w:tcPr>
        <w:p w14:paraId="46E3C4B8" w14:textId="77777777" w:rsidR="00EE3428" w:rsidRDefault="00035DCC">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2024-0005</w:t>
          </w:r>
        </w:p>
      </w:tc>
      <w:tc>
        <w:tcPr>
          <w:tcW w:w="4400" w:type="dxa"/>
          <w:tcMar>
            <w:top w:w="0" w:type="dxa"/>
            <w:left w:w="0" w:type="dxa"/>
            <w:bottom w:w="0" w:type="dxa"/>
            <w:right w:w="0" w:type="dxa"/>
          </w:tcMar>
          <w:vAlign w:val="center"/>
        </w:tcPr>
        <w:p w14:paraId="2AFEB25E" w14:textId="77777777" w:rsidR="00EE3428" w:rsidRDefault="00035DC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52C5" w14:textId="77777777" w:rsidR="00EE3428" w:rsidRDefault="00EE3428">
    <w:pPr>
      <w:spacing w:line="240" w:lineRule="exact"/>
    </w:pPr>
  </w:p>
  <w:tbl>
    <w:tblPr>
      <w:tblW w:w="0" w:type="auto"/>
      <w:tblLayout w:type="fixed"/>
      <w:tblLook w:val="04A0" w:firstRow="1" w:lastRow="0" w:firstColumn="1" w:lastColumn="0" w:noHBand="0" w:noVBand="1"/>
    </w:tblPr>
    <w:tblGrid>
      <w:gridCol w:w="5220"/>
      <w:gridCol w:w="4400"/>
    </w:tblGrid>
    <w:tr w:rsidR="00EE3428" w14:paraId="421A1085" w14:textId="77777777">
      <w:trPr>
        <w:trHeight w:val="245"/>
      </w:trPr>
      <w:tc>
        <w:tcPr>
          <w:tcW w:w="5220" w:type="dxa"/>
          <w:tcMar>
            <w:top w:w="0" w:type="dxa"/>
            <w:left w:w="0" w:type="dxa"/>
            <w:bottom w:w="0" w:type="dxa"/>
            <w:right w:w="0" w:type="dxa"/>
          </w:tcMar>
          <w:vAlign w:val="center"/>
        </w:tcPr>
        <w:p w14:paraId="4C403252" w14:textId="77777777" w:rsidR="00EE3428" w:rsidRDefault="00035DCC">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2024-0005</w:t>
          </w:r>
        </w:p>
      </w:tc>
      <w:tc>
        <w:tcPr>
          <w:tcW w:w="4400" w:type="dxa"/>
          <w:tcMar>
            <w:top w:w="0" w:type="dxa"/>
            <w:left w:w="0" w:type="dxa"/>
            <w:bottom w:w="0" w:type="dxa"/>
            <w:right w:w="0" w:type="dxa"/>
          </w:tcMar>
          <w:vAlign w:val="center"/>
        </w:tcPr>
        <w:p w14:paraId="55D75D10" w14:textId="77777777" w:rsidR="00EE3428" w:rsidRDefault="00035DC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1183" w14:textId="77777777" w:rsidR="00EE3428" w:rsidRDefault="00EE3428">
    <w:pPr>
      <w:spacing w:line="240" w:lineRule="exact"/>
    </w:pPr>
  </w:p>
  <w:tbl>
    <w:tblPr>
      <w:tblW w:w="0" w:type="auto"/>
      <w:tblLayout w:type="fixed"/>
      <w:tblLook w:val="04A0" w:firstRow="1" w:lastRow="0" w:firstColumn="1" w:lastColumn="0" w:noHBand="0" w:noVBand="1"/>
    </w:tblPr>
    <w:tblGrid>
      <w:gridCol w:w="5220"/>
      <w:gridCol w:w="4400"/>
    </w:tblGrid>
    <w:tr w:rsidR="00EE3428" w14:paraId="04D0E092" w14:textId="77777777">
      <w:trPr>
        <w:trHeight w:val="245"/>
      </w:trPr>
      <w:tc>
        <w:tcPr>
          <w:tcW w:w="5220" w:type="dxa"/>
          <w:tcMar>
            <w:top w:w="0" w:type="dxa"/>
            <w:left w:w="0" w:type="dxa"/>
            <w:bottom w:w="0" w:type="dxa"/>
            <w:right w:w="0" w:type="dxa"/>
          </w:tcMar>
          <w:vAlign w:val="center"/>
        </w:tcPr>
        <w:p w14:paraId="4763C44D" w14:textId="77777777" w:rsidR="00EE3428" w:rsidRDefault="00035DCC">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2024-0005</w:t>
          </w:r>
        </w:p>
      </w:tc>
      <w:tc>
        <w:tcPr>
          <w:tcW w:w="4400" w:type="dxa"/>
          <w:tcMar>
            <w:top w:w="0" w:type="dxa"/>
            <w:left w:w="0" w:type="dxa"/>
            <w:bottom w:w="0" w:type="dxa"/>
            <w:right w:w="0" w:type="dxa"/>
          </w:tcMar>
          <w:vAlign w:val="center"/>
        </w:tcPr>
        <w:p w14:paraId="596EA586" w14:textId="77777777" w:rsidR="00EE3428" w:rsidRDefault="00035DC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033D" w14:textId="77777777" w:rsidR="00EE3428" w:rsidRDefault="00EE3428">
    <w:pPr>
      <w:spacing w:line="240" w:lineRule="exact"/>
    </w:pPr>
  </w:p>
  <w:tbl>
    <w:tblPr>
      <w:tblW w:w="0" w:type="auto"/>
      <w:tblLayout w:type="fixed"/>
      <w:tblLook w:val="04A0" w:firstRow="1" w:lastRow="0" w:firstColumn="1" w:lastColumn="0" w:noHBand="0" w:noVBand="1"/>
    </w:tblPr>
    <w:tblGrid>
      <w:gridCol w:w="5220"/>
      <w:gridCol w:w="4400"/>
    </w:tblGrid>
    <w:tr w:rsidR="00EE3428" w14:paraId="0941157A" w14:textId="77777777">
      <w:trPr>
        <w:trHeight w:val="245"/>
      </w:trPr>
      <w:tc>
        <w:tcPr>
          <w:tcW w:w="5220" w:type="dxa"/>
          <w:tcMar>
            <w:top w:w="0" w:type="dxa"/>
            <w:left w:w="0" w:type="dxa"/>
            <w:bottom w:w="0" w:type="dxa"/>
            <w:right w:w="0" w:type="dxa"/>
          </w:tcMar>
          <w:vAlign w:val="center"/>
        </w:tcPr>
        <w:p w14:paraId="5751203D" w14:textId="77777777" w:rsidR="00EE3428" w:rsidRDefault="00035DCC">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2024-0005</w:t>
          </w:r>
        </w:p>
      </w:tc>
      <w:tc>
        <w:tcPr>
          <w:tcW w:w="4400" w:type="dxa"/>
          <w:tcMar>
            <w:top w:w="0" w:type="dxa"/>
            <w:left w:w="0" w:type="dxa"/>
            <w:bottom w:w="0" w:type="dxa"/>
            <w:right w:w="0" w:type="dxa"/>
          </w:tcMar>
          <w:vAlign w:val="center"/>
        </w:tcPr>
        <w:p w14:paraId="5E4E9F45" w14:textId="77777777" w:rsidR="00EE3428" w:rsidRDefault="00035DC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A50D" w14:textId="77777777" w:rsidR="00EE3428" w:rsidRDefault="00EE3428">
    <w:pPr>
      <w:spacing w:line="240" w:lineRule="exact"/>
    </w:pPr>
  </w:p>
  <w:tbl>
    <w:tblPr>
      <w:tblW w:w="0" w:type="auto"/>
      <w:tblLayout w:type="fixed"/>
      <w:tblLook w:val="04A0" w:firstRow="1" w:lastRow="0" w:firstColumn="1" w:lastColumn="0" w:noHBand="0" w:noVBand="1"/>
    </w:tblPr>
    <w:tblGrid>
      <w:gridCol w:w="5220"/>
      <w:gridCol w:w="4400"/>
    </w:tblGrid>
    <w:tr w:rsidR="00EE3428" w14:paraId="044138F3" w14:textId="77777777">
      <w:trPr>
        <w:trHeight w:val="245"/>
      </w:trPr>
      <w:tc>
        <w:tcPr>
          <w:tcW w:w="5220" w:type="dxa"/>
          <w:tcMar>
            <w:top w:w="0" w:type="dxa"/>
            <w:left w:w="0" w:type="dxa"/>
            <w:bottom w:w="0" w:type="dxa"/>
            <w:right w:w="0" w:type="dxa"/>
          </w:tcMar>
          <w:vAlign w:val="center"/>
        </w:tcPr>
        <w:p w14:paraId="70C399F8" w14:textId="77777777" w:rsidR="00EE3428" w:rsidRDefault="00035DCC">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2024-0005</w:t>
          </w:r>
        </w:p>
      </w:tc>
      <w:tc>
        <w:tcPr>
          <w:tcW w:w="4400" w:type="dxa"/>
          <w:tcMar>
            <w:top w:w="0" w:type="dxa"/>
            <w:left w:w="0" w:type="dxa"/>
            <w:bottom w:w="0" w:type="dxa"/>
            <w:right w:w="0" w:type="dxa"/>
          </w:tcMar>
          <w:vAlign w:val="center"/>
        </w:tcPr>
        <w:p w14:paraId="1AF6AC6B" w14:textId="77777777" w:rsidR="00EE3428" w:rsidRDefault="00035DC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DBE3" w14:textId="77777777" w:rsidR="004471C6" w:rsidRDefault="00035DCC">
      <w:r>
        <w:separator/>
      </w:r>
    </w:p>
  </w:footnote>
  <w:footnote w:type="continuationSeparator" w:id="0">
    <w:p w14:paraId="5385A614" w14:textId="77777777" w:rsidR="004471C6" w:rsidRDefault="0003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BBE"/>
    <w:multiLevelType w:val="hybridMultilevel"/>
    <w:tmpl w:val="C4A0E1C8"/>
    <w:lvl w:ilvl="0" w:tplc="15C8DEC4">
      <w:start w:val="1"/>
      <w:numFmt w:val="bullet"/>
      <w:lvlText w:val="-"/>
      <w:lvlJc w:val="left"/>
      <w:pPr>
        <w:ind w:left="750" w:hanging="360"/>
      </w:pPr>
      <w:rPr>
        <w:rFonts w:ascii="Calibri" w:eastAsiaTheme="minorHAnsi" w:hAnsi="Calibri" w:cs="Calibri"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 w15:restartNumberingAfterBreak="0">
    <w:nsid w:val="0C9D03A8"/>
    <w:multiLevelType w:val="hybridMultilevel"/>
    <w:tmpl w:val="E24279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825700"/>
    <w:multiLevelType w:val="multilevel"/>
    <w:tmpl w:val="1C74E6F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28"/>
    <w:rsid w:val="00035DCC"/>
    <w:rsid w:val="001565CC"/>
    <w:rsid w:val="00185C95"/>
    <w:rsid w:val="002909A1"/>
    <w:rsid w:val="003E1CD2"/>
    <w:rsid w:val="004471C6"/>
    <w:rsid w:val="004A2405"/>
    <w:rsid w:val="005640DE"/>
    <w:rsid w:val="005E2BEC"/>
    <w:rsid w:val="00811707"/>
    <w:rsid w:val="008C208C"/>
    <w:rsid w:val="009D4633"/>
    <w:rsid w:val="00C471B7"/>
    <w:rsid w:val="00C67E07"/>
    <w:rsid w:val="00EE3428"/>
    <w:rsid w:val="00F41EA1"/>
    <w:rsid w:val="00F83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5D950"/>
  <w15:docId w15:val="{A72EBD48-4ECF-41DB-8087-14F053DB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Century Gothic" w:eastAsia="Century Gothic" w:hAnsi="Century Gothic" w:cs="Century Gothic"/>
      <w:sz w:val="20"/>
    </w:rPr>
  </w:style>
  <w:style w:type="paragraph" w:customStyle="1" w:styleId="Titletable">
    <w:name w:val="Title table"/>
    <w:basedOn w:val="Normal"/>
    <w:next w:val="Normal"/>
    <w:qFormat/>
    <w:rPr>
      <w:rFonts w:ascii="Century Gothic" w:eastAsia="Century Gothic" w:hAnsi="Century Gothic" w:cs="Century Gothic"/>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Century Gothic" w:eastAsia="Century Gothic" w:hAnsi="Century Gothic" w:cs="Century Gothic"/>
      <w:sz w:val="18"/>
    </w:rPr>
  </w:style>
  <w:style w:type="paragraph" w:customStyle="1" w:styleId="ParagrapheIndent2">
    <w:name w:val="ParagrapheIndent2"/>
    <w:basedOn w:val="Normal"/>
    <w:next w:val="Normal"/>
    <w:qFormat/>
    <w:rPr>
      <w:rFonts w:ascii="Century Gothic" w:eastAsia="Century Gothic" w:hAnsi="Century Gothic" w:cs="Century Gothic"/>
      <w:sz w:val="20"/>
    </w:rPr>
  </w:style>
  <w:style w:type="paragraph" w:customStyle="1" w:styleId="style1">
    <w:name w:val="style1"/>
    <w:basedOn w:val="Normal"/>
    <w:next w:val="Normal"/>
    <w:qFormat/>
    <w:rPr>
      <w:rFonts w:ascii="Century Gothic" w:eastAsia="Century Gothic" w:hAnsi="Century Gothic" w:cs="Century Gothic"/>
      <w:sz w:val="20"/>
    </w:rPr>
  </w:style>
  <w:style w:type="paragraph" w:customStyle="1" w:styleId="Valign">
    <w:name w:val="Valign"/>
    <w:basedOn w:val="Normal"/>
    <w:next w:val="Normal"/>
    <w:qFormat/>
    <w:rPr>
      <w:rFonts w:ascii="Century Gothic" w:eastAsia="Century Gothic" w:hAnsi="Century Gothic" w:cs="Century Gothic"/>
      <w:sz w:val="20"/>
    </w:rPr>
  </w:style>
  <w:style w:type="paragraph" w:customStyle="1" w:styleId="tableCF">
    <w:name w:val="table CF"/>
    <w:basedOn w:val="Normal"/>
    <w:next w:val="Normal"/>
    <w:qFormat/>
    <w:rPr>
      <w:rFonts w:ascii="Century Gothic" w:eastAsia="Century Gothic" w:hAnsi="Century Gothic" w:cs="Century Gothic"/>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Century Gothic" w:eastAsia="Century Gothic" w:hAnsi="Century Gothic" w:cs="Century Gothic"/>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character" w:styleId="Lienhypertextesuivivisit">
    <w:name w:val="FollowedHyperlink"/>
    <w:basedOn w:val="Policepardfaut"/>
    <w:semiHidden/>
    <w:unhideWhenUsed/>
    <w:rsid w:val="002909A1"/>
    <w:rPr>
      <w:color w:val="800080" w:themeColor="followedHyperlink"/>
      <w:u w:val="single"/>
    </w:rPr>
  </w:style>
  <w:style w:type="paragraph" w:styleId="Paragraphedeliste">
    <w:name w:val="List Paragraph"/>
    <w:basedOn w:val="Normal"/>
    <w:uiPriority w:val="34"/>
    <w:qFormat/>
    <w:rsid w:val="009D4633"/>
    <w:pPr>
      <w:ind w:left="720"/>
      <w:contextualSpacing/>
    </w:pPr>
  </w:style>
  <w:style w:type="table" w:styleId="Grilledutableau">
    <w:name w:val="Table Grid"/>
    <w:basedOn w:val="TableauNormal"/>
    <w:uiPriority w:val="39"/>
    <w:rsid w:val="001565CC"/>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3678</Words>
  <Characters>22119</Characters>
  <Application>Microsoft Office Word</Application>
  <DocSecurity>0</DocSecurity>
  <Lines>184</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DFCL -   Finances -   CdG - Achats - Katell HENAFF</dc:creator>
  <cp:lastModifiedBy>DFCL -   Finances -   CdG - Achats - Katell HENAFF</cp:lastModifiedBy>
  <cp:revision>8</cp:revision>
  <cp:lastPrinted>2024-12-27T08:20:00Z</cp:lastPrinted>
  <dcterms:created xsi:type="dcterms:W3CDTF">2025-01-07T11:10:00Z</dcterms:created>
  <dcterms:modified xsi:type="dcterms:W3CDTF">2025-01-28T10:35:00Z</dcterms:modified>
</cp:coreProperties>
</file>