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w:t>
      </w:r>
      <w:r w:rsidR="005B65D6">
        <w:rPr>
          <w:rFonts w:ascii="Arial" w:hAnsi="Arial" w:cs="Arial"/>
          <w:b/>
        </w:rPr>
        <w:t>13</w:t>
      </w:r>
      <w:r w:rsidR="00D643F6">
        <w:rPr>
          <w:rFonts w:ascii="Arial" w:hAnsi="Arial" w:cs="Arial"/>
          <w:b/>
        </w:rPr>
        <w:t>5</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B65D6">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sèche-ling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sèche-linge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5B65D6">
        <w:rPr>
          <w:rFonts w:ascii="Arial" w:hAnsi="Arial" w:cs="Arial"/>
          <w:b/>
          <w:szCs w:val="22"/>
        </w:rPr>
        <w:fldChar w:fldCharType="begin">
          <w:ffData>
            <w:name w:val="Texte1"/>
            <w:enabled/>
            <w:calcOnExit w:val="0"/>
            <w:textInput>
              <w:default w:val="05/02/2025"/>
            </w:textInput>
          </w:ffData>
        </w:fldChar>
      </w:r>
      <w:bookmarkStart w:id="1" w:name="Texte1"/>
      <w:r w:rsidR="005B65D6">
        <w:rPr>
          <w:rFonts w:ascii="Arial" w:hAnsi="Arial" w:cs="Arial"/>
          <w:b/>
          <w:szCs w:val="22"/>
        </w:rPr>
        <w:instrText xml:space="preserve"> FORMTEXT </w:instrText>
      </w:r>
      <w:r w:rsidR="005B65D6">
        <w:rPr>
          <w:rFonts w:ascii="Arial" w:hAnsi="Arial" w:cs="Arial"/>
          <w:b/>
          <w:szCs w:val="22"/>
        </w:rPr>
      </w:r>
      <w:r w:rsidR="005B65D6">
        <w:rPr>
          <w:rFonts w:ascii="Arial" w:hAnsi="Arial" w:cs="Arial"/>
          <w:b/>
          <w:szCs w:val="22"/>
        </w:rPr>
        <w:fldChar w:fldCharType="separate"/>
      </w:r>
      <w:r w:rsidR="005B65D6">
        <w:rPr>
          <w:rFonts w:ascii="Arial" w:hAnsi="Arial" w:cs="Arial"/>
          <w:b/>
          <w:noProof/>
          <w:szCs w:val="22"/>
        </w:rPr>
        <w:t>05/02/2025</w:t>
      </w:r>
      <w:r w:rsidR="005B65D6">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5B65D6">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5B65D6">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5B65D6">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5B65D6">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5B65D6">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B65D6">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B65D6">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B65D6">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5B65D6">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B65D6">
        <w:rPr>
          <w:rFonts w:ascii="Arial" w:hAnsi="Arial" w:cs="Arial"/>
          <w:szCs w:val="22"/>
        </w:rPr>
        <w:fldChar w:fldCharType="begin">
          <w:ffData>
            <w:name w:val="Texte4"/>
            <w:enabled/>
            <w:calcOnExit w:val="0"/>
            <w:textInput>
              <w:default w:val="l'approvisionnement de sèche-linge au profit de la Marine Nationale"/>
            </w:textInput>
          </w:ffData>
        </w:fldChar>
      </w:r>
      <w:bookmarkStart w:id="8" w:name="Texte4"/>
      <w:r w:rsidR="005B65D6">
        <w:rPr>
          <w:rFonts w:ascii="Arial" w:hAnsi="Arial" w:cs="Arial"/>
          <w:szCs w:val="22"/>
        </w:rPr>
        <w:instrText xml:space="preserve"> FORMTEXT </w:instrText>
      </w:r>
      <w:r w:rsidR="005B65D6">
        <w:rPr>
          <w:rFonts w:ascii="Arial" w:hAnsi="Arial" w:cs="Arial"/>
          <w:szCs w:val="22"/>
        </w:rPr>
      </w:r>
      <w:r w:rsidR="005B65D6">
        <w:rPr>
          <w:rFonts w:ascii="Arial" w:hAnsi="Arial" w:cs="Arial"/>
          <w:szCs w:val="22"/>
        </w:rPr>
        <w:fldChar w:fldCharType="separate"/>
      </w:r>
      <w:r w:rsidR="005B65D6">
        <w:rPr>
          <w:rFonts w:ascii="Arial" w:hAnsi="Arial" w:cs="Arial"/>
          <w:noProof/>
          <w:szCs w:val="22"/>
        </w:rPr>
        <w:t>l'approvisionnement de sèche-linge au profit de la Marine Nationale</w:t>
      </w:r>
      <w:r w:rsidR="005B65D6">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5"/>
    </w:p>
    <w:p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6"/>
    <w:bookmarkEnd w:id="17"/>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5B65D6"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BC414B" w:rsidP="00B1130A">
      <w:pPr>
        <w:numPr>
          <w:ilvl w:val="0"/>
          <w:numId w:val="12"/>
        </w:numPr>
        <w:spacing w:before="0" w:after="0"/>
        <w:ind w:left="714" w:firstLine="137"/>
        <w:jc w:val="left"/>
        <w:rPr>
          <w:rFonts w:ascii="Arial" w:hAnsi="Arial" w:cs="Arial"/>
          <w:szCs w:val="22"/>
        </w:rPr>
      </w:pPr>
      <w:r>
        <w:rPr>
          <w:rFonts w:ascii="Arial" w:hAnsi="Arial" w:cs="Arial"/>
          <w:szCs w:val="22"/>
        </w:rPr>
        <w:t xml:space="preserve">Prix : </w:t>
      </w:r>
      <w:r w:rsidR="005B65D6">
        <w:rPr>
          <w:rFonts w:ascii="Arial" w:hAnsi="Arial" w:cs="Arial"/>
          <w:szCs w:val="22"/>
        </w:rPr>
        <w:t>6</w:t>
      </w:r>
      <w:r w:rsidR="00B1130A" w:rsidRPr="00917C92">
        <w:rPr>
          <w:rFonts w:ascii="Arial" w:hAnsi="Arial" w:cs="Arial"/>
          <w:szCs w:val="22"/>
        </w:rPr>
        <w:t>0 %</w:t>
      </w:r>
    </w:p>
    <w:p w:rsidR="00B1130A" w:rsidRPr="00917C92" w:rsidRDefault="005B65D6"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bookmarkStart w:id="38" w:name="_GoBack"/>
      <w:bookmarkEnd w:id="38"/>
      <w:r w:rsidR="00B1130A" w:rsidRPr="00917C92">
        <w:rPr>
          <w:rFonts w:ascii="Arial" w:hAnsi="Arial" w:cs="Arial"/>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6"/>
      <w:bookmarkEnd w:id="37"/>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76" w:rsidRDefault="000A3B76">
      <w:r>
        <w:separator/>
      </w:r>
    </w:p>
  </w:endnote>
  <w:endnote w:type="continuationSeparator" w:id="0">
    <w:p w:rsidR="000A3B76" w:rsidRDefault="000A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5B65D6">
      <w:rPr>
        <w:rStyle w:val="Numrodepage"/>
        <w:rFonts w:ascii="Arial" w:hAnsi="Arial" w:cs="Arial"/>
        <w:sz w:val="14"/>
        <w:szCs w:val="14"/>
      </w:rPr>
      <w:t>065</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5B65D6">
      <w:rPr>
        <w:rStyle w:val="Numrodepage"/>
        <w:rFonts w:ascii="Arial" w:hAnsi="Arial" w:cs="Arial"/>
        <w:noProof/>
        <w:sz w:val="14"/>
        <w:szCs w:val="14"/>
      </w:rPr>
      <w:t>7</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5B65D6">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76" w:rsidRDefault="000A3B76">
      <w:pPr>
        <w:pStyle w:val="Pieddepage"/>
      </w:pPr>
    </w:p>
  </w:footnote>
  <w:footnote w:type="continuationSeparator" w:id="0">
    <w:p w:rsidR="000A3B76" w:rsidRDefault="000A3B76">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C4699"/>
    <w:rsid w:val="001C4893"/>
    <w:rsid w:val="001C5FC4"/>
    <w:rsid w:val="001D3ED7"/>
    <w:rsid w:val="001E4DDC"/>
    <w:rsid w:val="001F2419"/>
    <w:rsid w:val="001F5CC5"/>
    <w:rsid w:val="0020203D"/>
    <w:rsid w:val="00203E2E"/>
    <w:rsid w:val="00204B8C"/>
    <w:rsid w:val="0021012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1D66"/>
    <w:rsid w:val="006E2673"/>
    <w:rsid w:val="006E7E60"/>
    <w:rsid w:val="006F729F"/>
    <w:rsid w:val="006F7DB6"/>
    <w:rsid w:val="00701799"/>
    <w:rsid w:val="0070759D"/>
    <w:rsid w:val="00707E4A"/>
    <w:rsid w:val="00723A4D"/>
    <w:rsid w:val="0072675C"/>
    <w:rsid w:val="007357E4"/>
    <w:rsid w:val="007628F4"/>
    <w:rsid w:val="007701BD"/>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45927BA4"/>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AD3B1-F4DC-493D-9818-91CAC368E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149</TotalTime>
  <Pages>8</Pages>
  <Words>2498</Words>
  <Characters>13740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16206</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70</cp:revision>
  <cp:lastPrinted>2023-12-21T09:12:00Z</cp:lastPrinted>
  <dcterms:created xsi:type="dcterms:W3CDTF">2022-11-10T09:49:00Z</dcterms:created>
  <dcterms:modified xsi:type="dcterms:W3CDTF">2025-01-27T13:47:00Z</dcterms:modified>
</cp:coreProperties>
</file>