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03" w:rsidRPr="00A83BF7" w:rsidRDefault="00F1206A" w:rsidP="008A2E03">
      <w:pPr>
        <w:spacing w:before="480" w:after="240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</w:rPr>
      </w:pPr>
      <w:r>
        <w:rPr>
          <w:noProof/>
          <w:lang w:eastAsia="fr-FR"/>
        </w:rPr>
        <w:drawing>
          <wp:inline distT="0" distB="0" distL="0" distR="0">
            <wp:extent cx="2103120" cy="822960"/>
            <wp:effectExtent l="0" t="0" r="0" b="0"/>
            <wp:docPr id="2" name="Image 2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F497D"/>
          <w:lang w:eastAsia="fr-FR"/>
        </w:rPr>
        <w:t xml:space="preserve"> </w:t>
      </w:r>
    </w:p>
    <w:p w:rsidR="0069795A" w:rsidRDefault="0069795A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</w:p>
    <w:p w:rsidR="008A2E03" w:rsidRPr="00B203CD" w:rsidRDefault="008A2E03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  <w:r>
        <w:rPr>
          <w:rFonts w:ascii="Trebuchet MS" w:hAnsi="Trebuchet MS"/>
          <w:b/>
          <w:bCs/>
          <w:sz w:val="44"/>
          <w:szCs w:val="40"/>
        </w:rPr>
        <w:t>Union Immobilière des Organismes de Sécurité sociale de la Haute-Garonne</w:t>
      </w:r>
    </w:p>
    <w:p w:rsidR="00E06EC8" w:rsidRPr="00E06EC8" w:rsidRDefault="00E06EC8" w:rsidP="00E06EC8">
      <w:pPr>
        <w:spacing w:before="480" w:after="240" w:line="240" w:lineRule="auto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  <w:lang w:eastAsia="fr-FR"/>
        </w:rPr>
      </w:pPr>
    </w:p>
    <w:p w:rsidR="001334A2" w:rsidRDefault="001334A2"/>
    <w:p w:rsidR="00E06EC8" w:rsidRPr="00BA33FC" w:rsidRDefault="0079422B" w:rsidP="00E06EC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caps/>
          <w:sz w:val="40"/>
          <w:szCs w:val="24"/>
          <w:lang w:eastAsia="fr-FR"/>
        </w:rPr>
      </w:pPr>
      <w:r w:rsidRPr="0079422B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MAINTENANCE DES PORTES, PORTAILS ET BARRIERES DE L’UIOSS 31</w:t>
      </w:r>
    </w:p>
    <w:p w:rsidR="001334A2" w:rsidRDefault="001334A2" w:rsidP="001334A2"/>
    <w:p w:rsidR="001334A2" w:rsidRPr="001334A2" w:rsidRDefault="004011BA" w:rsidP="00F77C88">
      <w:pPr>
        <w:spacing w:after="0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CADRE DE </w:t>
      </w:r>
      <w:r w:rsidR="001334A2" w:rsidRPr="001334A2">
        <w:rPr>
          <w:rFonts w:ascii="Trebuchet MS" w:hAnsi="Trebuchet MS"/>
          <w:b/>
          <w:sz w:val="28"/>
        </w:rPr>
        <w:t>MEMOIRE JUSTIFICATIF DE l’OFFRE</w:t>
      </w:r>
    </w:p>
    <w:p w:rsidR="00F77C88" w:rsidRDefault="00F77C88"/>
    <w:p w:rsidR="00F17D74" w:rsidRDefault="00F17D74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1334A2" w:rsidRDefault="001334A2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1334A2">
        <w:rPr>
          <w:b/>
        </w:rPr>
        <w:t> :</w:t>
      </w:r>
      <w:r>
        <w:t xml:space="preserve"> 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21006" w:rsidRDefault="00921006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Conformément au règlement de </w:t>
      </w:r>
      <w:r w:rsidR="008723ED">
        <w:rPr>
          <w:lang w:eastAsia="fr-FR"/>
        </w:rPr>
        <w:t xml:space="preserve">la </w:t>
      </w:r>
      <w:r w:rsidRPr="00B80F5D">
        <w:rPr>
          <w:lang w:eastAsia="fr-FR"/>
        </w:rPr>
        <w:t>consultation, le présent mémoire justificatif doit impérativement être renseigné par chaque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par </w:t>
      </w:r>
      <w:r w:rsidR="0069795A">
        <w:rPr>
          <w:lang w:eastAsia="fr-FR"/>
        </w:rPr>
        <w:t>l’UIOSS</w:t>
      </w:r>
      <w:r w:rsidRPr="00B80F5D">
        <w:rPr>
          <w:lang w:eastAsia="fr-FR"/>
        </w:rPr>
        <w:t xml:space="preserve"> pour analyser </w:t>
      </w:r>
      <w:r w:rsidR="00E06EC8">
        <w:rPr>
          <w:lang w:eastAsia="fr-FR"/>
        </w:rPr>
        <w:t>l’offre du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</w:t>
      </w:r>
      <w:r w:rsidR="00E06EC8">
        <w:rPr>
          <w:lang w:eastAsia="fr-FR"/>
        </w:rPr>
        <w:t>pouvoir Adjudicateur</w:t>
      </w:r>
      <w:r w:rsidR="008723ED" w:rsidRPr="00C54038">
        <w:rPr>
          <w:lang w:eastAsia="fr-FR"/>
        </w:rPr>
        <w:t xml:space="preserve">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B80F5D" w:rsidRPr="00C54038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b/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B80F5D" w:rsidRPr="00C54038" w:rsidRDefault="00B80F5D" w:rsidP="00B80F5D">
      <w:pPr>
        <w:pStyle w:val="Sansinterligne"/>
        <w:jc w:val="both"/>
        <w:rPr>
          <w:b/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b/>
          <w:lang w:eastAsia="fr-FR"/>
        </w:rPr>
        <w:br w:type="page"/>
      </w: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:rsidR="009F3281" w:rsidRDefault="009F3281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INTERLOCUTEUR DÉDIÉ AU MARCHÉ :</w:t>
      </w: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Nom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Mail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Numéro de téléphone : …… ……</w:t>
      </w:r>
      <w:proofErr w:type="gramStart"/>
      <w:r w:rsidRPr="00B467CB">
        <w:rPr>
          <w:rFonts w:asciiTheme="minorHAnsi" w:eastAsia="Times New Roman" w:hAnsiTheme="minorHAnsi" w:cstheme="minorHAnsi"/>
          <w:b/>
          <w:lang w:eastAsia="fr-FR"/>
        </w:rPr>
        <w:t xml:space="preserve"> ….</w:t>
      </w:r>
      <w:proofErr w:type="gramEnd"/>
      <w:r w:rsidRPr="00B467CB">
        <w:rPr>
          <w:rFonts w:asciiTheme="minorHAnsi" w:eastAsia="Times New Roman" w:hAnsiTheme="minorHAnsi" w:cstheme="minorHAnsi"/>
          <w:b/>
          <w:lang w:eastAsia="fr-FR"/>
        </w:rPr>
        <w:t>.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  <w:b/>
        </w:rPr>
        <w:t>Le candidat est-il une micro, une petite ou une moyenne entreprise</w:t>
      </w:r>
      <w:r w:rsidRPr="00B467CB">
        <w:rPr>
          <w:rFonts w:asciiTheme="minorHAnsi" w:hAnsiTheme="minorHAnsi" w:cstheme="minorHAnsi"/>
        </w:rPr>
        <w:t xml:space="preserve"> au sens de la </w:t>
      </w:r>
      <w:hyperlink r:id="rId10" w:history="1">
        <w:r w:rsidRPr="00B467CB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B467CB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1" w:history="1">
        <w:r w:rsidRPr="00B467CB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B467CB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2" w:history="1">
        <w:r w:rsidRPr="00B467CB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B467CB">
        <w:rPr>
          <w:rFonts w:asciiTheme="minorHAnsi" w:hAnsiTheme="minorHAnsi" w:cstheme="minorHAnsi"/>
        </w:rPr>
        <w:t xml:space="preserve"> et </w:t>
      </w:r>
      <w:hyperlink r:id="rId13" w:history="1">
        <w:r w:rsidRPr="00B467CB">
          <w:rPr>
            <w:rStyle w:val="Lienhypertexte"/>
            <w:rFonts w:asciiTheme="minorHAnsi" w:hAnsiTheme="minorHAnsi" w:cstheme="minorHAnsi"/>
          </w:rPr>
          <w:t>R. 2351-12</w:t>
        </w:r>
      </w:hyperlink>
      <w:r w:rsidRPr="00B467CB">
        <w:rPr>
          <w:rFonts w:asciiTheme="minorHAnsi" w:hAnsiTheme="minorHAnsi" w:cstheme="minorHAnsi"/>
        </w:rPr>
        <w:t xml:space="preserve"> du code de la commande publique) ?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</w:p>
    <w:p w:rsidR="009F3281" w:rsidRPr="00B467CB" w:rsidRDefault="009F3281" w:rsidP="009F3281">
      <w:pPr>
        <w:spacing w:after="0"/>
        <w:ind w:left="1428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355106">
        <w:rPr>
          <w:rFonts w:asciiTheme="minorHAnsi" w:hAnsiTheme="minorHAnsi" w:cstheme="minorHAnsi"/>
        </w:rPr>
      </w:r>
      <w:r w:rsidR="00355106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Oui</w:t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355106">
        <w:rPr>
          <w:rFonts w:asciiTheme="minorHAnsi" w:hAnsiTheme="minorHAnsi" w:cstheme="minorHAnsi"/>
        </w:rPr>
      </w:r>
      <w:r w:rsidR="00355106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Non.</w:t>
      </w:r>
    </w:p>
    <w:p w:rsidR="009F3281" w:rsidRPr="00B467CB" w:rsidRDefault="009F3281" w:rsidP="00F133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8723ED" w:rsidRPr="00C54038" w:rsidRDefault="008723ED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B92505" w:rsidRDefault="00D41495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B92505">
        <w:rPr>
          <w:rFonts w:eastAsia="Times New Roman" w:cs="Arial"/>
          <w:b/>
          <w:sz w:val="28"/>
          <w:u w:val="single"/>
          <w:lang w:eastAsia="fr-FR"/>
        </w:rPr>
        <w:t xml:space="preserve">VALEUR TECHNIQUE </w:t>
      </w:r>
      <w:r w:rsidRPr="0079422B">
        <w:rPr>
          <w:rFonts w:eastAsia="Times New Roman" w:cs="Arial"/>
          <w:b/>
          <w:sz w:val="28"/>
          <w:u w:val="single"/>
          <w:lang w:eastAsia="fr-FR"/>
        </w:rPr>
        <w:t>(</w:t>
      </w:r>
      <w:r w:rsidR="006F27CC">
        <w:rPr>
          <w:rFonts w:eastAsia="Times New Roman" w:cs="Arial"/>
          <w:b/>
          <w:sz w:val="28"/>
          <w:u w:val="single"/>
          <w:lang w:eastAsia="fr-FR"/>
        </w:rPr>
        <w:t>6</w:t>
      </w:r>
      <w:r w:rsidR="0079422B" w:rsidRPr="0079422B">
        <w:rPr>
          <w:rFonts w:eastAsia="Times New Roman" w:cs="Arial"/>
          <w:b/>
          <w:sz w:val="28"/>
          <w:u w:val="single"/>
          <w:lang w:eastAsia="fr-FR"/>
        </w:rPr>
        <w:t>0</w:t>
      </w:r>
      <w:r w:rsidR="00B80F5D" w:rsidRPr="00B92505">
        <w:rPr>
          <w:rFonts w:eastAsia="Times New Roman" w:cs="Arial"/>
          <w:b/>
          <w:sz w:val="28"/>
          <w:u w:val="single"/>
          <w:lang w:eastAsia="fr-FR"/>
        </w:rPr>
        <w:t> %)</w:t>
      </w:r>
      <w:r w:rsidR="00B80F5D" w:rsidRPr="00B92505">
        <w:rPr>
          <w:rFonts w:eastAsia="Times New Roman" w:cs="Arial"/>
          <w:b/>
          <w:sz w:val="28"/>
          <w:lang w:eastAsia="fr-FR"/>
        </w:rPr>
        <w:t> :</w:t>
      </w:r>
    </w:p>
    <w:p w:rsidR="0079422B" w:rsidRPr="00A21477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9422B" w:rsidRPr="006F27CC" w:rsidRDefault="0079422B" w:rsidP="006F27CC">
      <w:pPr>
        <w:pStyle w:val="Paragraphedeliste"/>
        <w:numPr>
          <w:ilvl w:val="0"/>
          <w:numId w:val="22"/>
        </w:numPr>
        <w:spacing w:after="0" w:line="240" w:lineRule="auto"/>
        <w:jc w:val="both"/>
        <w:rPr>
          <w:rFonts w:eastAsia="Times New Roman" w:cs="Arial"/>
          <w:b/>
          <w:caps/>
          <w:lang w:eastAsia="fr-FR"/>
        </w:rPr>
      </w:pPr>
      <w:r w:rsidRPr="006F27CC">
        <w:rPr>
          <w:rFonts w:eastAsia="Times New Roman" w:cs="Arial"/>
          <w:b/>
          <w:caps/>
          <w:lang w:eastAsia="fr-FR"/>
        </w:rPr>
        <w:t>DELAIS D’INTERVENTION ET DE REMISE EN ETAT :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 w:rsidR="006B3505">
        <w:rPr>
          <w:rFonts w:eastAsia="Times New Roman" w:cs="Arial"/>
          <w:b/>
          <w:caps/>
          <w:lang w:eastAsia="fr-FR"/>
        </w:rPr>
        <w:t>3</w:t>
      </w:r>
      <w:r w:rsidRPr="006F27CC">
        <w:rPr>
          <w:rFonts w:eastAsia="Times New Roman" w:cs="Arial"/>
          <w:b/>
          <w:caps/>
          <w:lang w:eastAsia="fr-FR"/>
        </w:rPr>
        <w:t>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5A4EA4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="005A4EA4">
        <w:rPr>
          <w:rFonts w:eastAsia="Times New Roman" w:cs="Arial"/>
          <w:lang w:eastAsia="fr-FR"/>
        </w:rPr>
        <w:t>peut indiquer dans</w:t>
      </w:r>
      <w:r>
        <w:rPr>
          <w:rFonts w:eastAsia="Times New Roman" w:cs="Arial"/>
          <w:lang w:eastAsia="fr-FR"/>
        </w:rPr>
        <w:t xml:space="preserve"> le tableau, ci-après, les délais d’intervention qu’il </w:t>
      </w:r>
      <w:r w:rsidR="009E464F">
        <w:rPr>
          <w:rFonts w:eastAsia="Times New Roman" w:cs="Arial"/>
          <w:lang w:eastAsia="fr-FR"/>
        </w:rPr>
        <w:t xml:space="preserve">s’engage à respecter </w:t>
      </w:r>
      <w:r>
        <w:rPr>
          <w:rFonts w:eastAsia="Times New Roman" w:cs="Arial"/>
          <w:lang w:eastAsia="fr-FR"/>
        </w:rPr>
        <w:t xml:space="preserve">lors de l’exécution de l’accord-cadre. </w:t>
      </w:r>
      <w:r w:rsidR="005A4EA4">
        <w:rPr>
          <w:rFonts w:eastAsia="Times New Roman" w:cs="Arial"/>
          <w:lang w:eastAsia="fr-FR"/>
        </w:rPr>
        <w:t>Le candidat peut proposer des délais plus courts que ceux du CCTP, mais en aucun cas des délais plus long, sinon son offre sera déclarée irrégulière.</w:t>
      </w:r>
    </w:p>
    <w:p w:rsidR="005A4EA4" w:rsidRDefault="005A4EA4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Si le candidat ne complète pas le tableau, il s’engage, en toute hypothèse, à respecter les délais imposés </w:t>
      </w:r>
      <w:r w:rsidR="00723B7C">
        <w:rPr>
          <w:rFonts w:eastAsia="Times New Roman" w:cs="Arial"/>
          <w:lang w:eastAsia="fr-FR"/>
        </w:rPr>
        <w:t>par</w:t>
      </w:r>
      <w:r>
        <w:rPr>
          <w:rFonts w:eastAsia="Times New Roman" w:cs="Arial"/>
          <w:lang w:eastAsia="fr-FR"/>
        </w:rPr>
        <w:t xml:space="preserve"> le CCTP.</w:t>
      </w:r>
    </w:p>
    <w:p w:rsidR="0079422B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9422B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79422B" w:rsidRPr="00C54038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9422B" w:rsidRPr="00580F02" w:rsidTr="000E1DB6">
        <w:trPr>
          <w:trHeight w:val="370"/>
        </w:trPr>
        <w:tc>
          <w:tcPr>
            <w:tcW w:w="9062" w:type="dxa"/>
            <w:gridSpan w:val="2"/>
            <w:shd w:val="clear" w:color="auto" w:fill="D9D9D9"/>
            <w:vAlign w:val="center"/>
          </w:tcPr>
          <w:p w:rsidR="0079422B" w:rsidRPr="00580F02" w:rsidRDefault="0079422B" w:rsidP="000E1DB6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Délais d’intervention </w:t>
            </w:r>
            <w:r w:rsidR="004472F5">
              <w:rPr>
                <w:rFonts w:eastAsia="Times New Roman" w:cs="Arial"/>
                <w:b/>
                <w:lang w:eastAsia="fr-FR"/>
              </w:rPr>
              <w:t>maintenance cor</w:t>
            </w:r>
            <w:r w:rsidR="000B07F0">
              <w:rPr>
                <w:rFonts w:eastAsia="Times New Roman" w:cs="Arial"/>
                <w:b/>
                <w:lang w:eastAsia="fr-FR"/>
              </w:rPr>
              <w:t>rective (CCTP, article II.1.2)</w:t>
            </w:r>
          </w:p>
        </w:tc>
      </w:tr>
      <w:tr w:rsidR="0079422B" w:rsidRPr="00580F02" w:rsidTr="000E1DB6">
        <w:trPr>
          <w:trHeight w:val="560"/>
        </w:trPr>
        <w:tc>
          <w:tcPr>
            <w:tcW w:w="4531" w:type="dxa"/>
            <w:shd w:val="clear" w:color="auto" w:fill="auto"/>
            <w:vAlign w:val="center"/>
          </w:tcPr>
          <w:p w:rsidR="0079422B" w:rsidRPr="00580F02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Demandes du CCTP</w:t>
            </w:r>
          </w:p>
        </w:tc>
        <w:tc>
          <w:tcPr>
            <w:tcW w:w="4531" w:type="dxa"/>
            <w:shd w:val="clear" w:color="auto" w:fill="FFFFFF"/>
            <w:vAlign w:val="center"/>
          </w:tcPr>
          <w:p w:rsidR="0079422B" w:rsidRPr="00B96FF1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cs="Calibri"/>
                <w:b/>
              </w:rPr>
              <w:t>Délais proposé</w:t>
            </w:r>
            <w:r w:rsidR="004472F5">
              <w:rPr>
                <w:rFonts w:cs="Calibri"/>
                <w:b/>
              </w:rPr>
              <w:t>s</w:t>
            </w:r>
          </w:p>
        </w:tc>
      </w:tr>
      <w:tr w:rsidR="0079422B" w:rsidRPr="00580F02" w:rsidTr="000E1DB6">
        <w:trPr>
          <w:trHeight w:val="845"/>
        </w:trPr>
        <w:tc>
          <w:tcPr>
            <w:tcW w:w="4531" w:type="dxa"/>
            <w:shd w:val="clear" w:color="auto" w:fill="D9D9D9"/>
            <w:vAlign w:val="center"/>
          </w:tcPr>
          <w:p w:rsidR="007B0E42" w:rsidRDefault="0079422B" w:rsidP="00FC4C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732BE6">
              <w:rPr>
                <w:rFonts w:eastAsia="Times New Roman" w:cs="Calibri"/>
                <w:color w:val="000000"/>
                <w:lang w:eastAsia="fr-FR"/>
              </w:rPr>
              <w:t>D</w:t>
            </w:r>
            <w:r w:rsidR="007B0E42">
              <w:rPr>
                <w:rFonts w:eastAsia="Times New Roman" w:cs="Calibri"/>
                <w:color w:val="000000"/>
                <w:lang w:eastAsia="fr-FR"/>
              </w:rPr>
              <w:t>élai d’intervention en cas de dysfonctionnement</w:t>
            </w:r>
          </w:p>
          <w:p w:rsidR="0079422B" w:rsidRPr="00732BE6" w:rsidRDefault="0079422B" w:rsidP="00FC4CF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732BE6">
              <w:rPr>
                <w:rFonts w:eastAsia="Times New Roman" w:cs="Calibri"/>
                <w:color w:val="000000"/>
                <w:lang w:eastAsia="fr-FR"/>
              </w:rPr>
              <w:t>(maximum 8 heures)</w:t>
            </w:r>
          </w:p>
        </w:tc>
        <w:tc>
          <w:tcPr>
            <w:tcW w:w="4531" w:type="dxa"/>
            <w:shd w:val="clear" w:color="auto" w:fill="D9D9D9"/>
            <w:vAlign w:val="center"/>
          </w:tcPr>
          <w:p w:rsidR="0079422B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9422B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Pr="00580F02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9422B" w:rsidRPr="00580F02" w:rsidTr="000E1DB6">
        <w:trPr>
          <w:trHeight w:val="522"/>
        </w:trPr>
        <w:tc>
          <w:tcPr>
            <w:tcW w:w="4531" w:type="dxa"/>
            <w:shd w:val="clear" w:color="auto" w:fill="auto"/>
            <w:vAlign w:val="center"/>
          </w:tcPr>
          <w:p w:rsidR="007B0E42" w:rsidRDefault="0079422B" w:rsidP="00DD6E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732BE6">
              <w:rPr>
                <w:rFonts w:eastAsia="Times New Roman" w:cs="Calibri"/>
                <w:color w:val="000000"/>
                <w:lang w:eastAsia="fr-FR"/>
              </w:rPr>
              <w:t xml:space="preserve">Délai </w:t>
            </w:r>
            <w:r w:rsidR="007B0E42">
              <w:rPr>
                <w:rFonts w:eastAsia="Times New Roman" w:cs="Calibri"/>
                <w:color w:val="000000"/>
                <w:lang w:eastAsia="fr-FR"/>
              </w:rPr>
              <w:t>d’intervention en cas d’urgence</w:t>
            </w:r>
          </w:p>
          <w:p w:rsidR="0079422B" w:rsidRPr="00732BE6" w:rsidRDefault="0079422B" w:rsidP="00DD6E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732BE6">
              <w:rPr>
                <w:rFonts w:eastAsia="Times New Roman" w:cs="Calibri"/>
                <w:color w:val="000000"/>
                <w:lang w:eastAsia="fr-FR"/>
              </w:rPr>
              <w:t>(maximum 2 heure</w:t>
            </w:r>
            <w:r w:rsidR="004472F5">
              <w:rPr>
                <w:rFonts w:eastAsia="Times New Roman" w:cs="Calibri"/>
                <w:color w:val="000000"/>
                <w:lang w:eastAsia="fr-FR"/>
              </w:rPr>
              <w:t>s</w:t>
            </w:r>
            <w:r w:rsidRPr="00732BE6">
              <w:rPr>
                <w:rFonts w:eastAsia="Times New Roman" w:cs="Calibri"/>
                <w:color w:val="000000"/>
                <w:lang w:eastAsia="fr-FR"/>
              </w:rPr>
              <w:t>)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79422B" w:rsidRPr="00926E15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Pr="00580F02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9422B" w:rsidRPr="00580F02" w:rsidTr="000E1DB6">
        <w:trPr>
          <w:trHeight w:val="522"/>
        </w:trPr>
        <w:tc>
          <w:tcPr>
            <w:tcW w:w="4531" w:type="dxa"/>
            <w:shd w:val="clear" w:color="auto" w:fill="D9D9D9"/>
            <w:vAlign w:val="center"/>
          </w:tcPr>
          <w:p w:rsidR="000E1DB6" w:rsidRDefault="0079422B" w:rsidP="00DD6E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11241F">
              <w:rPr>
                <w:rFonts w:eastAsia="Times New Roman" w:cs="Calibri"/>
                <w:color w:val="000000"/>
                <w:lang w:eastAsia="fr-FR"/>
              </w:rPr>
              <w:t xml:space="preserve">Délai de remise </w:t>
            </w:r>
            <w:r>
              <w:rPr>
                <w:rFonts w:eastAsia="Times New Roman" w:cs="Calibri"/>
                <w:color w:val="000000"/>
                <w:lang w:eastAsia="fr-FR"/>
              </w:rPr>
              <w:t>du devis</w:t>
            </w:r>
          </w:p>
          <w:p w:rsidR="0079422B" w:rsidRPr="00DD6E7D" w:rsidRDefault="0079422B" w:rsidP="00DD6E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11241F">
              <w:rPr>
                <w:rFonts w:eastAsia="Times New Roman" w:cs="Calibri"/>
                <w:color w:val="000000"/>
                <w:lang w:eastAsia="fr-FR"/>
              </w:rPr>
              <w:t xml:space="preserve">(maximum </w:t>
            </w:r>
            <w:r>
              <w:rPr>
                <w:rFonts w:eastAsia="Times New Roman" w:cs="Calibri"/>
                <w:color w:val="000000"/>
                <w:lang w:eastAsia="fr-FR"/>
              </w:rPr>
              <w:t>7 jours</w:t>
            </w:r>
            <w:r w:rsidRPr="0011241F">
              <w:rPr>
                <w:rFonts w:eastAsia="Times New Roman" w:cs="Calibri"/>
                <w:color w:val="000000"/>
                <w:lang w:eastAsia="fr-FR"/>
              </w:rPr>
              <w:t>)</w:t>
            </w:r>
          </w:p>
        </w:tc>
        <w:tc>
          <w:tcPr>
            <w:tcW w:w="4531" w:type="dxa"/>
            <w:shd w:val="clear" w:color="auto" w:fill="D9D9D9"/>
            <w:vAlign w:val="center"/>
          </w:tcPr>
          <w:p w:rsidR="0079422B" w:rsidRPr="00926E15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Pr="00580F02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9422B" w:rsidRPr="00580F02" w:rsidTr="000E1DB6">
        <w:trPr>
          <w:trHeight w:val="913"/>
        </w:trPr>
        <w:tc>
          <w:tcPr>
            <w:tcW w:w="4531" w:type="dxa"/>
            <w:shd w:val="clear" w:color="auto" w:fill="auto"/>
            <w:vAlign w:val="center"/>
          </w:tcPr>
          <w:p w:rsidR="007B0E42" w:rsidRDefault="0079422B" w:rsidP="00DD6E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11241F">
              <w:rPr>
                <w:rFonts w:eastAsia="Times New Roman" w:cs="Calibri"/>
                <w:color w:val="000000"/>
                <w:lang w:eastAsia="fr-FR"/>
              </w:rPr>
              <w:t>Délai de remise en état après la va</w:t>
            </w:r>
            <w:r w:rsidR="007B0E42">
              <w:rPr>
                <w:rFonts w:eastAsia="Times New Roman" w:cs="Calibri"/>
                <w:color w:val="000000"/>
                <w:lang w:eastAsia="fr-FR"/>
              </w:rPr>
              <w:t>lidation d’un devis par la CPAM</w:t>
            </w:r>
          </w:p>
          <w:p w:rsidR="0079422B" w:rsidRPr="00DD6E7D" w:rsidRDefault="0079422B" w:rsidP="00DD6E7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11241F">
              <w:rPr>
                <w:rFonts w:eastAsia="Times New Roman" w:cs="Calibri"/>
                <w:color w:val="000000"/>
                <w:lang w:eastAsia="fr-FR"/>
              </w:rPr>
              <w:t xml:space="preserve">(maximum </w:t>
            </w:r>
            <w:r>
              <w:rPr>
                <w:rFonts w:eastAsia="Times New Roman" w:cs="Calibri"/>
                <w:color w:val="000000"/>
                <w:lang w:eastAsia="fr-FR"/>
              </w:rPr>
              <w:t>15 jours</w:t>
            </w:r>
            <w:r w:rsidRPr="0011241F">
              <w:rPr>
                <w:rFonts w:eastAsia="Times New Roman" w:cs="Calibri"/>
                <w:color w:val="000000"/>
                <w:lang w:eastAsia="fr-FR"/>
              </w:rPr>
              <w:t>)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79422B" w:rsidRPr="00926E15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9422B" w:rsidRDefault="0079422B" w:rsidP="00C85EA9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9422B" w:rsidRDefault="0079422B" w:rsidP="0079422B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79422B" w:rsidRDefault="0079422B" w:rsidP="0079422B">
      <w:pPr>
        <w:spacing w:after="0" w:line="240" w:lineRule="auto"/>
        <w:jc w:val="both"/>
        <w:rPr>
          <w:rFonts w:cs="Calibri"/>
        </w:rPr>
      </w:pPr>
    </w:p>
    <w:p w:rsidR="0079422B" w:rsidRDefault="0079422B" w:rsidP="006F27CC">
      <w:pPr>
        <w:pStyle w:val="Paragraphedeliste"/>
        <w:numPr>
          <w:ilvl w:val="0"/>
          <w:numId w:val="22"/>
        </w:numPr>
        <w:spacing w:after="0" w:line="240" w:lineRule="auto"/>
        <w:jc w:val="both"/>
        <w:rPr>
          <w:rFonts w:eastAsia="Times New Roman" w:cs="Arial"/>
          <w:b/>
          <w:caps/>
          <w:lang w:eastAsia="fr-FR"/>
        </w:rPr>
      </w:pPr>
      <w:r w:rsidRPr="006F27CC">
        <w:rPr>
          <w:rFonts w:eastAsia="Times New Roman" w:cs="Arial"/>
          <w:b/>
          <w:caps/>
          <w:lang w:eastAsia="fr-FR"/>
        </w:rPr>
        <w:t>Méthodologie d’intervention (mainte</w:t>
      </w:r>
      <w:r w:rsidR="003210C8">
        <w:rPr>
          <w:rFonts w:eastAsia="Times New Roman" w:cs="Arial"/>
          <w:b/>
          <w:caps/>
          <w:lang w:eastAsia="fr-FR"/>
        </w:rPr>
        <w:t>nance préventive et corrective) :</w:t>
      </w:r>
      <w:r w:rsidRPr="006F27CC">
        <w:rPr>
          <w:rFonts w:eastAsia="Times New Roman" w:cs="Arial"/>
          <w:b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 w:rsidR="006B3505">
        <w:rPr>
          <w:rFonts w:eastAsia="Times New Roman" w:cs="Arial"/>
          <w:b/>
          <w:caps/>
          <w:lang w:eastAsia="fr-FR"/>
        </w:rPr>
        <w:t>3</w:t>
      </w:r>
      <w:r w:rsidRPr="006F27CC">
        <w:rPr>
          <w:rFonts w:eastAsia="Times New Roman" w:cs="Arial"/>
          <w:b/>
          <w:caps/>
          <w:lang w:eastAsia="fr-FR"/>
        </w:rPr>
        <w:t>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6F27CC" w:rsidRPr="006F27CC" w:rsidRDefault="006F27CC" w:rsidP="006F27CC">
      <w:pPr>
        <w:pStyle w:val="Paragraphedeliste"/>
        <w:spacing w:after="0" w:line="240" w:lineRule="auto"/>
        <w:ind w:left="1428"/>
        <w:jc w:val="both"/>
        <w:rPr>
          <w:rFonts w:eastAsia="Times New Roman" w:cs="Arial"/>
          <w:b/>
          <w:caps/>
          <w:lang w:eastAsia="fr-FR"/>
        </w:rPr>
      </w:pPr>
    </w:p>
    <w:p w:rsidR="0079422B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détailler ci-dessous sa méthodologie d’intervention pour les visites de maintenance préventive et pour les interventions de maintenance corrective.</w:t>
      </w:r>
    </w:p>
    <w:p w:rsidR="0079422B" w:rsidRDefault="0079422B" w:rsidP="0079422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9422B" w:rsidRPr="003210C8" w:rsidRDefault="00812AD7" w:rsidP="003210C8">
      <w:pPr>
        <w:pStyle w:val="Paragraphedeliste"/>
        <w:numPr>
          <w:ilvl w:val="0"/>
          <w:numId w:val="23"/>
        </w:numPr>
        <w:spacing w:after="0" w:line="240" w:lineRule="auto"/>
        <w:rPr>
          <w:rFonts w:eastAsia="Times New Roman" w:cs="Arial"/>
          <w:b/>
          <w:lang w:eastAsia="fr-FR"/>
        </w:rPr>
      </w:pPr>
      <w:r w:rsidRPr="003210C8">
        <w:rPr>
          <w:rFonts w:eastAsia="Times New Roman" w:cs="Arial"/>
          <w:b/>
          <w:lang w:eastAsia="fr-FR"/>
        </w:rPr>
        <w:t>Méthodologie d’intervention pour les visites de maintenance préventive</w:t>
      </w:r>
      <w:r w:rsidR="007245AD">
        <w:rPr>
          <w:rFonts w:eastAsia="Times New Roman" w:cs="Arial"/>
          <w:b/>
          <w:lang w:eastAsia="fr-FR"/>
        </w:rPr>
        <w:t xml:space="preserve"> (/15 points)</w:t>
      </w:r>
      <w:r w:rsidRPr="003210C8">
        <w:rPr>
          <w:rFonts w:eastAsia="Times New Roman" w:cs="Arial"/>
          <w:b/>
          <w:lang w:eastAsia="fr-FR"/>
        </w:rPr>
        <w:t> :</w:t>
      </w:r>
    </w:p>
    <w:p w:rsidR="0079422B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9422B" w:rsidRPr="00926E15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9422B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9422B" w:rsidRDefault="0079422B" w:rsidP="0079422B">
      <w:pPr>
        <w:spacing w:after="0" w:line="240" w:lineRule="auto"/>
        <w:jc w:val="both"/>
        <w:rPr>
          <w:rFonts w:eastAsia="Times New Roman"/>
          <w:lang w:eastAsia="fr-FR"/>
        </w:rPr>
      </w:pPr>
    </w:p>
    <w:p w:rsidR="0079422B" w:rsidRPr="00926E15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9422B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9422B" w:rsidRPr="00926E15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79422B" w:rsidRDefault="0079422B" w:rsidP="0079422B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6F27CC" w:rsidRDefault="006F27CC" w:rsidP="00812AD7">
      <w:pPr>
        <w:spacing w:after="0" w:line="240" w:lineRule="auto"/>
        <w:jc w:val="both"/>
        <w:rPr>
          <w:rFonts w:eastAsia="Times New Roman" w:cs="Arial"/>
          <w:b/>
          <w:caps/>
          <w:lang w:eastAsia="fr-FR"/>
        </w:rPr>
      </w:pPr>
    </w:p>
    <w:p w:rsidR="00812AD7" w:rsidRPr="003210C8" w:rsidRDefault="00812AD7" w:rsidP="007245AD">
      <w:pPr>
        <w:pStyle w:val="Paragraphedeliste"/>
        <w:numPr>
          <w:ilvl w:val="0"/>
          <w:numId w:val="23"/>
        </w:numPr>
        <w:spacing w:after="0" w:line="240" w:lineRule="auto"/>
        <w:rPr>
          <w:rFonts w:eastAsia="Times New Roman" w:cs="Arial"/>
          <w:b/>
          <w:lang w:eastAsia="fr-FR"/>
        </w:rPr>
      </w:pPr>
      <w:r w:rsidRPr="003210C8">
        <w:rPr>
          <w:rFonts w:eastAsia="Times New Roman" w:cs="Arial"/>
          <w:b/>
          <w:lang w:eastAsia="fr-FR"/>
        </w:rPr>
        <w:t xml:space="preserve">Méthodologie d’intervention pour les visites de maintenance </w:t>
      </w:r>
      <w:r w:rsidR="007F163D">
        <w:rPr>
          <w:rFonts w:eastAsia="Times New Roman" w:cs="Arial"/>
          <w:b/>
          <w:lang w:eastAsia="fr-FR"/>
        </w:rPr>
        <w:t>corrective</w:t>
      </w:r>
      <w:bookmarkStart w:id="0" w:name="_GoBack"/>
      <w:bookmarkEnd w:id="0"/>
      <w:r w:rsidR="007245AD">
        <w:rPr>
          <w:rFonts w:eastAsia="Times New Roman" w:cs="Arial"/>
          <w:b/>
          <w:lang w:eastAsia="fr-FR"/>
        </w:rPr>
        <w:t xml:space="preserve"> (/15 </w:t>
      </w:r>
      <w:r w:rsidR="007245AD" w:rsidRPr="007245AD">
        <w:rPr>
          <w:rFonts w:eastAsia="Times New Roman" w:cs="Arial"/>
          <w:b/>
          <w:lang w:eastAsia="fr-FR"/>
        </w:rPr>
        <w:t>points) :</w:t>
      </w:r>
    </w:p>
    <w:p w:rsidR="00812AD7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Pr="00926E15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Default="00812AD7" w:rsidP="00812AD7">
      <w:pPr>
        <w:spacing w:after="0" w:line="240" w:lineRule="auto"/>
        <w:jc w:val="both"/>
        <w:rPr>
          <w:rFonts w:eastAsia="Times New Roman"/>
          <w:lang w:eastAsia="fr-FR"/>
        </w:rPr>
      </w:pPr>
    </w:p>
    <w:p w:rsidR="00812AD7" w:rsidRPr="00926E15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Pr="00926E15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Default="00812AD7" w:rsidP="00812AD7">
      <w:pPr>
        <w:spacing w:after="0" w:line="240" w:lineRule="auto"/>
        <w:rPr>
          <w:rFonts w:eastAsia="Times New Roman" w:cs="Arial"/>
          <w:lang w:eastAsia="fr-FR"/>
        </w:rPr>
      </w:pPr>
      <w:r w:rsidRPr="00926E15">
        <w:rPr>
          <w:rFonts w:eastAsia="Times New Roman" w:cs="Arial"/>
          <w:lang w:eastAsia="fr-FR"/>
        </w:rPr>
        <w:t>… … …</w:t>
      </w:r>
    </w:p>
    <w:p w:rsidR="00812AD7" w:rsidRDefault="00812AD7" w:rsidP="00812AD7">
      <w:pPr>
        <w:spacing w:after="0" w:line="240" w:lineRule="auto"/>
        <w:jc w:val="both"/>
        <w:rPr>
          <w:rFonts w:eastAsia="Times New Roman" w:cs="Arial"/>
          <w:b/>
          <w:caps/>
          <w:lang w:eastAsia="fr-FR"/>
        </w:rPr>
      </w:pPr>
    </w:p>
    <w:p w:rsidR="00812AD7" w:rsidRDefault="00812AD7" w:rsidP="00812AD7">
      <w:pPr>
        <w:spacing w:after="0" w:line="240" w:lineRule="auto"/>
        <w:jc w:val="both"/>
        <w:rPr>
          <w:rFonts w:eastAsia="Times New Roman" w:cs="Arial"/>
          <w:b/>
          <w:caps/>
          <w:lang w:eastAsia="fr-FR"/>
        </w:rPr>
      </w:pPr>
    </w:p>
    <w:p w:rsidR="00812AD7" w:rsidRPr="006F27CC" w:rsidRDefault="00812AD7" w:rsidP="00812AD7">
      <w:pPr>
        <w:spacing w:after="0" w:line="240" w:lineRule="auto"/>
        <w:jc w:val="both"/>
        <w:rPr>
          <w:rFonts w:eastAsia="Times New Roman" w:cs="Arial"/>
          <w:b/>
          <w:caps/>
          <w:lang w:eastAsia="fr-FR"/>
        </w:rPr>
      </w:pPr>
    </w:p>
    <w:sectPr w:rsidR="00812AD7" w:rsidRPr="006F27CC" w:rsidSect="006D770F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4E" w:rsidRDefault="00F2184E" w:rsidP="00230B55">
      <w:pPr>
        <w:spacing w:after="0" w:line="240" w:lineRule="auto"/>
      </w:pPr>
      <w:r>
        <w:separator/>
      </w:r>
    </w:p>
  </w:endnote>
  <w:end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55" w:rsidRPr="006B3505" w:rsidRDefault="006B3505" w:rsidP="00230B55">
    <w:pPr>
      <w:pStyle w:val="En-tte"/>
    </w:pPr>
    <w:r w:rsidRPr="006B3505">
      <w:rPr>
        <w:rFonts w:ascii="Arial" w:hAnsi="Arial" w:cs="Arial"/>
        <w:bCs/>
        <w:iCs/>
        <w:sz w:val="20"/>
      </w:rPr>
      <w:t>CMJO</w:t>
    </w:r>
    <w:r w:rsidRPr="006B3505">
      <w:rPr>
        <w:rFonts w:ascii="Arial" w:hAnsi="Arial" w:cs="Arial"/>
        <w:bCs/>
        <w:iCs/>
        <w:sz w:val="20"/>
      </w:rPr>
      <w:tab/>
    </w:r>
    <w:r w:rsidR="0079422B" w:rsidRPr="006B3505">
      <w:rPr>
        <w:rFonts w:ascii="Arial" w:hAnsi="Arial" w:cs="Arial"/>
        <w:bCs/>
        <w:iCs/>
        <w:sz w:val="20"/>
      </w:rPr>
      <w:t>UI2024033</w:t>
    </w:r>
    <w:r>
      <w:rPr>
        <w:rFonts w:ascii="Arial" w:hAnsi="Arial" w:cs="Arial"/>
        <w:b/>
        <w:bCs/>
        <w:iCs/>
        <w:sz w:val="20"/>
      </w:rPr>
      <w:tab/>
    </w:r>
    <w:r w:rsidR="00230B55" w:rsidRPr="006B3505">
      <w:rPr>
        <w:rFonts w:cs="Calibri"/>
        <w:sz w:val="20"/>
      </w:rPr>
      <w:t xml:space="preserve">Page </w:t>
    </w:r>
    <w:r w:rsidR="00230B55" w:rsidRPr="006B3505">
      <w:rPr>
        <w:rFonts w:cs="Calibri"/>
        <w:b/>
        <w:bCs/>
        <w:sz w:val="20"/>
      </w:rPr>
      <w:fldChar w:fldCharType="begin"/>
    </w:r>
    <w:r w:rsidR="00230B55" w:rsidRPr="006B3505">
      <w:rPr>
        <w:rFonts w:cs="Calibri"/>
        <w:b/>
        <w:bCs/>
        <w:sz w:val="20"/>
      </w:rPr>
      <w:instrText>PAGE</w:instrText>
    </w:r>
    <w:r w:rsidR="00230B55" w:rsidRPr="006B3505">
      <w:rPr>
        <w:rFonts w:cs="Calibri"/>
        <w:b/>
        <w:bCs/>
        <w:sz w:val="20"/>
      </w:rPr>
      <w:fldChar w:fldCharType="separate"/>
    </w:r>
    <w:r w:rsidR="00355106">
      <w:rPr>
        <w:rFonts w:cs="Calibri"/>
        <w:b/>
        <w:bCs/>
        <w:noProof/>
        <w:sz w:val="20"/>
      </w:rPr>
      <w:t>2</w:t>
    </w:r>
    <w:r w:rsidR="00230B55" w:rsidRPr="006B3505">
      <w:rPr>
        <w:rFonts w:cs="Calibri"/>
        <w:b/>
        <w:bCs/>
        <w:sz w:val="20"/>
      </w:rPr>
      <w:fldChar w:fldCharType="end"/>
    </w:r>
    <w:r w:rsidR="00230B55" w:rsidRPr="006B3505">
      <w:rPr>
        <w:rFonts w:cs="Calibri"/>
        <w:sz w:val="20"/>
      </w:rPr>
      <w:t xml:space="preserve"> / </w:t>
    </w:r>
    <w:r w:rsidR="00230B55" w:rsidRPr="006B3505">
      <w:rPr>
        <w:rFonts w:cs="Calibri"/>
        <w:b/>
        <w:bCs/>
        <w:sz w:val="20"/>
      </w:rPr>
      <w:fldChar w:fldCharType="begin"/>
    </w:r>
    <w:r w:rsidR="00230B55" w:rsidRPr="006B3505">
      <w:rPr>
        <w:rFonts w:cs="Calibri"/>
        <w:b/>
        <w:bCs/>
        <w:sz w:val="20"/>
      </w:rPr>
      <w:instrText>NUMPAGES</w:instrText>
    </w:r>
    <w:r w:rsidR="00230B55" w:rsidRPr="006B3505">
      <w:rPr>
        <w:rFonts w:cs="Calibri"/>
        <w:b/>
        <w:bCs/>
        <w:sz w:val="20"/>
      </w:rPr>
      <w:fldChar w:fldCharType="separate"/>
    </w:r>
    <w:r w:rsidR="00355106">
      <w:rPr>
        <w:rFonts w:cs="Calibri"/>
        <w:b/>
        <w:bCs/>
        <w:noProof/>
        <w:sz w:val="20"/>
      </w:rPr>
      <w:t>3</w:t>
    </w:r>
    <w:r w:rsidR="00230B55" w:rsidRPr="006B3505">
      <w:rPr>
        <w:rFonts w:cs="Calibr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4E" w:rsidRDefault="00F2184E" w:rsidP="00230B55">
      <w:pPr>
        <w:spacing w:after="0" w:line="240" w:lineRule="auto"/>
      </w:pPr>
      <w:r>
        <w:separator/>
      </w:r>
    </w:p>
  </w:footnote>
  <w:foot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6A"/>
    <w:multiLevelType w:val="hybridMultilevel"/>
    <w:tmpl w:val="2214A334"/>
    <w:lvl w:ilvl="0" w:tplc="75C0BC1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96C5B"/>
    <w:multiLevelType w:val="hybridMultilevel"/>
    <w:tmpl w:val="755CD8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20FFB"/>
    <w:multiLevelType w:val="hybridMultilevel"/>
    <w:tmpl w:val="FBF80052"/>
    <w:lvl w:ilvl="0" w:tplc="4A0AB15A">
      <w:start w:val="1"/>
      <w:numFmt w:val="bullet"/>
      <w:lvlText w:val="-"/>
      <w:lvlJc w:val="left"/>
      <w:pPr>
        <w:ind w:left="1776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A7E6BAE"/>
    <w:multiLevelType w:val="hybridMultilevel"/>
    <w:tmpl w:val="9E4430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B7961"/>
    <w:multiLevelType w:val="hybridMultilevel"/>
    <w:tmpl w:val="B656B08E"/>
    <w:lvl w:ilvl="0" w:tplc="CF2098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D2404"/>
    <w:multiLevelType w:val="hybridMultilevel"/>
    <w:tmpl w:val="BD68BD0C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2727B"/>
    <w:multiLevelType w:val="hybridMultilevel"/>
    <w:tmpl w:val="33584364"/>
    <w:lvl w:ilvl="0" w:tplc="040C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E5ED6"/>
    <w:multiLevelType w:val="hybridMultilevel"/>
    <w:tmpl w:val="B43290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D02BD"/>
    <w:multiLevelType w:val="hybridMultilevel"/>
    <w:tmpl w:val="519E89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37468C0"/>
    <w:multiLevelType w:val="hybridMultilevel"/>
    <w:tmpl w:val="6656845C"/>
    <w:lvl w:ilvl="0" w:tplc="793C6B8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659A4"/>
    <w:multiLevelType w:val="hybridMultilevel"/>
    <w:tmpl w:val="29029D32"/>
    <w:lvl w:ilvl="0" w:tplc="F56CBF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3F155C"/>
    <w:multiLevelType w:val="hybridMultilevel"/>
    <w:tmpl w:val="B90A4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C2F37"/>
    <w:multiLevelType w:val="hybridMultilevel"/>
    <w:tmpl w:val="1F1CE3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54F28"/>
    <w:multiLevelType w:val="hybridMultilevel"/>
    <w:tmpl w:val="E86E670E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F48760C"/>
    <w:multiLevelType w:val="hybridMultilevel"/>
    <w:tmpl w:val="64CA030A"/>
    <w:lvl w:ilvl="0" w:tplc="86341D06">
      <w:numFmt w:val="bullet"/>
      <w:lvlText w:val="-"/>
      <w:lvlJc w:val="left"/>
      <w:pPr>
        <w:ind w:left="720" w:hanging="360"/>
      </w:pPr>
      <w:rPr>
        <w:rFonts w:hint="default"/>
        <w:color w:val="auto"/>
        <w:w w:val="1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B3A05"/>
    <w:multiLevelType w:val="hybridMultilevel"/>
    <w:tmpl w:val="E848D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73396"/>
    <w:multiLevelType w:val="hybridMultilevel"/>
    <w:tmpl w:val="593834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E6CE1"/>
    <w:multiLevelType w:val="hybridMultilevel"/>
    <w:tmpl w:val="66DED968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6"/>
  </w:num>
  <w:num w:numId="4">
    <w:abstractNumId w:val="4"/>
  </w:num>
  <w:num w:numId="5">
    <w:abstractNumId w:val="6"/>
  </w:num>
  <w:num w:numId="6">
    <w:abstractNumId w:val="4"/>
  </w:num>
  <w:num w:numId="7">
    <w:abstractNumId w:val="18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21"/>
  </w:num>
  <w:num w:numId="13">
    <w:abstractNumId w:val="1"/>
  </w:num>
  <w:num w:numId="14">
    <w:abstractNumId w:val="13"/>
  </w:num>
  <w:num w:numId="15">
    <w:abstractNumId w:val="11"/>
  </w:num>
  <w:num w:numId="16">
    <w:abstractNumId w:val="17"/>
  </w:num>
  <w:num w:numId="17">
    <w:abstractNumId w:val="5"/>
  </w:num>
  <w:num w:numId="18">
    <w:abstractNumId w:val="14"/>
  </w:num>
  <w:num w:numId="19">
    <w:abstractNumId w:val="12"/>
  </w:num>
  <w:num w:numId="20">
    <w:abstractNumId w:val="15"/>
  </w:num>
  <w:num w:numId="21">
    <w:abstractNumId w:val="7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66E7"/>
    <w:rsid w:val="000377B8"/>
    <w:rsid w:val="00057E61"/>
    <w:rsid w:val="00066530"/>
    <w:rsid w:val="00094F0B"/>
    <w:rsid w:val="000A5DEB"/>
    <w:rsid w:val="000B07F0"/>
    <w:rsid w:val="000B2A02"/>
    <w:rsid w:val="000B3807"/>
    <w:rsid w:val="000B5B7E"/>
    <w:rsid w:val="000B78D3"/>
    <w:rsid w:val="000E1DB6"/>
    <w:rsid w:val="0011618C"/>
    <w:rsid w:val="00127544"/>
    <w:rsid w:val="001334A2"/>
    <w:rsid w:val="00166E9E"/>
    <w:rsid w:val="00182598"/>
    <w:rsid w:val="001933D5"/>
    <w:rsid w:val="001B3563"/>
    <w:rsid w:val="001B6B95"/>
    <w:rsid w:val="001D19B4"/>
    <w:rsid w:val="001D7CCD"/>
    <w:rsid w:val="001E5938"/>
    <w:rsid w:val="002264F7"/>
    <w:rsid w:val="00230B55"/>
    <w:rsid w:val="0023173E"/>
    <w:rsid w:val="0026026E"/>
    <w:rsid w:val="00271E02"/>
    <w:rsid w:val="002A130E"/>
    <w:rsid w:val="002B6E22"/>
    <w:rsid w:val="002C536D"/>
    <w:rsid w:val="002D6C35"/>
    <w:rsid w:val="002F14E5"/>
    <w:rsid w:val="00304881"/>
    <w:rsid w:val="003210C8"/>
    <w:rsid w:val="003221ED"/>
    <w:rsid w:val="00355106"/>
    <w:rsid w:val="00383ADD"/>
    <w:rsid w:val="003849C1"/>
    <w:rsid w:val="00387F52"/>
    <w:rsid w:val="00390750"/>
    <w:rsid w:val="003A5116"/>
    <w:rsid w:val="003B6BD6"/>
    <w:rsid w:val="003C274F"/>
    <w:rsid w:val="003E05A9"/>
    <w:rsid w:val="003F2E99"/>
    <w:rsid w:val="004011BA"/>
    <w:rsid w:val="004077AD"/>
    <w:rsid w:val="00412771"/>
    <w:rsid w:val="004143CC"/>
    <w:rsid w:val="00414B16"/>
    <w:rsid w:val="0041719C"/>
    <w:rsid w:val="00420646"/>
    <w:rsid w:val="004431B9"/>
    <w:rsid w:val="004472F5"/>
    <w:rsid w:val="00453D1A"/>
    <w:rsid w:val="004548AB"/>
    <w:rsid w:val="00474BE4"/>
    <w:rsid w:val="00481CC7"/>
    <w:rsid w:val="004953BC"/>
    <w:rsid w:val="004B4EFE"/>
    <w:rsid w:val="004C152D"/>
    <w:rsid w:val="004D2B54"/>
    <w:rsid w:val="004E01A3"/>
    <w:rsid w:val="004E0BE8"/>
    <w:rsid w:val="00503844"/>
    <w:rsid w:val="005328BB"/>
    <w:rsid w:val="0053359E"/>
    <w:rsid w:val="00547F7A"/>
    <w:rsid w:val="00553757"/>
    <w:rsid w:val="00561DF9"/>
    <w:rsid w:val="005622D8"/>
    <w:rsid w:val="00574E61"/>
    <w:rsid w:val="005A4EA4"/>
    <w:rsid w:val="005C067F"/>
    <w:rsid w:val="005D2F1F"/>
    <w:rsid w:val="0061672C"/>
    <w:rsid w:val="00694096"/>
    <w:rsid w:val="00696B0F"/>
    <w:rsid w:val="0069795A"/>
    <w:rsid w:val="006A5DD4"/>
    <w:rsid w:val="006B3505"/>
    <w:rsid w:val="006C0A56"/>
    <w:rsid w:val="006C355A"/>
    <w:rsid w:val="006D3421"/>
    <w:rsid w:val="006D770F"/>
    <w:rsid w:val="006F27CC"/>
    <w:rsid w:val="0072259F"/>
    <w:rsid w:val="00723B7C"/>
    <w:rsid w:val="007245AD"/>
    <w:rsid w:val="00732BE6"/>
    <w:rsid w:val="00747FAA"/>
    <w:rsid w:val="0079422B"/>
    <w:rsid w:val="0079476E"/>
    <w:rsid w:val="007B0E42"/>
    <w:rsid w:val="007B703D"/>
    <w:rsid w:val="007B76E0"/>
    <w:rsid w:val="007D3424"/>
    <w:rsid w:val="007E348E"/>
    <w:rsid w:val="007E3C5B"/>
    <w:rsid w:val="007F163D"/>
    <w:rsid w:val="007F28BA"/>
    <w:rsid w:val="00812AD7"/>
    <w:rsid w:val="00815859"/>
    <w:rsid w:val="00822C51"/>
    <w:rsid w:val="008723ED"/>
    <w:rsid w:val="00877CF9"/>
    <w:rsid w:val="00892C83"/>
    <w:rsid w:val="008A2E03"/>
    <w:rsid w:val="008A5673"/>
    <w:rsid w:val="008C0114"/>
    <w:rsid w:val="008C2AAF"/>
    <w:rsid w:val="008F752A"/>
    <w:rsid w:val="00903FBE"/>
    <w:rsid w:val="00921006"/>
    <w:rsid w:val="0092453C"/>
    <w:rsid w:val="00971508"/>
    <w:rsid w:val="00981823"/>
    <w:rsid w:val="009D72D9"/>
    <w:rsid w:val="009D7EC3"/>
    <w:rsid w:val="009E464F"/>
    <w:rsid w:val="009F142B"/>
    <w:rsid w:val="009F3281"/>
    <w:rsid w:val="00A21477"/>
    <w:rsid w:val="00A24F12"/>
    <w:rsid w:val="00A3041B"/>
    <w:rsid w:val="00A51953"/>
    <w:rsid w:val="00A52B61"/>
    <w:rsid w:val="00A67208"/>
    <w:rsid w:val="00A965FE"/>
    <w:rsid w:val="00AA6253"/>
    <w:rsid w:val="00AB0146"/>
    <w:rsid w:val="00AC395A"/>
    <w:rsid w:val="00AE32DF"/>
    <w:rsid w:val="00B06359"/>
    <w:rsid w:val="00B11164"/>
    <w:rsid w:val="00B467CB"/>
    <w:rsid w:val="00B605B0"/>
    <w:rsid w:val="00B64FFC"/>
    <w:rsid w:val="00B80F5D"/>
    <w:rsid w:val="00B85658"/>
    <w:rsid w:val="00B920D1"/>
    <w:rsid w:val="00B92505"/>
    <w:rsid w:val="00BA33FC"/>
    <w:rsid w:val="00BB7361"/>
    <w:rsid w:val="00BC3123"/>
    <w:rsid w:val="00BC4850"/>
    <w:rsid w:val="00BC5A73"/>
    <w:rsid w:val="00C1189F"/>
    <w:rsid w:val="00C233E7"/>
    <w:rsid w:val="00C2486A"/>
    <w:rsid w:val="00C26F70"/>
    <w:rsid w:val="00C32956"/>
    <w:rsid w:val="00C54038"/>
    <w:rsid w:val="00CA3D34"/>
    <w:rsid w:val="00CD11AF"/>
    <w:rsid w:val="00D14757"/>
    <w:rsid w:val="00D16BC7"/>
    <w:rsid w:val="00D268FA"/>
    <w:rsid w:val="00D272F3"/>
    <w:rsid w:val="00D41495"/>
    <w:rsid w:val="00D534B8"/>
    <w:rsid w:val="00D629DC"/>
    <w:rsid w:val="00D732D2"/>
    <w:rsid w:val="00D74F2F"/>
    <w:rsid w:val="00D7645E"/>
    <w:rsid w:val="00D86A60"/>
    <w:rsid w:val="00D91A1C"/>
    <w:rsid w:val="00DA3858"/>
    <w:rsid w:val="00DD35AF"/>
    <w:rsid w:val="00DD6E7D"/>
    <w:rsid w:val="00DF3685"/>
    <w:rsid w:val="00E06EC8"/>
    <w:rsid w:val="00E16275"/>
    <w:rsid w:val="00E2172B"/>
    <w:rsid w:val="00E3651E"/>
    <w:rsid w:val="00E40833"/>
    <w:rsid w:val="00E606CA"/>
    <w:rsid w:val="00E72354"/>
    <w:rsid w:val="00E73225"/>
    <w:rsid w:val="00E91745"/>
    <w:rsid w:val="00E92501"/>
    <w:rsid w:val="00EA0C85"/>
    <w:rsid w:val="00EA7602"/>
    <w:rsid w:val="00EC41B3"/>
    <w:rsid w:val="00ED4586"/>
    <w:rsid w:val="00F05C4E"/>
    <w:rsid w:val="00F1206A"/>
    <w:rsid w:val="00F1332C"/>
    <w:rsid w:val="00F17D74"/>
    <w:rsid w:val="00F2184E"/>
    <w:rsid w:val="00F339E2"/>
    <w:rsid w:val="00F349DC"/>
    <w:rsid w:val="00F77C88"/>
    <w:rsid w:val="00FC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6905"/>
  <w15:docId w15:val="{7E21A3CB-755F-4B1E-BAD5-3B238073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AD7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2">
    <w:name w:val="Normal2"/>
    <w:basedOn w:val="Normal"/>
    <w:rsid w:val="00D74F2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styleId="Grilledutableau">
    <w:name w:val="Table Grid"/>
    <w:basedOn w:val="TableauNormal"/>
    <w:uiPriority w:val="59"/>
    <w:rsid w:val="007D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86A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B5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B55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629DC"/>
    <w:pPr>
      <w:ind w:left="720"/>
      <w:contextualSpacing/>
    </w:pPr>
  </w:style>
  <w:style w:type="character" w:styleId="Lienhypertexte">
    <w:name w:val="Hyperlink"/>
    <w:rsid w:val="009F32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LexUriServ/LexUriServ.do?uri=OJ:L:2003:124:0036:0041:fr:PDF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A76D5.1ED7ED3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B8ED-A74D-4FB8-8E73-53E3FE45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582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CAMOZZI ARMEL (CPAM HAUTE-GARONNE)</cp:lastModifiedBy>
  <cp:revision>23</cp:revision>
  <cp:lastPrinted>2021-05-11T09:05:00Z</cp:lastPrinted>
  <dcterms:created xsi:type="dcterms:W3CDTF">2024-07-15T15:07:00Z</dcterms:created>
  <dcterms:modified xsi:type="dcterms:W3CDTF">2025-01-24T12:25:00Z</dcterms:modified>
</cp:coreProperties>
</file>