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4A813" w14:textId="77777777" w:rsidR="00716348" w:rsidRPr="00716348" w:rsidRDefault="00716348" w:rsidP="00716348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r w:rsidRPr="00716348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Acquisition d’une machine de dépôt assisté par plasma généré par induction et son installation au réseau de gaz de l’IETR et acquisition d’un spectrophotomètre et d’une chaine de métasurfaces intelligentes </w:t>
      </w:r>
      <w:proofErr w:type="gramStart"/>
      <w:r w:rsidRPr="00716348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reconfigurables(</w:t>
      </w:r>
      <w:proofErr w:type="gramEnd"/>
      <w:r w:rsidRPr="00716348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CPER </w:t>
      </w:r>
      <w:proofErr w:type="spellStart"/>
      <w:r w:rsidRPr="00716348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CyMoCod</w:t>
      </w:r>
      <w:proofErr w:type="spellEnd"/>
      <w:r w:rsidRPr="00716348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 xml:space="preserve"> Phase 4B)</w:t>
      </w:r>
    </w:p>
    <w:p w14:paraId="09BF8EC0" w14:textId="77777777" w:rsidR="004237E6" w:rsidRDefault="004237E6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</w:p>
    <w:p w14:paraId="6E6E36A4" w14:textId="77777777" w:rsidR="00241A7E" w:rsidRDefault="00241A7E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E5E6" w14:textId="77777777" w:rsidR="005C55C3" w:rsidRDefault="005C55C3" w:rsidP="00241A7E">
      <w:pPr>
        <w:spacing w:line="240" w:lineRule="auto"/>
      </w:pPr>
      <w:r>
        <w:separator/>
      </w:r>
    </w:p>
  </w:endnote>
  <w:endnote w:type="continuationSeparator" w:id="0">
    <w:p w14:paraId="1EA08689" w14:textId="77777777" w:rsidR="005C55C3" w:rsidRDefault="005C55C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68AD" w14:textId="77777777" w:rsidR="009905B0" w:rsidRDefault="009905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1B817" w14:textId="77777777" w:rsidR="009905B0" w:rsidRDefault="009905B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AAB6" w14:textId="77777777" w:rsidR="009905B0" w:rsidRDefault="009905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5C21F" w14:textId="77777777" w:rsidR="005C55C3" w:rsidRDefault="005C55C3" w:rsidP="00241A7E">
      <w:pPr>
        <w:spacing w:line="240" w:lineRule="auto"/>
      </w:pPr>
      <w:r>
        <w:separator/>
      </w:r>
    </w:p>
  </w:footnote>
  <w:footnote w:type="continuationSeparator" w:id="0">
    <w:p w14:paraId="4DBD59C1" w14:textId="77777777" w:rsidR="005C55C3" w:rsidRDefault="005C55C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D5E8" w14:textId="77777777" w:rsidR="009905B0" w:rsidRDefault="009905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36651619" w:rsidR="00703FB7" w:rsidRPr="00DE2909" w:rsidRDefault="009905B0">
    <w:pPr>
      <w:pStyle w:val="En-tte"/>
      <w:rPr>
        <w:u w:val="single"/>
      </w:rPr>
    </w:pPr>
    <w:r>
      <w:rPr>
        <w:noProof/>
        <w:sz w:val="23"/>
        <w:szCs w:val="23"/>
        <w:u w:val="single"/>
      </w:rPr>
      <w:drawing>
        <wp:inline distT="0" distB="0" distL="0" distR="0" wp14:anchorId="2220DAD9" wp14:editId="617888CD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41A7E" w:rsidRPr="00DE2909">
      <w:rPr>
        <w:sz w:val="23"/>
        <w:szCs w:val="23"/>
        <w:u w:val="single"/>
      </w:rPr>
      <w:tab/>
    </w:r>
    <w:r w:rsidR="00241A7E">
      <w:rPr>
        <w:sz w:val="23"/>
        <w:szCs w:val="23"/>
        <w:u w:val="single"/>
      </w:rPr>
      <w:t xml:space="preserve">Affaire </w:t>
    </w:r>
    <w:r w:rsidR="00241A7E" w:rsidRPr="00116CE5">
      <w:rPr>
        <w:sz w:val="23"/>
        <w:szCs w:val="23"/>
        <w:u w:val="single"/>
      </w:rPr>
      <w:t>202</w:t>
    </w:r>
    <w:r w:rsidR="004237E6">
      <w:rPr>
        <w:sz w:val="23"/>
        <w:szCs w:val="23"/>
        <w:u w:val="single"/>
      </w:rPr>
      <w:t>5001</w:t>
    </w:r>
    <w:r w:rsidR="00241A7E" w:rsidRPr="00116CE5">
      <w:rPr>
        <w:sz w:val="23"/>
        <w:szCs w:val="23"/>
        <w:u w:val="single"/>
      </w:rPr>
      <w:t>AOF</w:t>
    </w:r>
    <w:r w:rsidR="00241A7E">
      <w:rPr>
        <w:sz w:val="23"/>
        <w:szCs w:val="23"/>
        <w:u w:val="single"/>
      </w:rPr>
      <w:t xml:space="preserve">              </w:t>
    </w:r>
    <w:r w:rsidR="00241A7E" w:rsidRPr="00DE2909">
      <w:rPr>
        <w:sz w:val="23"/>
        <w:szCs w:val="23"/>
        <w:u w:val="single"/>
      </w:rPr>
      <w:tab/>
    </w:r>
    <w:bookmarkStart w:id="0" w:name="_Hlk153456781"/>
    <w:r>
      <w:rPr>
        <w:rFonts w:cs="Calibri"/>
        <w:b/>
        <w:bCs/>
        <w:noProof/>
      </w:rPr>
      <w:drawing>
        <wp:inline distT="0" distB="0" distL="0" distR="0" wp14:anchorId="5F0D85FC" wp14:editId="24DA0AA3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1D5E" w14:textId="77777777" w:rsidR="009905B0" w:rsidRDefault="009905B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241A7E"/>
    <w:rsid w:val="0024639F"/>
    <w:rsid w:val="004237E6"/>
    <w:rsid w:val="005C55C3"/>
    <w:rsid w:val="00716348"/>
    <w:rsid w:val="0099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  <w:style w:type="paragraph" w:customStyle="1" w:styleId="RedTitre1">
    <w:name w:val="RedTitre1"/>
    <w:basedOn w:val="Normal"/>
    <w:rsid w:val="004237E6"/>
    <w:pPr>
      <w:framePr w:hSpace="142" w:wrap="auto" w:vAnchor="text" w:hAnchor="text" w:xAlign="center" w:y="1"/>
      <w:widowControl w:val="0"/>
      <w:spacing w:line="240" w:lineRule="auto"/>
      <w:jc w:val="center"/>
    </w:pPr>
    <w:rPr>
      <w:rFonts w:ascii="Arial" w:eastAsia="Times New Roman" w:hAnsi="Arial"/>
      <w:b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Alexandre Pasquier</cp:lastModifiedBy>
  <cp:revision>4</cp:revision>
  <dcterms:created xsi:type="dcterms:W3CDTF">2024-10-28T14:16:00Z</dcterms:created>
  <dcterms:modified xsi:type="dcterms:W3CDTF">2025-01-24T15:08:00Z</dcterms:modified>
</cp:coreProperties>
</file>