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E67AF5" w14:textId="76CE25AB" w:rsidR="00C44CAC" w:rsidRPr="00F433BC" w:rsidRDefault="00C44CAC" w:rsidP="00607EFA">
            <w:pPr>
              <w:pStyle w:val="Titre1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8D2A00">
              <w:rPr>
                <w:rFonts w:ascii="Arial" w:hAnsi="Arial" w:cs="Arial"/>
                <w:bCs/>
                <w:sz w:val="18"/>
                <w:szCs w:val="18"/>
              </w:rPr>
              <w:t>DG24.</w:t>
            </w:r>
            <w:r w:rsidR="008B3066">
              <w:rPr>
                <w:rFonts w:ascii="Arial" w:hAnsi="Arial" w:cs="Arial"/>
                <w:bCs/>
                <w:sz w:val="18"/>
                <w:szCs w:val="18"/>
              </w:rPr>
              <w:t>01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772ED00" w14:textId="77777777" w:rsidR="008B3066" w:rsidRDefault="00C44CAC" w:rsidP="006B78A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03D673E8" w14:textId="48526BCC" w:rsidR="008B3066" w:rsidRDefault="005A4684" w:rsidP="008B3066">
            <w:pPr>
              <w:pStyle w:val="ParagrapheIndent2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br/>
            </w:r>
            <w:bookmarkStart w:id="0" w:name="_GoBack"/>
            <w:r w:rsidR="008B3066">
              <w:rPr>
                <w:color w:val="000000"/>
                <w:lang w:val="fr-FR"/>
              </w:rPr>
              <w:t>Pièce de théâtre interactive pour prévenir le sexisme et les violences sexuelles et sexistes dans le cadre de la démarche de lutte contre les violences Sexuelles et Sexistes mise en</w:t>
            </w:r>
            <w:r w:rsidR="008B3066">
              <w:rPr>
                <w:color w:val="000000"/>
                <w:lang w:val="fr-FR"/>
              </w:rPr>
              <w:t xml:space="preserve"> </w:t>
            </w:r>
            <w:r w:rsidR="008B3066">
              <w:rPr>
                <w:color w:val="000000"/>
                <w:lang w:val="fr-FR"/>
              </w:rPr>
              <w:t>place à l’ENSAM, afin de sensibiliser les étudiant.es.</w:t>
            </w:r>
            <w:bookmarkEnd w:id="0"/>
          </w:p>
          <w:p w14:paraId="5BF054D5" w14:textId="6EFAF8E8" w:rsidR="006B78AD" w:rsidRPr="006B78AD" w:rsidRDefault="006B78AD" w:rsidP="006B78A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</w:rPr>
            </w:pPr>
          </w:p>
          <w:p w14:paraId="124C2483" w14:textId="2DF356B5" w:rsidR="00C44CAC" w:rsidRPr="008651F9" w:rsidRDefault="00C44CAC" w:rsidP="008651F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FF5D95C" w14:textId="31E49482" w:rsidR="001A576B" w:rsidRPr="001A5439" w:rsidRDefault="001A576B" w:rsidP="005A4684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A0E95"/>
    <w:rsid w:val="001A5439"/>
    <w:rsid w:val="001A576B"/>
    <w:rsid w:val="001C3072"/>
    <w:rsid w:val="001F4CD6"/>
    <w:rsid w:val="00263067"/>
    <w:rsid w:val="002700F2"/>
    <w:rsid w:val="00280208"/>
    <w:rsid w:val="002A12A2"/>
    <w:rsid w:val="002A21CB"/>
    <w:rsid w:val="002A224E"/>
    <w:rsid w:val="002A3D6A"/>
    <w:rsid w:val="002A5217"/>
    <w:rsid w:val="002B792D"/>
    <w:rsid w:val="002D0D0F"/>
    <w:rsid w:val="0030242A"/>
    <w:rsid w:val="00302793"/>
    <w:rsid w:val="0031651D"/>
    <w:rsid w:val="0035222A"/>
    <w:rsid w:val="003535E9"/>
    <w:rsid w:val="00353A24"/>
    <w:rsid w:val="00381AD9"/>
    <w:rsid w:val="00392AAF"/>
    <w:rsid w:val="003C425B"/>
    <w:rsid w:val="003D214C"/>
    <w:rsid w:val="003E7FE1"/>
    <w:rsid w:val="00426978"/>
    <w:rsid w:val="0043583D"/>
    <w:rsid w:val="004409A3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4269"/>
    <w:rsid w:val="00547D24"/>
    <w:rsid w:val="0055597C"/>
    <w:rsid w:val="005A4684"/>
    <w:rsid w:val="005A7CF0"/>
    <w:rsid w:val="00605731"/>
    <w:rsid w:val="00607EFA"/>
    <w:rsid w:val="00641A75"/>
    <w:rsid w:val="00686C53"/>
    <w:rsid w:val="006A1975"/>
    <w:rsid w:val="006B19FC"/>
    <w:rsid w:val="006B78AD"/>
    <w:rsid w:val="006C06BA"/>
    <w:rsid w:val="006C1925"/>
    <w:rsid w:val="006D0A12"/>
    <w:rsid w:val="006D141D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651F9"/>
    <w:rsid w:val="00871FED"/>
    <w:rsid w:val="00881BFD"/>
    <w:rsid w:val="008850EB"/>
    <w:rsid w:val="008B240B"/>
    <w:rsid w:val="008B3066"/>
    <w:rsid w:val="008D2A00"/>
    <w:rsid w:val="008E68BB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7049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ParagrapheIndent2">
    <w:name w:val="ParagrapheIndent2"/>
    <w:basedOn w:val="Normal"/>
    <w:next w:val="Normal"/>
    <w:qFormat/>
    <w:rsid w:val="008B3066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GOZET Coralie</cp:lastModifiedBy>
  <cp:revision>3</cp:revision>
  <cp:lastPrinted>2022-10-31T09:05:00Z</cp:lastPrinted>
  <dcterms:created xsi:type="dcterms:W3CDTF">2024-04-11T08:07:00Z</dcterms:created>
  <dcterms:modified xsi:type="dcterms:W3CDTF">2024-04-30T14:27:00Z</dcterms:modified>
</cp:coreProperties>
</file>