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52AD8D" w14:textId="77777777" w:rsidR="001863D1" w:rsidRDefault="003D0C20">
      <w:pPr>
        <w:spacing w:after="174" w:line="259" w:lineRule="auto"/>
        <w:ind w:left="17" w:firstLine="0"/>
        <w:jc w:val="left"/>
      </w:pPr>
      <w:r>
        <w:rPr>
          <w:rFonts w:ascii="Times New Roman" w:eastAsia="Times New Roman" w:hAnsi="Times New Roman" w:cs="Times New Roman"/>
          <w:sz w:val="24"/>
        </w:rPr>
        <w:t xml:space="preserve"> </w:t>
      </w:r>
    </w:p>
    <w:p w14:paraId="12D8B232" w14:textId="77777777" w:rsidR="001863D1" w:rsidRDefault="003D0C20">
      <w:pPr>
        <w:spacing w:after="10" w:line="259" w:lineRule="auto"/>
        <w:ind w:left="17" w:firstLine="0"/>
        <w:jc w:val="left"/>
      </w:pPr>
      <w:r>
        <w:rPr>
          <w:sz w:val="22"/>
        </w:rPr>
        <w:t xml:space="preserve"> </w:t>
      </w:r>
      <w:r>
        <w:rPr>
          <w:sz w:val="24"/>
        </w:rPr>
        <w:t xml:space="preserve"> </w:t>
      </w:r>
    </w:p>
    <w:p w14:paraId="1E38F5F1" w14:textId="77777777" w:rsidR="001863D1" w:rsidRDefault="003D0C20">
      <w:pPr>
        <w:spacing w:after="19" w:line="259" w:lineRule="auto"/>
        <w:ind w:left="0" w:right="301" w:firstLine="0"/>
        <w:jc w:val="right"/>
      </w:pPr>
      <w:r>
        <w:rPr>
          <w:sz w:val="22"/>
        </w:rPr>
        <w:t xml:space="preserve"> </w:t>
      </w:r>
      <w:r>
        <w:rPr>
          <w:sz w:val="24"/>
        </w:rPr>
        <w:t xml:space="preserve"> </w:t>
      </w:r>
    </w:p>
    <w:p w14:paraId="0A3FE6DC" w14:textId="77777777" w:rsidR="001863D1" w:rsidRDefault="003D0C20">
      <w:pPr>
        <w:tabs>
          <w:tab w:val="center" w:pos="9225"/>
        </w:tabs>
        <w:spacing w:after="0" w:line="259" w:lineRule="auto"/>
        <w:ind w:left="0" w:firstLine="0"/>
        <w:jc w:val="left"/>
      </w:pPr>
      <w:r>
        <w:rPr>
          <w:noProof/>
        </w:rPr>
        <w:drawing>
          <wp:anchor distT="0" distB="0" distL="114300" distR="114300" simplePos="0" relativeHeight="251658240" behindDoc="0" locked="0" layoutInCell="1" allowOverlap="0" wp14:anchorId="3A5E980E" wp14:editId="59FC175E">
            <wp:simplePos x="0" y="0"/>
            <wp:positionH relativeFrom="column">
              <wp:posOffset>4692396</wp:posOffset>
            </wp:positionH>
            <wp:positionV relativeFrom="paragraph">
              <wp:posOffset>-15239</wp:posOffset>
            </wp:positionV>
            <wp:extent cx="1164336" cy="118872"/>
            <wp:effectExtent l="0" t="0" r="0" b="0"/>
            <wp:wrapSquare wrapText="bothSides"/>
            <wp:docPr id="154" name="Picture 154"/>
            <wp:cNvGraphicFramePr/>
            <a:graphic xmlns:a="http://schemas.openxmlformats.org/drawingml/2006/main">
              <a:graphicData uri="http://schemas.openxmlformats.org/drawingml/2006/picture">
                <pic:pic xmlns:pic="http://schemas.openxmlformats.org/drawingml/2006/picture">
                  <pic:nvPicPr>
                    <pic:cNvPr id="154" name="Picture 154"/>
                    <pic:cNvPicPr/>
                  </pic:nvPicPr>
                  <pic:blipFill>
                    <a:blip r:embed="rId7"/>
                    <a:stretch>
                      <a:fillRect/>
                    </a:stretch>
                  </pic:blipFill>
                  <pic:spPr>
                    <a:xfrm>
                      <a:off x="0" y="0"/>
                      <a:ext cx="1164336" cy="118872"/>
                    </a:xfrm>
                    <a:prstGeom prst="rect">
                      <a:avLst/>
                    </a:prstGeom>
                  </pic:spPr>
                </pic:pic>
              </a:graphicData>
            </a:graphic>
          </wp:anchor>
        </w:drawing>
      </w:r>
      <w:r>
        <w:rPr>
          <w:noProof/>
        </w:rPr>
        <w:drawing>
          <wp:inline distT="0" distB="0" distL="0" distR="0" wp14:anchorId="37195986" wp14:editId="628C447E">
            <wp:extent cx="1981200" cy="551688"/>
            <wp:effectExtent l="0" t="0" r="0" b="0"/>
            <wp:docPr id="155" name="Picture 155"/>
            <wp:cNvGraphicFramePr/>
            <a:graphic xmlns:a="http://schemas.openxmlformats.org/drawingml/2006/main">
              <a:graphicData uri="http://schemas.openxmlformats.org/drawingml/2006/picture">
                <pic:pic xmlns:pic="http://schemas.openxmlformats.org/drawingml/2006/picture">
                  <pic:nvPicPr>
                    <pic:cNvPr id="155" name="Picture 155"/>
                    <pic:cNvPicPr/>
                  </pic:nvPicPr>
                  <pic:blipFill>
                    <a:blip r:embed="rId8"/>
                    <a:stretch>
                      <a:fillRect/>
                    </a:stretch>
                  </pic:blipFill>
                  <pic:spPr>
                    <a:xfrm>
                      <a:off x="0" y="0"/>
                      <a:ext cx="1981200" cy="551688"/>
                    </a:xfrm>
                    <a:prstGeom prst="rect">
                      <a:avLst/>
                    </a:prstGeom>
                  </pic:spPr>
                </pic:pic>
              </a:graphicData>
            </a:graphic>
          </wp:inline>
        </w:drawing>
      </w:r>
      <w:r>
        <w:rPr>
          <w:sz w:val="24"/>
        </w:rPr>
        <w:tab/>
        <w:t xml:space="preserve"> </w:t>
      </w:r>
    </w:p>
    <w:p w14:paraId="50884443" w14:textId="77777777" w:rsidR="001863D1" w:rsidRDefault="003D0C20">
      <w:pPr>
        <w:spacing w:after="12" w:line="259" w:lineRule="auto"/>
        <w:ind w:left="17" w:firstLine="0"/>
        <w:jc w:val="left"/>
      </w:pPr>
      <w:r>
        <w:rPr>
          <w:sz w:val="22"/>
        </w:rPr>
        <w:t xml:space="preserve"> </w:t>
      </w:r>
      <w:r>
        <w:rPr>
          <w:sz w:val="24"/>
        </w:rPr>
        <w:t xml:space="preserve"> </w:t>
      </w:r>
    </w:p>
    <w:p w14:paraId="16AF9CFA" w14:textId="77777777" w:rsidR="001863D1" w:rsidRDefault="003D0C20">
      <w:pPr>
        <w:spacing w:after="0" w:line="259" w:lineRule="auto"/>
        <w:ind w:left="17" w:firstLine="0"/>
        <w:jc w:val="left"/>
      </w:pPr>
      <w:r>
        <w:rPr>
          <w:sz w:val="22"/>
        </w:rPr>
        <w:t xml:space="preserve"> </w:t>
      </w:r>
      <w:r>
        <w:rPr>
          <w:sz w:val="24"/>
        </w:rPr>
        <w:t xml:space="preserve"> </w:t>
      </w:r>
    </w:p>
    <w:p w14:paraId="6A25E61B" w14:textId="77777777" w:rsidR="001863D1" w:rsidRDefault="003D0C20">
      <w:pPr>
        <w:spacing w:after="0" w:line="259" w:lineRule="auto"/>
        <w:ind w:left="129" w:firstLine="0"/>
        <w:jc w:val="center"/>
      </w:pPr>
      <w:r>
        <w:rPr>
          <w:sz w:val="22"/>
        </w:rPr>
        <w:t xml:space="preserve"> </w:t>
      </w:r>
      <w:r>
        <w:t xml:space="preserve"> </w:t>
      </w:r>
    </w:p>
    <w:p w14:paraId="4AF977FE" w14:textId="77777777" w:rsidR="001863D1" w:rsidRDefault="003D0C20">
      <w:pPr>
        <w:spacing w:after="0" w:line="259" w:lineRule="auto"/>
        <w:ind w:left="18" w:firstLine="0"/>
        <w:jc w:val="center"/>
      </w:pPr>
      <w:r>
        <w:t xml:space="preserve">  </w:t>
      </w:r>
      <w:r>
        <w:rPr>
          <w:b/>
          <w:sz w:val="16"/>
          <w:u w:val="single" w:color="000000"/>
        </w:rPr>
        <w:t>Pouvoir adjudicateur</w:t>
      </w:r>
      <w:r>
        <w:rPr>
          <w:b/>
          <w:sz w:val="16"/>
        </w:rPr>
        <w:t xml:space="preserve"> </w:t>
      </w:r>
    </w:p>
    <w:p w14:paraId="5F7D3179" w14:textId="77777777" w:rsidR="001863D1" w:rsidRDefault="003D0C20">
      <w:pPr>
        <w:spacing w:after="68" w:line="249" w:lineRule="auto"/>
        <w:ind w:left="2732" w:right="1120" w:hanging="264"/>
        <w:jc w:val="left"/>
      </w:pPr>
      <w:r>
        <w:rPr>
          <w:sz w:val="16"/>
        </w:rPr>
        <w:t xml:space="preserve">Agence Nationale de Sécurité du Médicament  et des Produits de Santé – </w:t>
      </w:r>
      <w:r>
        <w:rPr>
          <w:b/>
          <w:sz w:val="16"/>
        </w:rPr>
        <w:t>ANSM</w:t>
      </w:r>
      <w:r>
        <w:rPr>
          <w:sz w:val="16"/>
        </w:rPr>
        <w:t xml:space="preserve"> 143/147 Boulevard Anatole France - 93200 Saint-Denis CEDEX </w:t>
      </w:r>
    </w:p>
    <w:p w14:paraId="60DFE5DE" w14:textId="77777777" w:rsidR="001863D1" w:rsidRDefault="003D0C20">
      <w:pPr>
        <w:spacing w:after="82" w:line="259" w:lineRule="auto"/>
        <w:ind w:left="17" w:firstLine="0"/>
        <w:jc w:val="left"/>
      </w:pPr>
      <w:r>
        <w:rPr>
          <w:sz w:val="24"/>
        </w:rPr>
        <w:t xml:space="preserve"> </w:t>
      </w:r>
    </w:p>
    <w:p w14:paraId="0882599B" w14:textId="77777777" w:rsidR="001863D1" w:rsidRDefault="003D0C20">
      <w:pPr>
        <w:spacing w:after="159" w:line="259" w:lineRule="auto"/>
        <w:ind w:left="10" w:right="64"/>
        <w:jc w:val="center"/>
      </w:pPr>
      <w:r>
        <w:rPr>
          <w:sz w:val="22"/>
        </w:rPr>
        <w:t xml:space="preserve"> </w:t>
      </w:r>
      <w:r>
        <w:rPr>
          <w:b/>
          <w:color w:val="D6BBED"/>
          <w:sz w:val="32"/>
        </w:rPr>
        <w:t>*****</w:t>
      </w:r>
      <w:r>
        <w:rPr>
          <w:b/>
          <w:color w:val="D6BBED"/>
          <w:sz w:val="28"/>
        </w:rPr>
        <w:t xml:space="preserve"> </w:t>
      </w:r>
    </w:p>
    <w:p w14:paraId="0BB44EA0" w14:textId="77777777" w:rsidR="001863D1" w:rsidRDefault="003D0C20">
      <w:pPr>
        <w:spacing w:after="111" w:line="259" w:lineRule="auto"/>
        <w:ind w:left="17" w:firstLine="0"/>
        <w:jc w:val="left"/>
      </w:pPr>
      <w:r>
        <w:rPr>
          <w:sz w:val="24"/>
        </w:rPr>
        <w:t xml:space="preserve"> </w:t>
      </w:r>
    </w:p>
    <w:p w14:paraId="1F391643" w14:textId="77777777" w:rsidR="001863D1" w:rsidRDefault="003D0C20">
      <w:pPr>
        <w:spacing w:after="0" w:line="259" w:lineRule="auto"/>
        <w:ind w:left="0" w:right="296" w:firstLine="0"/>
        <w:jc w:val="center"/>
      </w:pPr>
      <w:r>
        <w:rPr>
          <w:sz w:val="32"/>
        </w:rPr>
        <w:t xml:space="preserve">Marché Public de Service </w:t>
      </w:r>
      <w:r>
        <w:rPr>
          <w:sz w:val="28"/>
        </w:rPr>
        <w:t xml:space="preserve"> </w:t>
      </w:r>
    </w:p>
    <w:p w14:paraId="6C17BC6A" w14:textId="77777777" w:rsidR="001863D1" w:rsidRDefault="003D0C20">
      <w:pPr>
        <w:spacing w:after="77" w:line="259" w:lineRule="auto"/>
        <w:ind w:left="17" w:firstLine="0"/>
        <w:jc w:val="left"/>
      </w:pPr>
      <w:r>
        <w:rPr>
          <w:sz w:val="22"/>
        </w:rPr>
        <w:t xml:space="preserve"> </w:t>
      </w:r>
      <w:r>
        <w:rPr>
          <w:sz w:val="24"/>
        </w:rPr>
        <w:t xml:space="preserve"> </w:t>
      </w:r>
    </w:p>
    <w:p w14:paraId="65A41190" w14:textId="77777777" w:rsidR="001863D1" w:rsidRDefault="003D0C20">
      <w:pPr>
        <w:spacing w:after="159" w:line="259" w:lineRule="auto"/>
        <w:ind w:left="10" w:right="64"/>
        <w:jc w:val="center"/>
      </w:pPr>
      <w:r>
        <w:rPr>
          <w:b/>
          <w:color w:val="D6BBED"/>
          <w:sz w:val="32"/>
        </w:rPr>
        <w:t>*****</w:t>
      </w:r>
      <w:r>
        <w:rPr>
          <w:b/>
          <w:color w:val="D6BBED"/>
          <w:sz w:val="28"/>
        </w:rPr>
        <w:t xml:space="preserve"> </w:t>
      </w:r>
    </w:p>
    <w:p w14:paraId="6242A03F" w14:textId="77777777" w:rsidR="001863D1" w:rsidRDefault="003D0C20">
      <w:pPr>
        <w:spacing w:after="145" w:line="259" w:lineRule="auto"/>
        <w:ind w:left="0" w:right="109" w:firstLine="0"/>
        <w:jc w:val="center"/>
      </w:pPr>
      <w:r>
        <w:rPr>
          <w:sz w:val="22"/>
        </w:rPr>
        <w:t xml:space="preserve"> </w:t>
      </w:r>
      <w:r>
        <w:rPr>
          <w:sz w:val="24"/>
        </w:rPr>
        <w:t xml:space="preserve"> </w:t>
      </w:r>
    </w:p>
    <w:p w14:paraId="310A700C" w14:textId="77777777" w:rsidR="001863D1" w:rsidRDefault="003D0C20">
      <w:pPr>
        <w:spacing w:after="2" w:line="259" w:lineRule="auto"/>
        <w:ind w:left="10" w:right="300"/>
        <w:jc w:val="center"/>
      </w:pPr>
      <w:r>
        <w:rPr>
          <w:b/>
          <w:sz w:val="32"/>
        </w:rPr>
        <w:t xml:space="preserve">Cahier des Clauses Techniques Particulières  </w:t>
      </w:r>
    </w:p>
    <w:p w14:paraId="78794A0F" w14:textId="77777777" w:rsidR="001863D1" w:rsidRDefault="003D0C20">
      <w:pPr>
        <w:spacing w:after="2" w:line="259" w:lineRule="auto"/>
        <w:ind w:left="10" w:right="300"/>
        <w:jc w:val="center"/>
      </w:pPr>
      <w:r>
        <w:rPr>
          <w:b/>
          <w:sz w:val="32"/>
        </w:rPr>
        <w:t>(CCTP)</w:t>
      </w:r>
      <w:r>
        <w:rPr>
          <w:sz w:val="24"/>
        </w:rPr>
        <w:t xml:space="preserve"> </w:t>
      </w:r>
    </w:p>
    <w:p w14:paraId="601B0926" w14:textId="77777777" w:rsidR="001863D1" w:rsidRDefault="003D0C20">
      <w:pPr>
        <w:spacing w:after="13" w:line="272" w:lineRule="auto"/>
        <w:ind w:left="17" w:right="4927" w:firstLine="0"/>
        <w:jc w:val="left"/>
      </w:pPr>
      <w:r>
        <w:rPr>
          <w:b/>
          <w:sz w:val="32"/>
        </w:rPr>
        <w:t xml:space="preserve"> </w:t>
      </w:r>
      <w:r>
        <w:rPr>
          <w:sz w:val="24"/>
        </w:rPr>
        <w:t xml:space="preserve"> </w:t>
      </w:r>
      <w:r>
        <w:rPr>
          <w:sz w:val="22"/>
        </w:rPr>
        <w:t xml:space="preserve"> </w:t>
      </w:r>
      <w:r>
        <w:rPr>
          <w:sz w:val="24"/>
        </w:rPr>
        <w:t xml:space="preserve"> </w:t>
      </w:r>
    </w:p>
    <w:p w14:paraId="083ADFA2" w14:textId="77777777" w:rsidR="001863D1" w:rsidRDefault="003D0C20">
      <w:pPr>
        <w:pBdr>
          <w:top w:val="single" w:sz="4" w:space="0" w:color="000000"/>
          <w:left w:val="single" w:sz="4" w:space="0" w:color="000000"/>
          <w:bottom w:val="single" w:sz="4" w:space="0" w:color="000000"/>
          <w:right w:val="single" w:sz="4" w:space="0" w:color="000000"/>
        </w:pBdr>
        <w:shd w:val="clear" w:color="auto" w:fill="D9D9D9"/>
        <w:spacing w:after="25" w:line="259" w:lineRule="auto"/>
        <w:ind w:left="0" w:right="127" w:firstLine="0"/>
        <w:jc w:val="center"/>
      </w:pPr>
      <w:r>
        <w:rPr>
          <w:sz w:val="28"/>
        </w:rPr>
        <w:t xml:space="preserve"> </w:t>
      </w:r>
      <w:r>
        <w:rPr>
          <w:sz w:val="24"/>
        </w:rPr>
        <w:t xml:space="preserve"> </w:t>
      </w:r>
    </w:p>
    <w:p w14:paraId="55A201BF" w14:textId="77777777" w:rsidR="001863D1" w:rsidRDefault="003D0C20" w:rsidP="00110293">
      <w:pPr>
        <w:pBdr>
          <w:top w:val="single" w:sz="4" w:space="0" w:color="000000"/>
          <w:left w:val="single" w:sz="4" w:space="0" w:color="000000"/>
          <w:bottom w:val="single" w:sz="4" w:space="0" w:color="000000"/>
          <w:right w:val="single" w:sz="4" w:space="0" w:color="000000"/>
        </w:pBdr>
        <w:shd w:val="clear" w:color="auto" w:fill="D9D9D9"/>
        <w:spacing w:after="0" w:line="283" w:lineRule="auto"/>
        <w:ind w:left="0" w:right="127" w:firstLine="960"/>
        <w:jc w:val="center"/>
      </w:pPr>
      <w:r>
        <w:rPr>
          <w:b/>
          <w:color w:val="0000FF"/>
          <w:sz w:val="32"/>
        </w:rPr>
        <w:t>Assistance aux utilisateurs pour le traitement de</w:t>
      </w:r>
      <w:r>
        <w:rPr>
          <w:sz w:val="28"/>
        </w:rPr>
        <w:t xml:space="preserve"> </w:t>
      </w:r>
      <w:r>
        <w:rPr>
          <w:b/>
          <w:color w:val="0000FF"/>
          <w:sz w:val="32"/>
        </w:rPr>
        <w:t>demandes d’intervention et la maintenance des Bâtiments de l’ANSM sur son site de Saint Denis (93)</w:t>
      </w:r>
    </w:p>
    <w:p w14:paraId="4329E98F" w14:textId="77777777" w:rsidR="001863D1" w:rsidRDefault="003D0C20">
      <w:pPr>
        <w:pBdr>
          <w:top w:val="single" w:sz="4" w:space="0" w:color="000000"/>
          <w:left w:val="single" w:sz="4" w:space="0" w:color="000000"/>
          <w:bottom w:val="single" w:sz="4" w:space="0" w:color="000000"/>
          <w:right w:val="single" w:sz="4" w:space="0" w:color="000000"/>
        </w:pBdr>
        <w:shd w:val="clear" w:color="auto" w:fill="D9D9D9"/>
        <w:spacing w:after="0" w:line="259" w:lineRule="auto"/>
        <w:ind w:left="0" w:right="127" w:firstLine="0"/>
        <w:jc w:val="center"/>
      </w:pPr>
      <w:r>
        <w:rPr>
          <w:b/>
          <w:color w:val="0000FF"/>
          <w:sz w:val="32"/>
        </w:rPr>
        <w:t xml:space="preserve"> </w:t>
      </w:r>
      <w:r>
        <w:rPr>
          <w:sz w:val="28"/>
        </w:rPr>
        <w:t xml:space="preserve"> </w:t>
      </w:r>
    </w:p>
    <w:p w14:paraId="39F1DF60" w14:textId="77777777" w:rsidR="001863D1" w:rsidRDefault="003D0C20">
      <w:pPr>
        <w:spacing w:line="259" w:lineRule="auto"/>
        <w:ind w:left="17" w:firstLine="0"/>
        <w:jc w:val="left"/>
      </w:pPr>
      <w:r>
        <w:rPr>
          <w:sz w:val="22"/>
        </w:rPr>
        <w:t xml:space="preserve"> </w:t>
      </w:r>
      <w:r>
        <w:rPr>
          <w:sz w:val="24"/>
        </w:rPr>
        <w:t xml:space="preserve"> </w:t>
      </w:r>
    </w:p>
    <w:p w14:paraId="0F134A35" w14:textId="77777777" w:rsidR="001863D1" w:rsidRDefault="003D0C20">
      <w:pPr>
        <w:spacing w:after="0" w:line="259" w:lineRule="auto"/>
        <w:ind w:left="3558" w:firstLine="0"/>
        <w:jc w:val="left"/>
      </w:pPr>
      <w:r>
        <w:rPr>
          <w:sz w:val="24"/>
        </w:rPr>
        <w:t xml:space="preserve">  </w:t>
      </w:r>
    </w:p>
    <w:p w14:paraId="72128F0B" w14:textId="77777777" w:rsidR="001863D1" w:rsidRDefault="003D0C20">
      <w:pPr>
        <w:spacing w:after="0" w:line="259" w:lineRule="auto"/>
        <w:ind w:left="3558" w:firstLine="0"/>
        <w:jc w:val="left"/>
      </w:pPr>
      <w:r>
        <w:rPr>
          <w:sz w:val="24"/>
        </w:rPr>
        <w:t xml:space="preserve">  </w:t>
      </w:r>
    </w:p>
    <w:p w14:paraId="4D069740" w14:textId="77777777" w:rsidR="001863D1" w:rsidRDefault="003D0C20">
      <w:pPr>
        <w:spacing w:after="0" w:line="259" w:lineRule="auto"/>
        <w:ind w:left="3558" w:firstLine="0"/>
        <w:jc w:val="left"/>
      </w:pPr>
      <w:r>
        <w:rPr>
          <w:sz w:val="24"/>
        </w:rPr>
        <w:t xml:space="preserve">  </w:t>
      </w:r>
    </w:p>
    <w:p w14:paraId="10E54EA4" w14:textId="77777777" w:rsidR="001863D1" w:rsidRDefault="003D0C20">
      <w:pPr>
        <w:spacing w:after="0" w:line="259" w:lineRule="auto"/>
        <w:ind w:left="3558" w:firstLine="0"/>
        <w:jc w:val="left"/>
      </w:pPr>
      <w:r>
        <w:rPr>
          <w:sz w:val="24"/>
        </w:rPr>
        <w:t xml:space="preserve">  </w:t>
      </w:r>
    </w:p>
    <w:p w14:paraId="48069BA1" w14:textId="77777777" w:rsidR="001863D1" w:rsidRDefault="003D0C20">
      <w:pPr>
        <w:spacing w:after="0" w:line="259" w:lineRule="auto"/>
        <w:ind w:left="3558" w:firstLine="0"/>
        <w:jc w:val="left"/>
      </w:pPr>
      <w:r>
        <w:rPr>
          <w:sz w:val="24"/>
        </w:rPr>
        <w:t xml:space="preserve">  </w:t>
      </w:r>
    </w:p>
    <w:p w14:paraId="408D5637" w14:textId="77777777" w:rsidR="001863D1" w:rsidRDefault="003D0C20">
      <w:pPr>
        <w:spacing w:after="0" w:line="259" w:lineRule="auto"/>
        <w:ind w:left="3558" w:firstLine="0"/>
        <w:jc w:val="left"/>
      </w:pPr>
      <w:r>
        <w:rPr>
          <w:sz w:val="24"/>
        </w:rPr>
        <w:t xml:space="preserve">  </w:t>
      </w:r>
    </w:p>
    <w:p w14:paraId="093156F2" w14:textId="77777777" w:rsidR="001863D1" w:rsidRDefault="003D0C20">
      <w:pPr>
        <w:spacing w:after="0" w:line="259" w:lineRule="auto"/>
        <w:ind w:left="3558" w:firstLine="0"/>
        <w:jc w:val="left"/>
      </w:pPr>
      <w:r>
        <w:rPr>
          <w:sz w:val="24"/>
        </w:rPr>
        <w:t xml:space="preserve">  </w:t>
      </w:r>
    </w:p>
    <w:p w14:paraId="44E14905" w14:textId="77777777" w:rsidR="001863D1" w:rsidRDefault="003D0C20">
      <w:pPr>
        <w:spacing w:after="0" w:line="259" w:lineRule="auto"/>
        <w:ind w:left="3558" w:firstLine="0"/>
        <w:jc w:val="left"/>
      </w:pPr>
      <w:r>
        <w:rPr>
          <w:sz w:val="24"/>
        </w:rPr>
        <w:t xml:space="preserve">  </w:t>
      </w:r>
    </w:p>
    <w:p w14:paraId="11BB2D1F" w14:textId="77777777" w:rsidR="001863D1" w:rsidRDefault="003D0C20">
      <w:pPr>
        <w:spacing w:after="0" w:line="259" w:lineRule="auto"/>
        <w:ind w:left="3558" w:firstLine="0"/>
        <w:jc w:val="left"/>
      </w:pPr>
      <w:r>
        <w:rPr>
          <w:sz w:val="24"/>
        </w:rPr>
        <w:t xml:space="preserve">  </w:t>
      </w:r>
    </w:p>
    <w:p w14:paraId="54BEABBE" w14:textId="77777777" w:rsidR="001863D1" w:rsidRDefault="003D0C20">
      <w:pPr>
        <w:spacing w:after="2" w:line="259" w:lineRule="auto"/>
        <w:ind w:left="3558" w:firstLine="0"/>
        <w:jc w:val="left"/>
      </w:pPr>
      <w:r>
        <w:rPr>
          <w:sz w:val="24"/>
        </w:rPr>
        <w:t xml:space="preserve">  </w:t>
      </w:r>
    </w:p>
    <w:p w14:paraId="31CF7BAE" w14:textId="77777777" w:rsidR="001863D1" w:rsidRDefault="003D0C20">
      <w:pPr>
        <w:spacing w:after="0" w:line="259" w:lineRule="auto"/>
        <w:ind w:left="3558" w:firstLine="0"/>
        <w:jc w:val="left"/>
      </w:pPr>
      <w:r>
        <w:rPr>
          <w:sz w:val="24"/>
        </w:rPr>
        <w:t xml:space="preserve">  </w:t>
      </w:r>
    </w:p>
    <w:p w14:paraId="7FC88C03" w14:textId="4A9DDDBD" w:rsidR="001863D1" w:rsidRDefault="003D0C20">
      <w:pPr>
        <w:spacing w:after="39"/>
        <w:ind w:right="292"/>
      </w:pPr>
      <w:r>
        <w:t>Annexe 1 -  volumétrie des prestations SVP travaux mensuelle - Année 20</w:t>
      </w:r>
      <w:r w:rsidR="00C1170E">
        <w:t>24</w:t>
      </w:r>
      <w:r>
        <w:t xml:space="preserve"> </w:t>
      </w:r>
    </w:p>
    <w:p w14:paraId="4BB04C12" w14:textId="77777777" w:rsidR="001863D1" w:rsidRDefault="003D0C20">
      <w:pPr>
        <w:spacing w:after="0" w:line="259" w:lineRule="auto"/>
        <w:ind w:left="3558" w:firstLine="0"/>
        <w:jc w:val="left"/>
      </w:pPr>
      <w:r>
        <w:rPr>
          <w:sz w:val="24"/>
        </w:rPr>
        <w:t xml:space="preserve">  </w:t>
      </w:r>
    </w:p>
    <w:p w14:paraId="4563277B" w14:textId="77777777" w:rsidR="001863D1" w:rsidRDefault="003D0C20">
      <w:pPr>
        <w:spacing w:after="0" w:line="259" w:lineRule="auto"/>
        <w:ind w:left="3558" w:firstLine="0"/>
        <w:jc w:val="left"/>
      </w:pPr>
      <w:r>
        <w:rPr>
          <w:sz w:val="24"/>
        </w:rPr>
        <w:t xml:space="preserve"> </w:t>
      </w:r>
    </w:p>
    <w:p w14:paraId="07EE6477" w14:textId="77777777" w:rsidR="001863D1" w:rsidRDefault="003D0C20">
      <w:pPr>
        <w:spacing w:after="0" w:line="259" w:lineRule="auto"/>
        <w:ind w:left="3558" w:firstLine="0"/>
        <w:jc w:val="left"/>
      </w:pPr>
      <w:r>
        <w:rPr>
          <w:sz w:val="24"/>
        </w:rPr>
        <w:t xml:space="preserve">  </w:t>
      </w:r>
    </w:p>
    <w:p w14:paraId="5F90E758" w14:textId="77777777" w:rsidR="001863D1" w:rsidRDefault="003D0C20">
      <w:pPr>
        <w:spacing w:after="0" w:line="259" w:lineRule="auto"/>
        <w:ind w:left="3558" w:firstLine="0"/>
        <w:jc w:val="left"/>
      </w:pPr>
      <w:r>
        <w:rPr>
          <w:sz w:val="24"/>
        </w:rPr>
        <w:t xml:space="preserve">  </w:t>
      </w:r>
    </w:p>
    <w:p w14:paraId="55080B0F" w14:textId="77777777" w:rsidR="001863D1" w:rsidRDefault="003D0C20">
      <w:pPr>
        <w:spacing w:after="0" w:line="259" w:lineRule="auto"/>
        <w:ind w:left="3558" w:firstLine="0"/>
        <w:jc w:val="left"/>
      </w:pPr>
      <w:r>
        <w:rPr>
          <w:sz w:val="24"/>
        </w:rPr>
        <w:t xml:space="preserve">  </w:t>
      </w:r>
    </w:p>
    <w:p w14:paraId="309D3476" w14:textId="77777777" w:rsidR="001863D1" w:rsidRDefault="003D0C20">
      <w:pPr>
        <w:spacing w:after="68" w:line="249" w:lineRule="auto"/>
        <w:ind w:left="2" w:right="-15" w:firstLine="0"/>
        <w:jc w:val="left"/>
      </w:pPr>
      <w:proofErr w:type="spellStart"/>
      <w:r>
        <w:rPr>
          <w:sz w:val="16"/>
        </w:rPr>
        <w:t>CCTP_Assistance</w:t>
      </w:r>
      <w:proofErr w:type="spellEnd"/>
      <w:r>
        <w:rPr>
          <w:sz w:val="16"/>
        </w:rPr>
        <w:t xml:space="preserve"> aux utilisateurs pour le traitement des demandes d’intervention et la maintenance des Bâtiments de l’ANSM sur son site de Saint Denis </w:t>
      </w:r>
    </w:p>
    <w:p w14:paraId="19F26FEE" w14:textId="77777777" w:rsidR="001863D1" w:rsidRDefault="003D0C20">
      <w:pPr>
        <w:spacing w:after="0" w:line="259" w:lineRule="auto"/>
        <w:ind w:left="3558" w:firstLine="0"/>
        <w:jc w:val="left"/>
      </w:pPr>
      <w:r>
        <w:rPr>
          <w:sz w:val="24"/>
        </w:rPr>
        <w:t xml:space="preserve">  </w:t>
      </w:r>
    </w:p>
    <w:p w14:paraId="04BCC7DE" w14:textId="77777777" w:rsidR="001863D1" w:rsidRDefault="003D0C20">
      <w:pPr>
        <w:spacing w:after="0" w:line="259" w:lineRule="auto"/>
        <w:ind w:left="3558" w:firstLine="0"/>
        <w:jc w:val="left"/>
      </w:pPr>
      <w:r>
        <w:rPr>
          <w:sz w:val="24"/>
        </w:rPr>
        <w:t xml:space="preserve">  </w:t>
      </w:r>
    </w:p>
    <w:p w14:paraId="594C5149" w14:textId="77777777" w:rsidR="001863D1" w:rsidRDefault="003D0C20">
      <w:pPr>
        <w:spacing w:after="31" w:line="259" w:lineRule="auto"/>
        <w:ind w:left="3558" w:firstLine="0"/>
        <w:jc w:val="left"/>
      </w:pPr>
      <w:r>
        <w:rPr>
          <w:sz w:val="24"/>
        </w:rPr>
        <w:lastRenderedPageBreak/>
        <w:t xml:space="preserve">   </w:t>
      </w:r>
    </w:p>
    <w:p w14:paraId="5FD73BDA" w14:textId="77777777" w:rsidR="001863D1" w:rsidRDefault="003D0C20">
      <w:pPr>
        <w:spacing w:after="25" w:line="259" w:lineRule="auto"/>
        <w:ind w:left="-12" w:right="215" w:firstLine="0"/>
        <w:jc w:val="right"/>
      </w:pPr>
      <w:r>
        <w:rPr>
          <w:rFonts w:ascii="Calibri" w:eastAsia="Calibri" w:hAnsi="Calibri" w:cs="Calibri"/>
          <w:noProof/>
          <w:sz w:val="22"/>
        </w:rPr>
        <mc:AlternateContent>
          <mc:Choice Requires="wpg">
            <w:drawing>
              <wp:inline distT="0" distB="0" distL="0" distR="0" wp14:anchorId="3A2C754F" wp14:editId="569D21E1">
                <wp:extent cx="6152388" cy="9144"/>
                <wp:effectExtent l="0" t="0" r="0" b="0"/>
                <wp:docPr id="10359" name="Group 10359"/>
                <wp:cNvGraphicFramePr/>
                <a:graphic xmlns:a="http://schemas.openxmlformats.org/drawingml/2006/main">
                  <a:graphicData uri="http://schemas.microsoft.com/office/word/2010/wordprocessingGroup">
                    <wpg:wgp>
                      <wpg:cNvGrpSpPr/>
                      <wpg:grpSpPr>
                        <a:xfrm>
                          <a:off x="0" y="0"/>
                          <a:ext cx="6152388" cy="9144"/>
                          <a:chOff x="0" y="0"/>
                          <a:chExt cx="6152388" cy="9144"/>
                        </a:xfrm>
                      </wpg:grpSpPr>
                      <wps:wsp>
                        <wps:cNvPr id="12714" name="Shape 12714"/>
                        <wps:cNvSpPr/>
                        <wps:spPr>
                          <a:xfrm>
                            <a:off x="0" y="0"/>
                            <a:ext cx="6152388" cy="9144"/>
                          </a:xfrm>
                          <a:custGeom>
                            <a:avLst/>
                            <a:gdLst/>
                            <a:ahLst/>
                            <a:cxnLst/>
                            <a:rect l="0" t="0" r="0" b="0"/>
                            <a:pathLst>
                              <a:path w="6152388" h="9144">
                                <a:moveTo>
                                  <a:pt x="0" y="0"/>
                                </a:moveTo>
                                <a:lnTo>
                                  <a:pt x="6152388" y="0"/>
                                </a:lnTo>
                                <a:lnTo>
                                  <a:pt x="6152388" y="9144"/>
                                </a:lnTo>
                                <a:lnTo>
                                  <a:pt x="0" y="9144"/>
                                </a:lnTo>
                                <a:lnTo>
                                  <a:pt x="0" y="0"/>
                                </a:lnTo>
                              </a:path>
                            </a:pathLst>
                          </a:custGeom>
                          <a:ln w="0" cap="flat">
                            <a:miter lim="127000"/>
                          </a:ln>
                        </wps:spPr>
                        <wps:style>
                          <a:lnRef idx="0">
                            <a:srgbClr val="000000">
                              <a:alpha val="0"/>
                            </a:srgbClr>
                          </a:lnRef>
                          <a:fillRef idx="1">
                            <a:srgbClr val="767171"/>
                          </a:fillRef>
                          <a:effectRef idx="0">
                            <a:scrgbClr r="0" g="0" b="0"/>
                          </a:effectRef>
                          <a:fontRef idx="none"/>
                        </wps:style>
                        <wps:bodyPr/>
                      </wps:wsp>
                    </wpg:wgp>
                  </a:graphicData>
                </a:graphic>
              </wp:inline>
            </w:drawing>
          </mc:Choice>
          <mc:Fallback>
            <w:pict>
              <v:group w14:anchorId="68411FF9" id="Group 10359" o:spid="_x0000_s1026" style="width:484.45pt;height:.7pt;mso-position-horizontal-relative:char;mso-position-vertical-relative:line" coordsize="6152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">
                <v:shape id="Shape 12714" o:spid="_x0000_s1027" style="position:absolute;width:61523;height:91;visibility:visible;mso-wrap-style:square;v-text-anchor:top" coordsize="615238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u7KMYA&#10;AADeAAAADwAAAGRycy9kb3ducmV2LnhtbERPTWvCQBC9C/0PywjezEax2qauEiKC9VJMW89DdprE&#10;ZmdDdtW0v94VCr3N433Oct2bRlyoc7VlBZMoBkFcWF1zqeDjfTt+AuE8ssbGMin4IQfr1cNgiYm2&#10;Vz7QJfelCCHsElRQed8mUrqiIoMusi1x4L5sZ9AH2JVSd3gN4aaR0zieS4M1h4YKW8oqKr7zs1EQ&#10;58fnxTE7Pf6+bZpXuT+kRfaZKjUa9ukLCE+9/xf/uXc6zJ8uJjO4vxNukK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Yu7KMYAAADeAAAADwAAAAAAAAAAAAAAAACYAgAAZHJz&#10;L2Rvd25yZXYueG1sUEsFBgAAAAAEAAQA9QAAAIsDAAAAAA==&#10;" path="m,l6152388,r,9144l,9144,,e" fillcolor="#767171" stroked="f" strokeweight="0">
                  <v:stroke miterlimit="83231f" joinstyle="miter"/>
                  <v:path arrowok="t" textboxrect="0,0,6152388,9144"/>
                </v:shape>
                <w10:anchorlock/>
              </v:group>
            </w:pict>
          </mc:Fallback>
        </mc:AlternateContent>
      </w:r>
      <w:r>
        <w:rPr>
          <w:sz w:val="24"/>
        </w:rPr>
        <w:t xml:space="preserve"> </w:t>
      </w:r>
    </w:p>
    <w:p w14:paraId="5F200E55" w14:textId="77777777" w:rsidR="001863D1" w:rsidRDefault="003D0C20">
      <w:pPr>
        <w:spacing w:after="5" w:line="259" w:lineRule="auto"/>
        <w:ind w:left="17" w:firstLine="0"/>
        <w:jc w:val="left"/>
      </w:pPr>
      <w:r>
        <w:rPr>
          <w:sz w:val="18"/>
        </w:rPr>
        <w:t xml:space="preserve">  </w:t>
      </w:r>
      <w:r>
        <w:rPr>
          <w:sz w:val="18"/>
        </w:rPr>
        <w:tab/>
        <w:t xml:space="preserve"> </w:t>
      </w:r>
      <w:r>
        <w:rPr>
          <w:sz w:val="24"/>
        </w:rPr>
        <w:t xml:space="preserve">   </w:t>
      </w:r>
    </w:p>
    <w:p w14:paraId="6BD2C18C" w14:textId="77777777" w:rsidR="001863D1" w:rsidRDefault="003D0C20">
      <w:pPr>
        <w:spacing w:after="129" w:line="259" w:lineRule="auto"/>
        <w:ind w:left="3558" w:firstLine="0"/>
        <w:jc w:val="left"/>
      </w:pPr>
      <w:r>
        <w:rPr>
          <w:sz w:val="24"/>
        </w:rPr>
        <w:t xml:space="preserve">  </w:t>
      </w:r>
    </w:p>
    <w:p w14:paraId="0F57FC91" w14:textId="77777777" w:rsidR="001863D1" w:rsidRDefault="003D0C20">
      <w:pPr>
        <w:spacing w:after="40" w:line="259" w:lineRule="auto"/>
        <w:ind w:left="0" w:right="296" w:firstLine="0"/>
        <w:jc w:val="center"/>
      </w:pPr>
      <w:r>
        <w:rPr>
          <w:b/>
          <w:color w:val="323E4F"/>
          <w:sz w:val="32"/>
          <w:u w:val="single" w:color="323E4F"/>
        </w:rPr>
        <w:t>Table des matières</w:t>
      </w:r>
      <w:r>
        <w:rPr>
          <w:color w:val="323E4F"/>
          <w:sz w:val="32"/>
        </w:rPr>
        <w:t xml:space="preserve">  </w:t>
      </w:r>
    </w:p>
    <w:p w14:paraId="3D80FEF3" w14:textId="77777777" w:rsidR="001863D1" w:rsidRDefault="003D0C20">
      <w:pPr>
        <w:spacing w:after="0" w:line="259" w:lineRule="auto"/>
        <w:ind w:left="0" w:right="194" w:firstLine="0"/>
        <w:jc w:val="center"/>
      </w:pPr>
      <w:r>
        <w:rPr>
          <w:color w:val="323E4F"/>
          <w:sz w:val="36"/>
        </w:rPr>
        <w:t xml:space="preserve"> </w:t>
      </w:r>
    </w:p>
    <w:p w14:paraId="18C17391" w14:textId="77777777" w:rsidR="001863D1" w:rsidRDefault="003D0C20">
      <w:pPr>
        <w:spacing w:after="65" w:line="259" w:lineRule="auto"/>
        <w:ind w:left="0" w:right="102" w:firstLine="0"/>
        <w:jc w:val="center"/>
      </w:pPr>
      <w:r>
        <w:rPr>
          <w:color w:val="323E4F"/>
          <w:sz w:val="24"/>
        </w:rPr>
        <w:t xml:space="preserve">  </w:t>
      </w:r>
    </w:p>
    <w:sdt>
      <w:sdtPr>
        <w:rPr>
          <w:b w:val="0"/>
          <w:sz w:val="20"/>
        </w:rPr>
        <w:id w:val="36789918"/>
        <w:docPartObj>
          <w:docPartGallery w:val="Table of Contents"/>
        </w:docPartObj>
      </w:sdtPr>
      <w:sdtEndPr/>
      <w:sdtContent>
        <w:p w14:paraId="10106AAE" w14:textId="77777777" w:rsidR="000169A8" w:rsidRDefault="003D0C20">
          <w:pPr>
            <w:pStyle w:val="TM1"/>
            <w:tabs>
              <w:tab w:val="right" w:leader="dot" w:pos="9948"/>
            </w:tabs>
            <w:rPr>
              <w:rFonts w:asciiTheme="minorHAnsi" w:eastAsiaTheme="minorEastAsia" w:hAnsiTheme="minorHAnsi" w:cstheme="minorBidi"/>
              <w:b w:val="0"/>
              <w:noProof/>
              <w:color w:val="auto"/>
            </w:rPr>
          </w:pPr>
          <w:r>
            <w:fldChar w:fldCharType="begin"/>
          </w:r>
          <w:r>
            <w:instrText xml:space="preserve"> TOC \o "1-3" \h \z \u </w:instrText>
          </w:r>
          <w:r>
            <w:fldChar w:fldCharType="separate"/>
          </w:r>
          <w:hyperlink w:anchor="_Toc185493539" w:history="1">
            <w:r w:rsidR="000169A8" w:rsidRPr="002305DB">
              <w:rPr>
                <w:rStyle w:val="Lienhypertexte"/>
                <w:noProof/>
              </w:rPr>
              <w:t>Article 1 : OBJET DU MARCHE</w:t>
            </w:r>
            <w:r w:rsidR="000169A8">
              <w:rPr>
                <w:noProof/>
                <w:webHidden/>
              </w:rPr>
              <w:tab/>
            </w:r>
            <w:r w:rsidR="000169A8">
              <w:rPr>
                <w:noProof/>
                <w:webHidden/>
              </w:rPr>
              <w:fldChar w:fldCharType="begin"/>
            </w:r>
            <w:r w:rsidR="000169A8">
              <w:rPr>
                <w:noProof/>
                <w:webHidden/>
              </w:rPr>
              <w:instrText xml:space="preserve"> PAGEREF _Toc185493539 \h </w:instrText>
            </w:r>
            <w:r w:rsidR="000169A8">
              <w:rPr>
                <w:noProof/>
                <w:webHidden/>
              </w:rPr>
            </w:r>
            <w:r w:rsidR="000169A8">
              <w:rPr>
                <w:noProof/>
                <w:webHidden/>
              </w:rPr>
              <w:fldChar w:fldCharType="separate"/>
            </w:r>
            <w:r w:rsidR="000169A8">
              <w:rPr>
                <w:noProof/>
                <w:webHidden/>
              </w:rPr>
              <w:t>3</w:t>
            </w:r>
            <w:r w:rsidR="000169A8">
              <w:rPr>
                <w:noProof/>
                <w:webHidden/>
              </w:rPr>
              <w:fldChar w:fldCharType="end"/>
            </w:r>
          </w:hyperlink>
        </w:p>
        <w:p w14:paraId="60D94CE2" w14:textId="77777777" w:rsidR="000169A8" w:rsidRDefault="00FB2573">
          <w:pPr>
            <w:pStyle w:val="TM1"/>
            <w:tabs>
              <w:tab w:val="right" w:leader="dot" w:pos="9948"/>
            </w:tabs>
            <w:rPr>
              <w:rFonts w:asciiTheme="minorHAnsi" w:eastAsiaTheme="minorEastAsia" w:hAnsiTheme="minorHAnsi" w:cstheme="minorBidi"/>
              <w:b w:val="0"/>
              <w:noProof/>
              <w:color w:val="auto"/>
            </w:rPr>
          </w:pPr>
          <w:hyperlink w:anchor="_Toc185493540" w:history="1">
            <w:r w:rsidR="000169A8" w:rsidRPr="002305DB">
              <w:rPr>
                <w:rStyle w:val="Lienhypertexte"/>
                <w:noProof/>
              </w:rPr>
              <w:t>Article 2 : DESCRIPTION DES PRESTATIONS ATTENDUES</w:t>
            </w:r>
            <w:r w:rsidR="000169A8">
              <w:rPr>
                <w:noProof/>
                <w:webHidden/>
              </w:rPr>
              <w:tab/>
            </w:r>
            <w:r w:rsidR="000169A8">
              <w:rPr>
                <w:noProof/>
                <w:webHidden/>
              </w:rPr>
              <w:fldChar w:fldCharType="begin"/>
            </w:r>
            <w:r w:rsidR="000169A8">
              <w:rPr>
                <w:noProof/>
                <w:webHidden/>
              </w:rPr>
              <w:instrText xml:space="preserve"> PAGEREF _Toc185493540 \h </w:instrText>
            </w:r>
            <w:r w:rsidR="000169A8">
              <w:rPr>
                <w:noProof/>
                <w:webHidden/>
              </w:rPr>
            </w:r>
            <w:r w:rsidR="000169A8">
              <w:rPr>
                <w:noProof/>
                <w:webHidden/>
              </w:rPr>
              <w:fldChar w:fldCharType="separate"/>
            </w:r>
            <w:r w:rsidR="000169A8">
              <w:rPr>
                <w:noProof/>
                <w:webHidden/>
              </w:rPr>
              <w:t>4</w:t>
            </w:r>
            <w:r w:rsidR="000169A8">
              <w:rPr>
                <w:noProof/>
                <w:webHidden/>
              </w:rPr>
              <w:fldChar w:fldCharType="end"/>
            </w:r>
          </w:hyperlink>
        </w:p>
        <w:p w14:paraId="0B67525F" w14:textId="77777777" w:rsidR="000169A8" w:rsidRDefault="00FB2573">
          <w:pPr>
            <w:pStyle w:val="TM2"/>
            <w:tabs>
              <w:tab w:val="right" w:leader="dot" w:pos="9948"/>
            </w:tabs>
            <w:rPr>
              <w:rFonts w:asciiTheme="minorHAnsi" w:eastAsiaTheme="minorEastAsia" w:hAnsiTheme="minorHAnsi" w:cstheme="minorBidi"/>
              <w:b w:val="0"/>
              <w:noProof/>
              <w:color w:val="auto"/>
            </w:rPr>
          </w:pPr>
          <w:hyperlink w:anchor="_Toc185493541" w:history="1">
            <w:r w:rsidR="000169A8" w:rsidRPr="002305DB">
              <w:rPr>
                <w:rStyle w:val="Lienhypertexte"/>
                <w:noProof/>
              </w:rPr>
              <w:t>2.1 Cadre général de la maintenance attendue</w:t>
            </w:r>
            <w:r w:rsidR="000169A8">
              <w:rPr>
                <w:noProof/>
                <w:webHidden/>
              </w:rPr>
              <w:tab/>
            </w:r>
            <w:r w:rsidR="000169A8">
              <w:rPr>
                <w:noProof/>
                <w:webHidden/>
              </w:rPr>
              <w:fldChar w:fldCharType="begin"/>
            </w:r>
            <w:r w:rsidR="000169A8">
              <w:rPr>
                <w:noProof/>
                <w:webHidden/>
              </w:rPr>
              <w:instrText xml:space="preserve"> PAGEREF _Toc185493541 \h </w:instrText>
            </w:r>
            <w:r w:rsidR="000169A8">
              <w:rPr>
                <w:noProof/>
                <w:webHidden/>
              </w:rPr>
            </w:r>
            <w:r w:rsidR="000169A8">
              <w:rPr>
                <w:noProof/>
                <w:webHidden/>
              </w:rPr>
              <w:fldChar w:fldCharType="separate"/>
            </w:r>
            <w:r w:rsidR="000169A8">
              <w:rPr>
                <w:noProof/>
                <w:webHidden/>
              </w:rPr>
              <w:t>4</w:t>
            </w:r>
            <w:r w:rsidR="000169A8">
              <w:rPr>
                <w:noProof/>
                <w:webHidden/>
              </w:rPr>
              <w:fldChar w:fldCharType="end"/>
            </w:r>
          </w:hyperlink>
        </w:p>
        <w:p w14:paraId="15CFB8F1" w14:textId="77777777" w:rsidR="000169A8" w:rsidRDefault="00FB2573">
          <w:pPr>
            <w:pStyle w:val="TM3"/>
            <w:tabs>
              <w:tab w:val="right" w:leader="dot" w:pos="9948"/>
            </w:tabs>
            <w:rPr>
              <w:rFonts w:asciiTheme="minorHAnsi" w:eastAsiaTheme="minorEastAsia" w:hAnsiTheme="minorHAnsi" w:cstheme="minorBidi"/>
              <w:noProof/>
              <w:color w:val="auto"/>
            </w:rPr>
          </w:pPr>
          <w:hyperlink w:anchor="_Toc185493542" w:history="1">
            <w:r w:rsidR="000169A8" w:rsidRPr="002305DB">
              <w:rPr>
                <w:rStyle w:val="Lienhypertexte"/>
                <w:noProof/>
              </w:rPr>
              <w:t>2.1.1 Localisation</w:t>
            </w:r>
            <w:r w:rsidR="000169A8">
              <w:rPr>
                <w:noProof/>
                <w:webHidden/>
              </w:rPr>
              <w:tab/>
            </w:r>
            <w:r w:rsidR="000169A8">
              <w:rPr>
                <w:noProof/>
                <w:webHidden/>
              </w:rPr>
              <w:fldChar w:fldCharType="begin"/>
            </w:r>
            <w:r w:rsidR="000169A8">
              <w:rPr>
                <w:noProof/>
                <w:webHidden/>
              </w:rPr>
              <w:instrText xml:space="preserve"> PAGEREF _Toc185493542 \h </w:instrText>
            </w:r>
            <w:r w:rsidR="000169A8">
              <w:rPr>
                <w:noProof/>
                <w:webHidden/>
              </w:rPr>
            </w:r>
            <w:r w:rsidR="000169A8">
              <w:rPr>
                <w:noProof/>
                <w:webHidden/>
              </w:rPr>
              <w:fldChar w:fldCharType="separate"/>
            </w:r>
            <w:r w:rsidR="000169A8">
              <w:rPr>
                <w:noProof/>
                <w:webHidden/>
              </w:rPr>
              <w:t>4</w:t>
            </w:r>
            <w:r w:rsidR="000169A8">
              <w:rPr>
                <w:noProof/>
                <w:webHidden/>
              </w:rPr>
              <w:fldChar w:fldCharType="end"/>
            </w:r>
          </w:hyperlink>
        </w:p>
        <w:p w14:paraId="5CF6B264" w14:textId="77777777" w:rsidR="000169A8" w:rsidRDefault="00FB2573">
          <w:pPr>
            <w:pStyle w:val="TM3"/>
            <w:tabs>
              <w:tab w:val="right" w:leader="dot" w:pos="9948"/>
            </w:tabs>
            <w:rPr>
              <w:rFonts w:asciiTheme="minorHAnsi" w:eastAsiaTheme="minorEastAsia" w:hAnsiTheme="minorHAnsi" w:cstheme="minorBidi"/>
              <w:noProof/>
              <w:color w:val="auto"/>
            </w:rPr>
          </w:pPr>
          <w:hyperlink w:anchor="_Toc185493543" w:history="1">
            <w:r w:rsidR="000169A8" w:rsidRPr="002305DB">
              <w:rPr>
                <w:rStyle w:val="Lienhypertexte"/>
                <w:noProof/>
              </w:rPr>
              <w:t>2.1.2 Couverture horaire</w:t>
            </w:r>
            <w:r w:rsidR="000169A8">
              <w:rPr>
                <w:noProof/>
                <w:webHidden/>
              </w:rPr>
              <w:tab/>
            </w:r>
            <w:r w:rsidR="000169A8">
              <w:rPr>
                <w:noProof/>
                <w:webHidden/>
              </w:rPr>
              <w:fldChar w:fldCharType="begin"/>
            </w:r>
            <w:r w:rsidR="000169A8">
              <w:rPr>
                <w:noProof/>
                <w:webHidden/>
              </w:rPr>
              <w:instrText xml:space="preserve"> PAGEREF _Toc185493543 \h </w:instrText>
            </w:r>
            <w:r w:rsidR="000169A8">
              <w:rPr>
                <w:noProof/>
                <w:webHidden/>
              </w:rPr>
            </w:r>
            <w:r w:rsidR="000169A8">
              <w:rPr>
                <w:noProof/>
                <w:webHidden/>
              </w:rPr>
              <w:fldChar w:fldCharType="separate"/>
            </w:r>
            <w:r w:rsidR="000169A8">
              <w:rPr>
                <w:noProof/>
                <w:webHidden/>
              </w:rPr>
              <w:t>4</w:t>
            </w:r>
            <w:r w:rsidR="000169A8">
              <w:rPr>
                <w:noProof/>
                <w:webHidden/>
              </w:rPr>
              <w:fldChar w:fldCharType="end"/>
            </w:r>
          </w:hyperlink>
        </w:p>
        <w:p w14:paraId="7F26930C" w14:textId="77777777" w:rsidR="000169A8" w:rsidRDefault="00FB2573">
          <w:pPr>
            <w:pStyle w:val="TM3"/>
            <w:tabs>
              <w:tab w:val="right" w:leader="dot" w:pos="9948"/>
            </w:tabs>
            <w:rPr>
              <w:rFonts w:asciiTheme="minorHAnsi" w:eastAsiaTheme="minorEastAsia" w:hAnsiTheme="minorHAnsi" w:cstheme="minorBidi"/>
              <w:noProof/>
              <w:color w:val="auto"/>
            </w:rPr>
          </w:pPr>
          <w:hyperlink w:anchor="_Toc185493544" w:history="1">
            <w:r w:rsidR="000169A8" w:rsidRPr="002305DB">
              <w:rPr>
                <w:rStyle w:val="Lienhypertexte"/>
                <w:noProof/>
              </w:rPr>
              <w:t>2.1.3 Fournitures et matériel de communication</w:t>
            </w:r>
            <w:r w:rsidR="000169A8">
              <w:rPr>
                <w:noProof/>
                <w:webHidden/>
              </w:rPr>
              <w:tab/>
            </w:r>
            <w:r w:rsidR="000169A8">
              <w:rPr>
                <w:noProof/>
                <w:webHidden/>
              </w:rPr>
              <w:fldChar w:fldCharType="begin"/>
            </w:r>
            <w:r w:rsidR="000169A8">
              <w:rPr>
                <w:noProof/>
                <w:webHidden/>
              </w:rPr>
              <w:instrText xml:space="preserve"> PAGEREF _Toc185493544 \h </w:instrText>
            </w:r>
            <w:r w:rsidR="000169A8">
              <w:rPr>
                <w:noProof/>
                <w:webHidden/>
              </w:rPr>
            </w:r>
            <w:r w:rsidR="000169A8">
              <w:rPr>
                <w:noProof/>
                <w:webHidden/>
              </w:rPr>
              <w:fldChar w:fldCharType="separate"/>
            </w:r>
            <w:r w:rsidR="000169A8">
              <w:rPr>
                <w:noProof/>
                <w:webHidden/>
              </w:rPr>
              <w:t>4</w:t>
            </w:r>
            <w:r w:rsidR="000169A8">
              <w:rPr>
                <w:noProof/>
                <w:webHidden/>
              </w:rPr>
              <w:fldChar w:fldCharType="end"/>
            </w:r>
          </w:hyperlink>
        </w:p>
        <w:p w14:paraId="05E422B5" w14:textId="77777777" w:rsidR="000169A8" w:rsidRDefault="00FB2573">
          <w:pPr>
            <w:pStyle w:val="TM2"/>
            <w:tabs>
              <w:tab w:val="right" w:leader="dot" w:pos="9948"/>
            </w:tabs>
            <w:rPr>
              <w:rFonts w:asciiTheme="minorHAnsi" w:eastAsiaTheme="minorEastAsia" w:hAnsiTheme="minorHAnsi" w:cstheme="minorBidi"/>
              <w:b w:val="0"/>
              <w:noProof/>
              <w:color w:val="auto"/>
            </w:rPr>
          </w:pPr>
          <w:hyperlink w:anchor="_Toc185493545" w:history="1">
            <w:r w:rsidR="000169A8" w:rsidRPr="002305DB">
              <w:rPr>
                <w:rStyle w:val="Lienhypertexte"/>
                <w:noProof/>
              </w:rPr>
              <w:t>2.2 Equipe</w:t>
            </w:r>
            <w:r w:rsidR="000169A8">
              <w:rPr>
                <w:noProof/>
                <w:webHidden/>
              </w:rPr>
              <w:tab/>
            </w:r>
            <w:r w:rsidR="000169A8">
              <w:rPr>
                <w:noProof/>
                <w:webHidden/>
              </w:rPr>
              <w:fldChar w:fldCharType="begin"/>
            </w:r>
            <w:r w:rsidR="000169A8">
              <w:rPr>
                <w:noProof/>
                <w:webHidden/>
              </w:rPr>
              <w:instrText xml:space="preserve"> PAGEREF _Toc185493545 \h </w:instrText>
            </w:r>
            <w:r w:rsidR="000169A8">
              <w:rPr>
                <w:noProof/>
                <w:webHidden/>
              </w:rPr>
            </w:r>
            <w:r w:rsidR="000169A8">
              <w:rPr>
                <w:noProof/>
                <w:webHidden/>
              </w:rPr>
              <w:fldChar w:fldCharType="separate"/>
            </w:r>
            <w:r w:rsidR="000169A8">
              <w:rPr>
                <w:noProof/>
                <w:webHidden/>
              </w:rPr>
              <w:t>5</w:t>
            </w:r>
            <w:r w:rsidR="000169A8">
              <w:rPr>
                <w:noProof/>
                <w:webHidden/>
              </w:rPr>
              <w:fldChar w:fldCharType="end"/>
            </w:r>
          </w:hyperlink>
        </w:p>
        <w:p w14:paraId="1C142A3C" w14:textId="77777777" w:rsidR="000169A8" w:rsidRDefault="00FB2573">
          <w:pPr>
            <w:pStyle w:val="TM3"/>
            <w:tabs>
              <w:tab w:val="right" w:leader="dot" w:pos="9948"/>
            </w:tabs>
            <w:rPr>
              <w:rFonts w:asciiTheme="minorHAnsi" w:eastAsiaTheme="minorEastAsia" w:hAnsiTheme="minorHAnsi" w:cstheme="minorBidi"/>
              <w:noProof/>
              <w:color w:val="auto"/>
            </w:rPr>
          </w:pPr>
          <w:hyperlink w:anchor="_Toc185493546" w:history="1">
            <w:r w:rsidR="000169A8" w:rsidRPr="002305DB">
              <w:rPr>
                <w:rStyle w:val="Lienhypertexte"/>
                <w:noProof/>
              </w:rPr>
              <w:t>2.2.1 Correspondant agence : coordonnateur</w:t>
            </w:r>
            <w:r w:rsidR="000169A8">
              <w:rPr>
                <w:noProof/>
                <w:webHidden/>
              </w:rPr>
              <w:tab/>
            </w:r>
            <w:r w:rsidR="000169A8">
              <w:rPr>
                <w:noProof/>
                <w:webHidden/>
              </w:rPr>
              <w:fldChar w:fldCharType="begin"/>
            </w:r>
            <w:r w:rsidR="000169A8">
              <w:rPr>
                <w:noProof/>
                <w:webHidden/>
              </w:rPr>
              <w:instrText xml:space="preserve"> PAGEREF _Toc185493546 \h </w:instrText>
            </w:r>
            <w:r w:rsidR="000169A8">
              <w:rPr>
                <w:noProof/>
                <w:webHidden/>
              </w:rPr>
            </w:r>
            <w:r w:rsidR="000169A8">
              <w:rPr>
                <w:noProof/>
                <w:webHidden/>
              </w:rPr>
              <w:fldChar w:fldCharType="separate"/>
            </w:r>
            <w:r w:rsidR="000169A8">
              <w:rPr>
                <w:noProof/>
                <w:webHidden/>
              </w:rPr>
              <w:t>5</w:t>
            </w:r>
            <w:r w:rsidR="000169A8">
              <w:rPr>
                <w:noProof/>
                <w:webHidden/>
              </w:rPr>
              <w:fldChar w:fldCharType="end"/>
            </w:r>
          </w:hyperlink>
        </w:p>
        <w:p w14:paraId="4CA50747" w14:textId="77777777" w:rsidR="000169A8" w:rsidRDefault="00FB2573">
          <w:pPr>
            <w:pStyle w:val="TM3"/>
            <w:tabs>
              <w:tab w:val="right" w:leader="dot" w:pos="9948"/>
            </w:tabs>
            <w:rPr>
              <w:rFonts w:asciiTheme="minorHAnsi" w:eastAsiaTheme="minorEastAsia" w:hAnsiTheme="minorHAnsi" w:cstheme="minorBidi"/>
              <w:noProof/>
              <w:color w:val="auto"/>
            </w:rPr>
          </w:pPr>
          <w:hyperlink w:anchor="_Toc185493547" w:history="1">
            <w:r w:rsidR="000169A8" w:rsidRPr="002305DB">
              <w:rPr>
                <w:rStyle w:val="Lienhypertexte"/>
                <w:noProof/>
              </w:rPr>
              <w:t>2.2.2 L’équipe du titulaire</w:t>
            </w:r>
            <w:r w:rsidR="000169A8">
              <w:rPr>
                <w:noProof/>
                <w:webHidden/>
              </w:rPr>
              <w:tab/>
            </w:r>
            <w:r w:rsidR="000169A8">
              <w:rPr>
                <w:noProof/>
                <w:webHidden/>
              </w:rPr>
              <w:fldChar w:fldCharType="begin"/>
            </w:r>
            <w:r w:rsidR="000169A8">
              <w:rPr>
                <w:noProof/>
                <w:webHidden/>
              </w:rPr>
              <w:instrText xml:space="preserve"> PAGEREF _Toc185493547 \h </w:instrText>
            </w:r>
            <w:r w:rsidR="000169A8">
              <w:rPr>
                <w:noProof/>
                <w:webHidden/>
              </w:rPr>
            </w:r>
            <w:r w:rsidR="000169A8">
              <w:rPr>
                <w:noProof/>
                <w:webHidden/>
              </w:rPr>
              <w:fldChar w:fldCharType="separate"/>
            </w:r>
            <w:r w:rsidR="000169A8">
              <w:rPr>
                <w:noProof/>
                <w:webHidden/>
              </w:rPr>
              <w:t>5</w:t>
            </w:r>
            <w:r w:rsidR="000169A8">
              <w:rPr>
                <w:noProof/>
                <w:webHidden/>
              </w:rPr>
              <w:fldChar w:fldCharType="end"/>
            </w:r>
          </w:hyperlink>
        </w:p>
        <w:p w14:paraId="72151392" w14:textId="77777777" w:rsidR="000169A8" w:rsidRDefault="00FB2573">
          <w:pPr>
            <w:pStyle w:val="TM3"/>
            <w:tabs>
              <w:tab w:val="right" w:leader="dot" w:pos="9948"/>
            </w:tabs>
            <w:rPr>
              <w:rFonts w:asciiTheme="minorHAnsi" w:eastAsiaTheme="minorEastAsia" w:hAnsiTheme="minorHAnsi" w:cstheme="minorBidi"/>
              <w:noProof/>
              <w:color w:val="auto"/>
            </w:rPr>
          </w:pPr>
          <w:hyperlink w:anchor="_Toc185493548" w:history="1">
            <w:r w:rsidR="000169A8" w:rsidRPr="002305DB">
              <w:rPr>
                <w:rStyle w:val="Lienhypertexte"/>
                <w:noProof/>
              </w:rPr>
              <w:t>2.2.3 Habilitation</w:t>
            </w:r>
            <w:r w:rsidR="000169A8">
              <w:rPr>
                <w:noProof/>
                <w:webHidden/>
              </w:rPr>
              <w:tab/>
            </w:r>
            <w:r w:rsidR="000169A8">
              <w:rPr>
                <w:noProof/>
                <w:webHidden/>
              </w:rPr>
              <w:fldChar w:fldCharType="begin"/>
            </w:r>
            <w:r w:rsidR="000169A8">
              <w:rPr>
                <w:noProof/>
                <w:webHidden/>
              </w:rPr>
              <w:instrText xml:space="preserve"> PAGEREF _Toc185493548 \h </w:instrText>
            </w:r>
            <w:r w:rsidR="000169A8">
              <w:rPr>
                <w:noProof/>
                <w:webHidden/>
              </w:rPr>
            </w:r>
            <w:r w:rsidR="000169A8">
              <w:rPr>
                <w:noProof/>
                <w:webHidden/>
              </w:rPr>
              <w:fldChar w:fldCharType="separate"/>
            </w:r>
            <w:r w:rsidR="000169A8">
              <w:rPr>
                <w:noProof/>
                <w:webHidden/>
              </w:rPr>
              <w:t>6</w:t>
            </w:r>
            <w:r w:rsidR="000169A8">
              <w:rPr>
                <w:noProof/>
                <w:webHidden/>
              </w:rPr>
              <w:fldChar w:fldCharType="end"/>
            </w:r>
          </w:hyperlink>
        </w:p>
        <w:p w14:paraId="2D9CADA5" w14:textId="77777777" w:rsidR="000169A8" w:rsidRDefault="00FB2573">
          <w:pPr>
            <w:pStyle w:val="TM3"/>
            <w:tabs>
              <w:tab w:val="right" w:leader="dot" w:pos="9948"/>
            </w:tabs>
            <w:rPr>
              <w:rFonts w:asciiTheme="minorHAnsi" w:eastAsiaTheme="minorEastAsia" w:hAnsiTheme="minorHAnsi" w:cstheme="minorBidi"/>
              <w:noProof/>
              <w:color w:val="auto"/>
            </w:rPr>
          </w:pPr>
          <w:hyperlink w:anchor="_Toc185493549" w:history="1">
            <w:r w:rsidR="000169A8" w:rsidRPr="002305DB">
              <w:rPr>
                <w:rStyle w:val="Lienhypertexte"/>
                <w:noProof/>
              </w:rPr>
              <w:t>2.2.4 Plan de prévention</w:t>
            </w:r>
            <w:r w:rsidR="000169A8">
              <w:rPr>
                <w:noProof/>
                <w:webHidden/>
              </w:rPr>
              <w:tab/>
            </w:r>
            <w:r w:rsidR="000169A8">
              <w:rPr>
                <w:noProof/>
                <w:webHidden/>
              </w:rPr>
              <w:fldChar w:fldCharType="begin"/>
            </w:r>
            <w:r w:rsidR="000169A8">
              <w:rPr>
                <w:noProof/>
                <w:webHidden/>
              </w:rPr>
              <w:instrText xml:space="preserve"> PAGEREF _Toc185493549 \h </w:instrText>
            </w:r>
            <w:r w:rsidR="000169A8">
              <w:rPr>
                <w:noProof/>
                <w:webHidden/>
              </w:rPr>
            </w:r>
            <w:r w:rsidR="000169A8">
              <w:rPr>
                <w:noProof/>
                <w:webHidden/>
              </w:rPr>
              <w:fldChar w:fldCharType="separate"/>
            </w:r>
            <w:r w:rsidR="000169A8">
              <w:rPr>
                <w:noProof/>
                <w:webHidden/>
              </w:rPr>
              <w:t>6</w:t>
            </w:r>
            <w:r w:rsidR="000169A8">
              <w:rPr>
                <w:noProof/>
                <w:webHidden/>
              </w:rPr>
              <w:fldChar w:fldCharType="end"/>
            </w:r>
          </w:hyperlink>
        </w:p>
        <w:p w14:paraId="6EBE521A" w14:textId="77777777" w:rsidR="000169A8" w:rsidRDefault="00FB2573">
          <w:pPr>
            <w:pStyle w:val="TM3"/>
            <w:tabs>
              <w:tab w:val="right" w:leader="dot" w:pos="9948"/>
            </w:tabs>
            <w:rPr>
              <w:rFonts w:asciiTheme="minorHAnsi" w:eastAsiaTheme="minorEastAsia" w:hAnsiTheme="minorHAnsi" w:cstheme="minorBidi"/>
              <w:noProof/>
              <w:color w:val="auto"/>
            </w:rPr>
          </w:pPr>
          <w:hyperlink w:anchor="_Toc185493550" w:history="1">
            <w:r w:rsidR="000169A8" w:rsidRPr="002305DB">
              <w:rPr>
                <w:rStyle w:val="Lienhypertexte"/>
                <w:noProof/>
              </w:rPr>
              <w:t>2.2.5 Equipement de Protection Individuelle</w:t>
            </w:r>
            <w:r w:rsidR="000169A8">
              <w:rPr>
                <w:noProof/>
                <w:webHidden/>
              </w:rPr>
              <w:tab/>
            </w:r>
            <w:r w:rsidR="000169A8">
              <w:rPr>
                <w:noProof/>
                <w:webHidden/>
              </w:rPr>
              <w:fldChar w:fldCharType="begin"/>
            </w:r>
            <w:r w:rsidR="000169A8">
              <w:rPr>
                <w:noProof/>
                <w:webHidden/>
              </w:rPr>
              <w:instrText xml:space="preserve"> PAGEREF _Toc185493550 \h </w:instrText>
            </w:r>
            <w:r w:rsidR="000169A8">
              <w:rPr>
                <w:noProof/>
                <w:webHidden/>
              </w:rPr>
            </w:r>
            <w:r w:rsidR="000169A8">
              <w:rPr>
                <w:noProof/>
                <w:webHidden/>
              </w:rPr>
              <w:fldChar w:fldCharType="separate"/>
            </w:r>
            <w:r w:rsidR="000169A8">
              <w:rPr>
                <w:noProof/>
                <w:webHidden/>
              </w:rPr>
              <w:t>6</w:t>
            </w:r>
            <w:r w:rsidR="000169A8">
              <w:rPr>
                <w:noProof/>
                <w:webHidden/>
              </w:rPr>
              <w:fldChar w:fldCharType="end"/>
            </w:r>
          </w:hyperlink>
        </w:p>
        <w:p w14:paraId="1660B45F" w14:textId="77777777" w:rsidR="000169A8" w:rsidRDefault="00FB2573">
          <w:pPr>
            <w:pStyle w:val="TM3"/>
            <w:tabs>
              <w:tab w:val="right" w:leader="dot" w:pos="9948"/>
            </w:tabs>
            <w:rPr>
              <w:rFonts w:asciiTheme="minorHAnsi" w:eastAsiaTheme="minorEastAsia" w:hAnsiTheme="minorHAnsi" w:cstheme="minorBidi"/>
              <w:noProof/>
              <w:color w:val="auto"/>
            </w:rPr>
          </w:pPr>
          <w:hyperlink w:anchor="_Toc185493551" w:history="1">
            <w:r w:rsidR="000169A8" w:rsidRPr="002305DB">
              <w:rPr>
                <w:rStyle w:val="Lienhypertexte"/>
                <w:noProof/>
              </w:rPr>
              <w:t>2.2.6 Indicateurs d’activité</w:t>
            </w:r>
            <w:r w:rsidR="000169A8">
              <w:rPr>
                <w:noProof/>
                <w:webHidden/>
              </w:rPr>
              <w:tab/>
            </w:r>
            <w:r w:rsidR="000169A8">
              <w:rPr>
                <w:noProof/>
                <w:webHidden/>
              </w:rPr>
              <w:fldChar w:fldCharType="begin"/>
            </w:r>
            <w:r w:rsidR="000169A8">
              <w:rPr>
                <w:noProof/>
                <w:webHidden/>
              </w:rPr>
              <w:instrText xml:space="preserve"> PAGEREF _Toc185493551 \h </w:instrText>
            </w:r>
            <w:r w:rsidR="000169A8">
              <w:rPr>
                <w:noProof/>
                <w:webHidden/>
              </w:rPr>
            </w:r>
            <w:r w:rsidR="000169A8">
              <w:rPr>
                <w:noProof/>
                <w:webHidden/>
              </w:rPr>
              <w:fldChar w:fldCharType="separate"/>
            </w:r>
            <w:r w:rsidR="000169A8">
              <w:rPr>
                <w:noProof/>
                <w:webHidden/>
              </w:rPr>
              <w:t>6</w:t>
            </w:r>
            <w:r w:rsidR="000169A8">
              <w:rPr>
                <w:noProof/>
                <w:webHidden/>
              </w:rPr>
              <w:fldChar w:fldCharType="end"/>
            </w:r>
          </w:hyperlink>
        </w:p>
        <w:p w14:paraId="16F45CFB" w14:textId="77777777" w:rsidR="000169A8" w:rsidRDefault="00FB2573">
          <w:pPr>
            <w:pStyle w:val="TM2"/>
            <w:tabs>
              <w:tab w:val="right" w:leader="dot" w:pos="9948"/>
            </w:tabs>
            <w:rPr>
              <w:rFonts w:asciiTheme="minorHAnsi" w:eastAsiaTheme="minorEastAsia" w:hAnsiTheme="minorHAnsi" w:cstheme="minorBidi"/>
              <w:b w:val="0"/>
              <w:noProof/>
              <w:color w:val="auto"/>
            </w:rPr>
          </w:pPr>
          <w:hyperlink w:anchor="_Toc185493552" w:history="1">
            <w:r w:rsidR="000169A8" w:rsidRPr="002305DB">
              <w:rPr>
                <w:rStyle w:val="Lienhypertexte"/>
                <w:noProof/>
              </w:rPr>
              <w:t>2.3 Contenu de l’assistance aux utilisateurs « SVP Travaux »</w:t>
            </w:r>
            <w:r w:rsidR="000169A8">
              <w:rPr>
                <w:noProof/>
                <w:webHidden/>
              </w:rPr>
              <w:tab/>
            </w:r>
            <w:r w:rsidR="000169A8">
              <w:rPr>
                <w:noProof/>
                <w:webHidden/>
              </w:rPr>
              <w:fldChar w:fldCharType="begin"/>
            </w:r>
            <w:r w:rsidR="000169A8">
              <w:rPr>
                <w:noProof/>
                <w:webHidden/>
              </w:rPr>
              <w:instrText xml:space="preserve"> PAGEREF _Toc185493552 \h </w:instrText>
            </w:r>
            <w:r w:rsidR="000169A8">
              <w:rPr>
                <w:noProof/>
                <w:webHidden/>
              </w:rPr>
            </w:r>
            <w:r w:rsidR="000169A8">
              <w:rPr>
                <w:noProof/>
                <w:webHidden/>
              </w:rPr>
              <w:fldChar w:fldCharType="separate"/>
            </w:r>
            <w:r w:rsidR="000169A8">
              <w:rPr>
                <w:noProof/>
                <w:webHidden/>
              </w:rPr>
              <w:t>7</w:t>
            </w:r>
            <w:r w:rsidR="000169A8">
              <w:rPr>
                <w:noProof/>
                <w:webHidden/>
              </w:rPr>
              <w:fldChar w:fldCharType="end"/>
            </w:r>
          </w:hyperlink>
        </w:p>
        <w:p w14:paraId="379FD310" w14:textId="77777777" w:rsidR="000169A8" w:rsidRDefault="00FB2573">
          <w:pPr>
            <w:pStyle w:val="TM2"/>
            <w:tabs>
              <w:tab w:val="right" w:leader="dot" w:pos="9948"/>
            </w:tabs>
            <w:rPr>
              <w:rFonts w:asciiTheme="minorHAnsi" w:eastAsiaTheme="minorEastAsia" w:hAnsiTheme="minorHAnsi" w:cstheme="minorBidi"/>
              <w:b w:val="0"/>
              <w:noProof/>
              <w:color w:val="auto"/>
            </w:rPr>
          </w:pPr>
          <w:hyperlink w:anchor="_Toc185493553" w:history="1">
            <w:r w:rsidR="000169A8" w:rsidRPr="002305DB">
              <w:rPr>
                <w:rStyle w:val="Lienhypertexte"/>
                <w:noProof/>
              </w:rPr>
              <w:t>2.4 Procédure de demandes d’intervention</w:t>
            </w:r>
            <w:r w:rsidR="000169A8">
              <w:rPr>
                <w:noProof/>
                <w:webHidden/>
              </w:rPr>
              <w:tab/>
            </w:r>
            <w:r w:rsidR="000169A8">
              <w:rPr>
                <w:noProof/>
                <w:webHidden/>
              </w:rPr>
              <w:fldChar w:fldCharType="begin"/>
            </w:r>
            <w:r w:rsidR="000169A8">
              <w:rPr>
                <w:noProof/>
                <w:webHidden/>
              </w:rPr>
              <w:instrText xml:space="preserve"> PAGEREF _Toc185493553 \h </w:instrText>
            </w:r>
            <w:r w:rsidR="000169A8">
              <w:rPr>
                <w:noProof/>
                <w:webHidden/>
              </w:rPr>
            </w:r>
            <w:r w:rsidR="000169A8">
              <w:rPr>
                <w:noProof/>
                <w:webHidden/>
              </w:rPr>
              <w:fldChar w:fldCharType="separate"/>
            </w:r>
            <w:r w:rsidR="000169A8">
              <w:rPr>
                <w:noProof/>
                <w:webHidden/>
              </w:rPr>
              <w:t>7</w:t>
            </w:r>
            <w:r w:rsidR="000169A8">
              <w:rPr>
                <w:noProof/>
                <w:webHidden/>
              </w:rPr>
              <w:fldChar w:fldCharType="end"/>
            </w:r>
          </w:hyperlink>
        </w:p>
        <w:p w14:paraId="0970EA67" w14:textId="77777777" w:rsidR="000169A8" w:rsidRDefault="00FB2573">
          <w:pPr>
            <w:pStyle w:val="TM2"/>
            <w:tabs>
              <w:tab w:val="right" w:leader="dot" w:pos="9948"/>
            </w:tabs>
            <w:rPr>
              <w:rFonts w:asciiTheme="minorHAnsi" w:eastAsiaTheme="minorEastAsia" w:hAnsiTheme="minorHAnsi" w:cstheme="minorBidi"/>
              <w:b w:val="0"/>
              <w:noProof/>
              <w:color w:val="auto"/>
            </w:rPr>
          </w:pPr>
          <w:hyperlink w:anchor="_Toc185493554" w:history="1">
            <w:r w:rsidR="000169A8" w:rsidRPr="002305DB">
              <w:rPr>
                <w:rStyle w:val="Lienhypertexte"/>
                <w:noProof/>
              </w:rPr>
              <w:t>2.5 Obligation de résultats</w:t>
            </w:r>
            <w:r w:rsidR="000169A8">
              <w:rPr>
                <w:noProof/>
                <w:webHidden/>
              </w:rPr>
              <w:tab/>
            </w:r>
            <w:r w:rsidR="000169A8">
              <w:rPr>
                <w:noProof/>
                <w:webHidden/>
              </w:rPr>
              <w:fldChar w:fldCharType="begin"/>
            </w:r>
            <w:r w:rsidR="000169A8">
              <w:rPr>
                <w:noProof/>
                <w:webHidden/>
              </w:rPr>
              <w:instrText xml:space="preserve"> PAGEREF _Toc185493554 \h </w:instrText>
            </w:r>
            <w:r w:rsidR="000169A8">
              <w:rPr>
                <w:noProof/>
                <w:webHidden/>
              </w:rPr>
            </w:r>
            <w:r w:rsidR="000169A8">
              <w:rPr>
                <w:noProof/>
                <w:webHidden/>
              </w:rPr>
              <w:fldChar w:fldCharType="separate"/>
            </w:r>
            <w:r w:rsidR="000169A8">
              <w:rPr>
                <w:noProof/>
                <w:webHidden/>
              </w:rPr>
              <w:t>8</w:t>
            </w:r>
            <w:r w:rsidR="000169A8">
              <w:rPr>
                <w:noProof/>
                <w:webHidden/>
              </w:rPr>
              <w:fldChar w:fldCharType="end"/>
            </w:r>
          </w:hyperlink>
        </w:p>
        <w:p w14:paraId="4BDD1FE0" w14:textId="77777777" w:rsidR="000169A8" w:rsidRDefault="00FB2573">
          <w:pPr>
            <w:pStyle w:val="TM2"/>
            <w:tabs>
              <w:tab w:val="right" w:leader="dot" w:pos="9948"/>
            </w:tabs>
            <w:rPr>
              <w:rFonts w:asciiTheme="minorHAnsi" w:eastAsiaTheme="minorEastAsia" w:hAnsiTheme="minorHAnsi" w:cstheme="minorBidi"/>
              <w:b w:val="0"/>
              <w:noProof/>
              <w:color w:val="auto"/>
            </w:rPr>
          </w:pPr>
          <w:hyperlink w:anchor="_Toc185493555" w:history="1">
            <w:r w:rsidR="000169A8" w:rsidRPr="002305DB">
              <w:rPr>
                <w:rStyle w:val="Lienhypertexte"/>
                <w:noProof/>
              </w:rPr>
              <w:t>2.6 Comité de Suivi (COSUI)</w:t>
            </w:r>
            <w:r w:rsidR="000169A8">
              <w:rPr>
                <w:noProof/>
                <w:webHidden/>
              </w:rPr>
              <w:tab/>
            </w:r>
            <w:r w:rsidR="000169A8">
              <w:rPr>
                <w:noProof/>
                <w:webHidden/>
              </w:rPr>
              <w:fldChar w:fldCharType="begin"/>
            </w:r>
            <w:r w:rsidR="000169A8">
              <w:rPr>
                <w:noProof/>
                <w:webHidden/>
              </w:rPr>
              <w:instrText xml:space="preserve"> PAGEREF _Toc185493555 \h </w:instrText>
            </w:r>
            <w:r w:rsidR="000169A8">
              <w:rPr>
                <w:noProof/>
                <w:webHidden/>
              </w:rPr>
            </w:r>
            <w:r w:rsidR="000169A8">
              <w:rPr>
                <w:noProof/>
                <w:webHidden/>
              </w:rPr>
              <w:fldChar w:fldCharType="separate"/>
            </w:r>
            <w:r w:rsidR="000169A8">
              <w:rPr>
                <w:noProof/>
                <w:webHidden/>
              </w:rPr>
              <w:t>8</w:t>
            </w:r>
            <w:r w:rsidR="000169A8">
              <w:rPr>
                <w:noProof/>
                <w:webHidden/>
              </w:rPr>
              <w:fldChar w:fldCharType="end"/>
            </w:r>
          </w:hyperlink>
        </w:p>
        <w:p w14:paraId="7D1C9F86" w14:textId="77777777" w:rsidR="000169A8" w:rsidRDefault="00FB2573">
          <w:pPr>
            <w:pStyle w:val="TM2"/>
            <w:tabs>
              <w:tab w:val="right" w:leader="dot" w:pos="9948"/>
            </w:tabs>
            <w:rPr>
              <w:rFonts w:asciiTheme="minorHAnsi" w:eastAsiaTheme="minorEastAsia" w:hAnsiTheme="minorHAnsi" w:cstheme="minorBidi"/>
              <w:b w:val="0"/>
              <w:noProof/>
              <w:color w:val="auto"/>
            </w:rPr>
          </w:pPr>
          <w:hyperlink w:anchor="_Toc185493556" w:history="1">
            <w:r w:rsidR="000169A8" w:rsidRPr="002305DB">
              <w:rPr>
                <w:rStyle w:val="Lienhypertexte"/>
                <w:noProof/>
              </w:rPr>
              <w:t>2.7 Enquête de satisfaction</w:t>
            </w:r>
            <w:r w:rsidR="000169A8">
              <w:rPr>
                <w:noProof/>
                <w:webHidden/>
              </w:rPr>
              <w:tab/>
            </w:r>
            <w:r w:rsidR="000169A8">
              <w:rPr>
                <w:noProof/>
                <w:webHidden/>
              </w:rPr>
              <w:fldChar w:fldCharType="begin"/>
            </w:r>
            <w:r w:rsidR="000169A8">
              <w:rPr>
                <w:noProof/>
                <w:webHidden/>
              </w:rPr>
              <w:instrText xml:space="preserve"> PAGEREF _Toc185493556 \h </w:instrText>
            </w:r>
            <w:r w:rsidR="000169A8">
              <w:rPr>
                <w:noProof/>
                <w:webHidden/>
              </w:rPr>
            </w:r>
            <w:r w:rsidR="000169A8">
              <w:rPr>
                <w:noProof/>
                <w:webHidden/>
              </w:rPr>
              <w:fldChar w:fldCharType="separate"/>
            </w:r>
            <w:r w:rsidR="000169A8">
              <w:rPr>
                <w:noProof/>
                <w:webHidden/>
              </w:rPr>
              <w:t>9</w:t>
            </w:r>
            <w:r w:rsidR="000169A8">
              <w:rPr>
                <w:noProof/>
                <w:webHidden/>
              </w:rPr>
              <w:fldChar w:fldCharType="end"/>
            </w:r>
          </w:hyperlink>
        </w:p>
        <w:p w14:paraId="4E20DF00" w14:textId="77777777" w:rsidR="000169A8" w:rsidRDefault="00FB2573">
          <w:pPr>
            <w:pStyle w:val="TM2"/>
            <w:tabs>
              <w:tab w:val="right" w:leader="dot" w:pos="9948"/>
            </w:tabs>
            <w:rPr>
              <w:rFonts w:asciiTheme="minorHAnsi" w:eastAsiaTheme="minorEastAsia" w:hAnsiTheme="minorHAnsi" w:cstheme="minorBidi"/>
              <w:b w:val="0"/>
              <w:noProof/>
              <w:color w:val="auto"/>
            </w:rPr>
          </w:pPr>
          <w:hyperlink w:anchor="_Toc185493557" w:history="1">
            <w:r w:rsidR="000169A8" w:rsidRPr="002305DB">
              <w:rPr>
                <w:rStyle w:val="Lienhypertexte"/>
                <w:noProof/>
              </w:rPr>
              <w:t>2.8 Mise en place de la prestation</w:t>
            </w:r>
            <w:r w:rsidR="000169A8">
              <w:rPr>
                <w:noProof/>
                <w:webHidden/>
              </w:rPr>
              <w:tab/>
            </w:r>
            <w:r w:rsidR="000169A8">
              <w:rPr>
                <w:noProof/>
                <w:webHidden/>
              </w:rPr>
              <w:fldChar w:fldCharType="begin"/>
            </w:r>
            <w:r w:rsidR="000169A8">
              <w:rPr>
                <w:noProof/>
                <w:webHidden/>
              </w:rPr>
              <w:instrText xml:space="preserve"> PAGEREF _Toc185493557 \h </w:instrText>
            </w:r>
            <w:r w:rsidR="000169A8">
              <w:rPr>
                <w:noProof/>
                <w:webHidden/>
              </w:rPr>
            </w:r>
            <w:r w:rsidR="000169A8">
              <w:rPr>
                <w:noProof/>
                <w:webHidden/>
              </w:rPr>
              <w:fldChar w:fldCharType="separate"/>
            </w:r>
            <w:r w:rsidR="000169A8">
              <w:rPr>
                <w:noProof/>
                <w:webHidden/>
              </w:rPr>
              <w:t>9</w:t>
            </w:r>
            <w:r w:rsidR="000169A8">
              <w:rPr>
                <w:noProof/>
                <w:webHidden/>
              </w:rPr>
              <w:fldChar w:fldCharType="end"/>
            </w:r>
          </w:hyperlink>
        </w:p>
        <w:p w14:paraId="5E17DEA3" w14:textId="77777777" w:rsidR="000169A8" w:rsidRDefault="00FB2573">
          <w:pPr>
            <w:pStyle w:val="TM2"/>
            <w:tabs>
              <w:tab w:val="right" w:leader="dot" w:pos="9948"/>
            </w:tabs>
            <w:rPr>
              <w:rFonts w:asciiTheme="minorHAnsi" w:eastAsiaTheme="minorEastAsia" w:hAnsiTheme="minorHAnsi" w:cstheme="minorBidi"/>
              <w:b w:val="0"/>
              <w:noProof/>
              <w:color w:val="auto"/>
            </w:rPr>
          </w:pPr>
          <w:hyperlink w:anchor="_Toc185493558" w:history="1">
            <w:r w:rsidR="000169A8" w:rsidRPr="002305DB">
              <w:rPr>
                <w:rStyle w:val="Lienhypertexte"/>
                <w:noProof/>
              </w:rPr>
              <w:t>2.9 Documentation</w:t>
            </w:r>
            <w:r w:rsidR="000169A8">
              <w:rPr>
                <w:noProof/>
                <w:webHidden/>
              </w:rPr>
              <w:tab/>
            </w:r>
            <w:r w:rsidR="000169A8">
              <w:rPr>
                <w:noProof/>
                <w:webHidden/>
              </w:rPr>
              <w:fldChar w:fldCharType="begin"/>
            </w:r>
            <w:r w:rsidR="000169A8">
              <w:rPr>
                <w:noProof/>
                <w:webHidden/>
              </w:rPr>
              <w:instrText xml:space="preserve"> PAGEREF _Toc185493558 \h </w:instrText>
            </w:r>
            <w:r w:rsidR="000169A8">
              <w:rPr>
                <w:noProof/>
                <w:webHidden/>
              </w:rPr>
            </w:r>
            <w:r w:rsidR="000169A8">
              <w:rPr>
                <w:noProof/>
                <w:webHidden/>
              </w:rPr>
              <w:fldChar w:fldCharType="separate"/>
            </w:r>
            <w:r w:rsidR="000169A8">
              <w:rPr>
                <w:noProof/>
                <w:webHidden/>
              </w:rPr>
              <w:t>9</w:t>
            </w:r>
            <w:r w:rsidR="000169A8">
              <w:rPr>
                <w:noProof/>
                <w:webHidden/>
              </w:rPr>
              <w:fldChar w:fldCharType="end"/>
            </w:r>
          </w:hyperlink>
        </w:p>
        <w:p w14:paraId="0A26C46A" w14:textId="77777777" w:rsidR="001863D1" w:rsidRDefault="003D0C20">
          <w:r>
            <w:fldChar w:fldCharType="end"/>
          </w:r>
        </w:p>
      </w:sdtContent>
    </w:sdt>
    <w:p w14:paraId="0C49D4ED" w14:textId="77777777" w:rsidR="001863D1" w:rsidRDefault="003D0C20">
      <w:pPr>
        <w:spacing w:after="0" w:line="259" w:lineRule="auto"/>
        <w:ind w:left="3558" w:firstLine="0"/>
        <w:jc w:val="left"/>
      </w:pPr>
      <w:r>
        <w:rPr>
          <w:color w:val="323E4F"/>
          <w:sz w:val="24"/>
        </w:rPr>
        <w:t xml:space="preserve"> </w:t>
      </w:r>
    </w:p>
    <w:p w14:paraId="077A4757" w14:textId="77777777" w:rsidR="001863D1" w:rsidRDefault="003D0C20">
      <w:pPr>
        <w:spacing w:after="424" w:line="259" w:lineRule="auto"/>
        <w:ind w:left="17" w:firstLine="0"/>
        <w:jc w:val="left"/>
      </w:pPr>
      <w:r>
        <w:rPr>
          <w:b/>
          <w:color w:val="0000FF"/>
          <w:sz w:val="22"/>
        </w:rPr>
        <w:t xml:space="preserve"> </w:t>
      </w:r>
    </w:p>
    <w:p w14:paraId="790F93C4" w14:textId="77777777" w:rsidR="001863D1" w:rsidRDefault="003D0C20">
      <w:pPr>
        <w:spacing w:after="0" w:line="259" w:lineRule="auto"/>
        <w:ind w:left="3558" w:firstLine="0"/>
        <w:jc w:val="left"/>
      </w:pPr>
      <w:r>
        <w:rPr>
          <w:rFonts w:ascii="Times New Roman" w:eastAsia="Times New Roman" w:hAnsi="Times New Roman" w:cs="Times New Roman"/>
          <w:sz w:val="24"/>
        </w:rPr>
        <w:t xml:space="preserve"> </w:t>
      </w:r>
    </w:p>
    <w:p w14:paraId="65A4CB20" w14:textId="77777777" w:rsidR="001863D1" w:rsidRDefault="003D0C20">
      <w:pPr>
        <w:spacing w:after="0" w:line="259" w:lineRule="auto"/>
        <w:ind w:left="3558" w:firstLine="0"/>
        <w:jc w:val="left"/>
      </w:pPr>
      <w:r>
        <w:rPr>
          <w:rFonts w:ascii="Times New Roman" w:eastAsia="Times New Roman" w:hAnsi="Times New Roman" w:cs="Times New Roman"/>
          <w:sz w:val="24"/>
        </w:rPr>
        <w:t xml:space="preserve"> </w:t>
      </w:r>
    </w:p>
    <w:p w14:paraId="7E116D74" w14:textId="77777777" w:rsidR="001863D1" w:rsidRDefault="003D0C20">
      <w:pPr>
        <w:spacing w:after="0" w:line="259" w:lineRule="auto"/>
        <w:ind w:left="3558" w:firstLine="0"/>
        <w:jc w:val="left"/>
      </w:pPr>
      <w:r>
        <w:rPr>
          <w:rFonts w:ascii="Times New Roman" w:eastAsia="Times New Roman" w:hAnsi="Times New Roman" w:cs="Times New Roman"/>
          <w:sz w:val="24"/>
        </w:rPr>
        <w:t xml:space="preserve"> </w:t>
      </w:r>
    </w:p>
    <w:p w14:paraId="7DA0EB61" w14:textId="77777777" w:rsidR="001863D1" w:rsidRDefault="003D0C20">
      <w:pPr>
        <w:spacing w:after="0" w:line="259" w:lineRule="auto"/>
        <w:ind w:left="3558" w:firstLine="0"/>
        <w:jc w:val="left"/>
      </w:pPr>
      <w:r>
        <w:rPr>
          <w:rFonts w:ascii="Times New Roman" w:eastAsia="Times New Roman" w:hAnsi="Times New Roman" w:cs="Times New Roman"/>
          <w:sz w:val="24"/>
        </w:rPr>
        <w:t xml:space="preserve"> </w:t>
      </w:r>
    </w:p>
    <w:p w14:paraId="2172EC57" w14:textId="77777777" w:rsidR="001863D1" w:rsidRDefault="003D0C20">
      <w:pPr>
        <w:spacing w:after="0" w:line="259" w:lineRule="auto"/>
        <w:ind w:left="3558" w:firstLine="0"/>
        <w:jc w:val="left"/>
      </w:pPr>
      <w:r>
        <w:rPr>
          <w:rFonts w:ascii="Times New Roman" w:eastAsia="Times New Roman" w:hAnsi="Times New Roman" w:cs="Times New Roman"/>
          <w:sz w:val="24"/>
        </w:rPr>
        <w:t xml:space="preserve"> </w:t>
      </w:r>
    </w:p>
    <w:p w14:paraId="50E18212" w14:textId="77777777" w:rsidR="001863D1" w:rsidRDefault="003D0C20">
      <w:pPr>
        <w:spacing w:after="0" w:line="259" w:lineRule="auto"/>
        <w:ind w:left="3558" w:firstLine="0"/>
        <w:jc w:val="left"/>
      </w:pPr>
      <w:r>
        <w:rPr>
          <w:rFonts w:ascii="Times New Roman" w:eastAsia="Times New Roman" w:hAnsi="Times New Roman" w:cs="Times New Roman"/>
          <w:sz w:val="24"/>
        </w:rPr>
        <w:t xml:space="preserve"> </w:t>
      </w:r>
    </w:p>
    <w:p w14:paraId="7647DCC7" w14:textId="77777777" w:rsidR="001863D1" w:rsidRDefault="003D0C20">
      <w:pPr>
        <w:spacing w:after="0" w:line="259" w:lineRule="auto"/>
        <w:ind w:left="3558" w:firstLine="0"/>
        <w:jc w:val="left"/>
      </w:pPr>
      <w:r>
        <w:rPr>
          <w:rFonts w:ascii="Times New Roman" w:eastAsia="Times New Roman" w:hAnsi="Times New Roman" w:cs="Times New Roman"/>
          <w:sz w:val="24"/>
        </w:rPr>
        <w:t xml:space="preserve"> </w:t>
      </w:r>
    </w:p>
    <w:p w14:paraId="3DEDC23E" w14:textId="77777777" w:rsidR="001863D1" w:rsidRDefault="003D0C20">
      <w:pPr>
        <w:spacing w:after="0" w:line="259" w:lineRule="auto"/>
        <w:ind w:left="3558" w:firstLine="0"/>
        <w:jc w:val="left"/>
      </w:pPr>
      <w:r>
        <w:rPr>
          <w:rFonts w:ascii="Times New Roman" w:eastAsia="Times New Roman" w:hAnsi="Times New Roman" w:cs="Times New Roman"/>
          <w:sz w:val="24"/>
        </w:rPr>
        <w:t xml:space="preserve"> </w:t>
      </w:r>
    </w:p>
    <w:p w14:paraId="6541996A" w14:textId="77777777" w:rsidR="001863D1" w:rsidRDefault="003D0C20">
      <w:pPr>
        <w:spacing w:after="0" w:line="259" w:lineRule="auto"/>
        <w:ind w:left="3558" w:firstLine="0"/>
        <w:jc w:val="left"/>
      </w:pPr>
      <w:r>
        <w:rPr>
          <w:rFonts w:ascii="Times New Roman" w:eastAsia="Times New Roman" w:hAnsi="Times New Roman" w:cs="Times New Roman"/>
          <w:sz w:val="24"/>
        </w:rPr>
        <w:t xml:space="preserve"> </w:t>
      </w:r>
    </w:p>
    <w:p w14:paraId="343D9C5A" w14:textId="77777777" w:rsidR="00EC1EEA" w:rsidRDefault="00EC1EEA">
      <w:pPr>
        <w:spacing w:after="0" w:line="259" w:lineRule="auto"/>
        <w:ind w:left="3558" w:firstLine="0"/>
        <w:jc w:val="left"/>
        <w:rPr>
          <w:rFonts w:ascii="Times New Roman" w:eastAsia="Times New Roman" w:hAnsi="Times New Roman" w:cs="Times New Roman"/>
          <w:sz w:val="24"/>
        </w:rPr>
      </w:pPr>
    </w:p>
    <w:p w14:paraId="3AA3F98B" w14:textId="77777777" w:rsidR="00EC1EEA" w:rsidRDefault="00EC1EEA">
      <w:pPr>
        <w:spacing w:after="0" w:line="259" w:lineRule="auto"/>
        <w:ind w:left="3558" w:firstLine="0"/>
        <w:jc w:val="left"/>
        <w:rPr>
          <w:rFonts w:ascii="Times New Roman" w:eastAsia="Times New Roman" w:hAnsi="Times New Roman" w:cs="Times New Roman"/>
          <w:sz w:val="24"/>
        </w:rPr>
      </w:pPr>
    </w:p>
    <w:p w14:paraId="3FA922F6" w14:textId="77777777" w:rsidR="00EC1EEA" w:rsidRDefault="00EC1EEA">
      <w:pPr>
        <w:spacing w:after="0" w:line="259" w:lineRule="auto"/>
        <w:ind w:left="3558" w:firstLine="0"/>
        <w:jc w:val="left"/>
        <w:rPr>
          <w:rFonts w:ascii="Times New Roman" w:eastAsia="Times New Roman" w:hAnsi="Times New Roman" w:cs="Times New Roman"/>
          <w:sz w:val="24"/>
        </w:rPr>
      </w:pPr>
    </w:p>
    <w:p w14:paraId="56AF0C8F" w14:textId="77777777" w:rsidR="00EC1EEA" w:rsidRDefault="00EC1EEA">
      <w:pPr>
        <w:spacing w:after="0" w:line="259" w:lineRule="auto"/>
        <w:ind w:left="3558" w:firstLine="0"/>
        <w:jc w:val="left"/>
        <w:rPr>
          <w:rFonts w:ascii="Times New Roman" w:eastAsia="Times New Roman" w:hAnsi="Times New Roman" w:cs="Times New Roman"/>
          <w:sz w:val="24"/>
        </w:rPr>
      </w:pPr>
    </w:p>
    <w:p w14:paraId="1481B7F2" w14:textId="77777777" w:rsidR="00EC1EEA" w:rsidRDefault="00EC1EEA">
      <w:pPr>
        <w:spacing w:after="0" w:line="259" w:lineRule="auto"/>
        <w:ind w:left="3558" w:firstLine="0"/>
        <w:jc w:val="left"/>
        <w:rPr>
          <w:rFonts w:ascii="Times New Roman" w:eastAsia="Times New Roman" w:hAnsi="Times New Roman" w:cs="Times New Roman"/>
          <w:sz w:val="24"/>
        </w:rPr>
      </w:pPr>
    </w:p>
    <w:p w14:paraId="4F7A8B44" w14:textId="77777777" w:rsidR="00EC1EEA" w:rsidRDefault="00EC1EEA">
      <w:pPr>
        <w:spacing w:after="0" w:line="259" w:lineRule="auto"/>
        <w:ind w:left="3558" w:firstLine="0"/>
        <w:jc w:val="left"/>
        <w:rPr>
          <w:rFonts w:ascii="Times New Roman" w:eastAsia="Times New Roman" w:hAnsi="Times New Roman" w:cs="Times New Roman"/>
          <w:sz w:val="24"/>
        </w:rPr>
      </w:pPr>
    </w:p>
    <w:p w14:paraId="20A76FFF" w14:textId="77777777" w:rsidR="001863D1" w:rsidRDefault="003D0C20">
      <w:pPr>
        <w:spacing w:after="0" w:line="259" w:lineRule="auto"/>
        <w:ind w:left="3558" w:firstLine="0"/>
        <w:jc w:val="left"/>
      </w:pPr>
      <w:r>
        <w:rPr>
          <w:rFonts w:ascii="Times New Roman" w:eastAsia="Times New Roman" w:hAnsi="Times New Roman" w:cs="Times New Roman"/>
          <w:sz w:val="24"/>
        </w:rPr>
        <w:t xml:space="preserve"> </w:t>
      </w:r>
    </w:p>
    <w:p w14:paraId="5280401C" w14:textId="77777777" w:rsidR="001863D1" w:rsidRDefault="003D0C20">
      <w:pPr>
        <w:spacing w:after="0" w:line="259" w:lineRule="auto"/>
        <w:ind w:left="17"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14:paraId="1D284E09" w14:textId="77777777" w:rsidR="001863D1" w:rsidRDefault="003D0C20">
      <w:pPr>
        <w:spacing w:after="0" w:line="259" w:lineRule="auto"/>
        <w:ind w:left="3558" w:firstLine="0"/>
        <w:jc w:val="left"/>
      </w:pPr>
      <w:r>
        <w:rPr>
          <w:sz w:val="24"/>
        </w:rPr>
        <w:t xml:space="preserve"> </w:t>
      </w:r>
    </w:p>
    <w:p w14:paraId="2E467D45" w14:textId="77777777" w:rsidR="001863D1" w:rsidRDefault="003D0C20">
      <w:pPr>
        <w:pStyle w:val="Titre1"/>
        <w:ind w:left="12"/>
      </w:pPr>
      <w:bookmarkStart w:id="0" w:name="_Toc185493539"/>
      <w:r>
        <w:lastRenderedPageBreak/>
        <w:t>Article 1 : OBJET DU MARCHE</w:t>
      </w:r>
      <w:bookmarkEnd w:id="0"/>
      <w:r>
        <w:rPr>
          <w:u w:val="none" w:color="000000"/>
        </w:rPr>
        <w:t xml:space="preserve">  </w:t>
      </w:r>
    </w:p>
    <w:p w14:paraId="61409D47" w14:textId="77777777" w:rsidR="001863D1" w:rsidRDefault="003D0C20">
      <w:pPr>
        <w:ind w:left="12" w:right="292"/>
      </w:pPr>
      <w:r>
        <w:t xml:space="preserve">L’objet du présent marché est de confier au titulaire le relevé et le traitement des demandes d’intervention de niveau 1 détaillées dans le présent CCTP, émises par les agents de l’ANSM et effectuées pour le compte du département des Services Généraux et Immobilier. Ces demandes d’intervention peuvent être émises selon trois canaux :  </w:t>
      </w:r>
    </w:p>
    <w:p w14:paraId="06DE8523" w14:textId="77777777" w:rsidR="001863D1" w:rsidRDefault="003D0C20">
      <w:pPr>
        <w:spacing w:after="52" w:line="259" w:lineRule="auto"/>
        <w:ind w:left="2" w:firstLine="0"/>
        <w:jc w:val="left"/>
      </w:pPr>
      <w:r>
        <w:t xml:space="preserve"> </w:t>
      </w:r>
    </w:p>
    <w:p w14:paraId="21A6491D" w14:textId="77777777" w:rsidR="001863D1" w:rsidRDefault="003D0C20">
      <w:pPr>
        <w:numPr>
          <w:ilvl w:val="0"/>
          <w:numId w:val="1"/>
        </w:numPr>
        <w:spacing w:after="40"/>
        <w:ind w:right="292" w:hanging="360"/>
      </w:pPr>
      <w:r>
        <w:t xml:space="preserve">par courriel des agents de l’ANSM, </w:t>
      </w:r>
    </w:p>
    <w:p w14:paraId="034F9643" w14:textId="77777777" w:rsidR="001863D1" w:rsidRDefault="003D0C20">
      <w:pPr>
        <w:numPr>
          <w:ilvl w:val="0"/>
          <w:numId w:val="1"/>
        </w:numPr>
        <w:ind w:right="292" w:hanging="360"/>
      </w:pPr>
      <w:r>
        <w:t xml:space="preserve">par téléphone directement à l’équipe du Titulaire,  </w:t>
      </w:r>
    </w:p>
    <w:p w14:paraId="1F4428B6" w14:textId="12D9A8E2" w:rsidR="001863D1" w:rsidRDefault="003D0C20">
      <w:pPr>
        <w:numPr>
          <w:ilvl w:val="0"/>
          <w:numId w:val="1"/>
        </w:numPr>
        <w:ind w:right="292" w:hanging="360"/>
      </w:pPr>
      <w:r>
        <w:t xml:space="preserve">via une </w:t>
      </w:r>
      <w:r w:rsidR="000113C5">
        <w:t>application interne nommée SVP travaux</w:t>
      </w:r>
      <w:r>
        <w:t xml:space="preserve"> (voir infra article 2.4). </w:t>
      </w:r>
    </w:p>
    <w:p w14:paraId="14DA9395" w14:textId="77777777" w:rsidR="001863D1" w:rsidRDefault="003D0C20">
      <w:pPr>
        <w:spacing w:after="40" w:line="259" w:lineRule="auto"/>
        <w:ind w:left="2" w:firstLine="0"/>
        <w:jc w:val="left"/>
      </w:pPr>
      <w:r>
        <w:t xml:space="preserve"> </w:t>
      </w:r>
    </w:p>
    <w:p w14:paraId="205C6DDC" w14:textId="51A0FBCF" w:rsidR="001863D1" w:rsidRDefault="003D0C20">
      <w:pPr>
        <w:ind w:left="12" w:right="9"/>
      </w:pPr>
      <w:r>
        <w:t>Le département des services généraux et immobilier est l’interlocuteur du Titulaire et de son équipe d’intervenants. Ces interlocuteurs sont chargés du suivi opérationnel du marché et d</w:t>
      </w:r>
      <w:r w:rsidR="00AA7CDB">
        <w:t>u</w:t>
      </w:r>
      <w:r>
        <w:t xml:space="preserve"> contrôle </w:t>
      </w:r>
      <w:r w:rsidR="00AA7CDB">
        <w:t xml:space="preserve">de </w:t>
      </w:r>
      <w:r>
        <w:t xml:space="preserve">la bonne exécution des prestations.  </w:t>
      </w:r>
    </w:p>
    <w:p w14:paraId="14EF4347" w14:textId="77777777" w:rsidR="001863D1" w:rsidRDefault="003D0C20">
      <w:pPr>
        <w:spacing w:after="2" w:line="259" w:lineRule="auto"/>
        <w:ind w:left="17" w:firstLine="0"/>
        <w:jc w:val="left"/>
      </w:pPr>
      <w:r>
        <w:t xml:space="preserve"> </w:t>
      </w:r>
    </w:p>
    <w:p w14:paraId="39F4B0AB" w14:textId="77777777" w:rsidR="001863D1" w:rsidRDefault="003D0C20">
      <w:pPr>
        <w:spacing w:after="94"/>
        <w:ind w:left="12" w:right="292"/>
      </w:pPr>
      <w:r>
        <w:t xml:space="preserve">Les interventions de premier niveau sont définies comme suit : </w:t>
      </w:r>
    </w:p>
    <w:p w14:paraId="7B2A5A99" w14:textId="77777777" w:rsidR="001863D1" w:rsidRDefault="003D0C20">
      <w:pPr>
        <w:numPr>
          <w:ilvl w:val="0"/>
          <w:numId w:val="1"/>
        </w:numPr>
        <w:spacing w:after="60"/>
        <w:ind w:right="292" w:hanging="360"/>
      </w:pPr>
      <w:r>
        <w:t xml:space="preserve">l’entretien, la maintenance technique et les petits travaux : plomberie (robinetterie, remplacement de joint, fuite, climatisation…) électricité (changements d’ampoules, changement de starter, réarmement des disjoncteurs…), serrurerie (remplacement de piles, changement de serrures…) ; </w:t>
      </w:r>
    </w:p>
    <w:p w14:paraId="4525B83D" w14:textId="27E903C6" w:rsidR="009C7C56" w:rsidRDefault="003D0C20">
      <w:pPr>
        <w:numPr>
          <w:ilvl w:val="0"/>
          <w:numId w:val="1"/>
        </w:numPr>
        <w:ind w:right="292" w:hanging="360"/>
      </w:pPr>
      <w:r>
        <w:t xml:space="preserve">la manutention (livraison et montage de mobilier et matériel de bureau, livraison de papier, mise en place de tables et chaises pour les salles de réunion, divers petits travaux de manutention …) ; </w:t>
      </w:r>
    </w:p>
    <w:p w14:paraId="22E28E8E" w14:textId="169E92D3" w:rsidR="001863D1" w:rsidRDefault="003D0C20">
      <w:pPr>
        <w:numPr>
          <w:ilvl w:val="0"/>
          <w:numId w:val="1"/>
        </w:numPr>
        <w:ind w:right="292" w:hanging="360"/>
      </w:pPr>
      <w:r>
        <w:t xml:space="preserve">petits déménagements internes ; </w:t>
      </w:r>
    </w:p>
    <w:p w14:paraId="68839182" w14:textId="77777777" w:rsidR="001863D1" w:rsidRDefault="003D0C20">
      <w:pPr>
        <w:numPr>
          <w:ilvl w:val="0"/>
          <w:numId w:val="1"/>
        </w:numPr>
        <w:ind w:right="292" w:hanging="360"/>
      </w:pPr>
      <w:r>
        <w:t xml:space="preserve">aide à la manutention sur la zone de stockage. </w:t>
      </w:r>
      <w:r>
        <w:tab/>
        <w:t xml:space="preserve"> </w:t>
      </w:r>
      <w:r>
        <w:tab/>
        <w:t xml:space="preserve"> </w:t>
      </w:r>
      <w:r>
        <w:tab/>
        <w:t xml:space="preserve">  </w:t>
      </w:r>
    </w:p>
    <w:p w14:paraId="1A7223B6" w14:textId="77777777" w:rsidR="001863D1" w:rsidRDefault="003D0C20">
      <w:pPr>
        <w:spacing w:after="17" w:line="259" w:lineRule="auto"/>
        <w:ind w:left="156" w:firstLine="0"/>
        <w:jc w:val="left"/>
      </w:pPr>
      <w:r>
        <w:t xml:space="preserve"> </w:t>
      </w:r>
    </w:p>
    <w:p w14:paraId="27D0BDC8" w14:textId="31429906" w:rsidR="001863D1" w:rsidRDefault="003D0C20">
      <w:pPr>
        <w:ind w:left="12" w:right="292"/>
      </w:pPr>
      <w:r>
        <w:t>L’ANSM met à la disposition de l’équipe du Titulaire l’ensemble d</w:t>
      </w:r>
      <w:r w:rsidR="00AA7CDB">
        <w:t>es</w:t>
      </w:r>
      <w:r>
        <w:t xml:space="preserve"> matériels, des pièces détachées ou de rechange (électrique, plomberie, serrurerie....) nécessaire</w:t>
      </w:r>
      <w:r w:rsidR="00592966">
        <w:t>s</w:t>
      </w:r>
      <w:r>
        <w:t xml:space="preserve"> aux interventions. L’équipe du Titulaire doit suivre les stocks et fournir leur état mensuel au département des services généraux et immobilier.  </w:t>
      </w:r>
    </w:p>
    <w:p w14:paraId="0E0D7222" w14:textId="77777777" w:rsidR="001863D1" w:rsidRDefault="003D0C20">
      <w:pPr>
        <w:spacing w:after="24" w:line="259" w:lineRule="auto"/>
        <w:ind w:left="156" w:firstLine="0"/>
        <w:jc w:val="left"/>
      </w:pPr>
      <w:r>
        <w:t xml:space="preserve"> </w:t>
      </w:r>
    </w:p>
    <w:p w14:paraId="34E038FA" w14:textId="77777777" w:rsidR="001863D1" w:rsidRDefault="003D0C20">
      <w:pPr>
        <w:spacing w:after="0" w:line="281" w:lineRule="auto"/>
        <w:ind w:left="12"/>
      </w:pPr>
      <w:r>
        <w:rPr>
          <w:b/>
        </w:rPr>
        <w:t xml:space="preserve">L’équipe du Titulaire en charge de la réception et du traitement de ces demandes d’intervention est connue à l’ANSM sous l’intitulé « SVP travaux ». Afin de faciliter l’appropriation du marché, la prestation est définie et reconnue en interne par le terme « SVP travaux ». </w:t>
      </w:r>
    </w:p>
    <w:p w14:paraId="18F69242" w14:textId="77777777" w:rsidR="001863D1" w:rsidRDefault="003D0C20">
      <w:pPr>
        <w:spacing w:after="5" w:line="259" w:lineRule="auto"/>
        <w:ind w:left="17" w:firstLine="0"/>
        <w:jc w:val="left"/>
      </w:pPr>
      <w:r>
        <w:t xml:space="preserve"> </w:t>
      </w:r>
    </w:p>
    <w:p w14:paraId="4655B3BC" w14:textId="3AE2500B" w:rsidR="001863D1" w:rsidRDefault="003D0C20">
      <w:pPr>
        <w:ind w:left="12" w:right="292"/>
      </w:pPr>
      <w:r>
        <w:t xml:space="preserve">Les interventions de deuxième niveau reçues par l’équipe « SVP Travaux » sont transmises pour résolution au département </w:t>
      </w:r>
      <w:r w:rsidR="004F3B0D">
        <w:t>des services généraux et de l’immobilier</w:t>
      </w:r>
      <w:r>
        <w:t>.</w:t>
      </w:r>
      <w:r>
        <w:rPr>
          <w:b/>
        </w:rPr>
        <w:t xml:space="preserve"> </w:t>
      </w:r>
      <w:r>
        <w:t xml:space="preserve"> </w:t>
      </w:r>
    </w:p>
    <w:p w14:paraId="60DD1141" w14:textId="77777777" w:rsidR="001863D1" w:rsidRDefault="003D0C20">
      <w:pPr>
        <w:spacing w:after="0" w:line="259" w:lineRule="auto"/>
        <w:ind w:left="17" w:firstLine="0"/>
        <w:jc w:val="left"/>
      </w:pPr>
      <w:r>
        <w:rPr>
          <w:b/>
        </w:rPr>
        <w:t xml:space="preserve"> </w:t>
      </w:r>
      <w:r>
        <w:t xml:space="preserve"> </w:t>
      </w:r>
    </w:p>
    <w:p w14:paraId="1BEBE247" w14:textId="564FB5D7" w:rsidR="001863D1" w:rsidRDefault="003D0C20">
      <w:pPr>
        <w:ind w:left="12" w:right="292"/>
      </w:pPr>
      <w:r>
        <w:t xml:space="preserve">Le périmètre géographique de la prestation correspond à l’ensemble des bâtiments et des infrastructures mobilières de l’ANSM sur son site de Saint-Denis, réparti sur </w:t>
      </w:r>
      <w:r w:rsidR="007F6754">
        <w:t>cinq</w:t>
      </w:r>
      <w:r>
        <w:t xml:space="preserve"> bâtiments soit une surface utile nette de 2</w:t>
      </w:r>
      <w:r w:rsidR="0001608F">
        <w:t>1</w:t>
      </w:r>
      <w:r>
        <w:t xml:space="preserve"> 000 m² et 4 500 m² de voiries.   </w:t>
      </w:r>
    </w:p>
    <w:p w14:paraId="43547457" w14:textId="77777777" w:rsidR="001863D1" w:rsidRDefault="003D0C20">
      <w:pPr>
        <w:spacing w:after="0" w:line="259" w:lineRule="auto"/>
        <w:ind w:left="17" w:firstLine="0"/>
        <w:jc w:val="left"/>
      </w:pPr>
      <w:r>
        <w:rPr>
          <w:b/>
        </w:rPr>
        <w:t xml:space="preserve"> </w:t>
      </w:r>
      <w:r>
        <w:t xml:space="preserve"> </w:t>
      </w:r>
    </w:p>
    <w:tbl>
      <w:tblPr>
        <w:tblStyle w:val="TableGrid"/>
        <w:tblW w:w="9496" w:type="dxa"/>
        <w:tblInd w:w="25" w:type="dxa"/>
        <w:tblCellMar>
          <w:top w:w="34" w:type="dxa"/>
          <w:left w:w="282" w:type="dxa"/>
          <w:right w:w="159" w:type="dxa"/>
        </w:tblCellMar>
        <w:tblLook w:val="04A0" w:firstRow="1" w:lastRow="0" w:firstColumn="1" w:lastColumn="0" w:noHBand="0" w:noVBand="1"/>
      </w:tblPr>
      <w:tblGrid>
        <w:gridCol w:w="5778"/>
        <w:gridCol w:w="3718"/>
      </w:tblGrid>
      <w:tr w:rsidR="001863D1" w14:paraId="23D474EA" w14:textId="77777777">
        <w:trPr>
          <w:trHeight w:val="1306"/>
        </w:trPr>
        <w:tc>
          <w:tcPr>
            <w:tcW w:w="5778" w:type="dxa"/>
            <w:tcBorders>
              <w:top w:val="single" w:sz="4" w:space="0" w:color="000000"/>
              <w:left w:val="single" w:sz="4" w:space="0" w:color="000000"/>
              <w:bottom w:val="single" w:sz="23" w:space="0" w:color="D9D9D9"/>
              <w:right w:val="single" w:sz="4" w:space="0" w:color="000000"/>
            </w:tcBorders>
            <w:shd w:val="clear" w:color="auto" w:fill="D9D9D9"/>
          </w:tcPr>
          <w:p w14:paraId="1A001070" w14:textId="77777777" w:rsidR="001863D1" w:rsidRDefault="003D0C20">
            <w:pPr>
              <w:spacing w:after="0" w:line="259" w:lineRule="auto"/>
              <w:ind w:left="0" w:right="60" w:firstLine="0"/>
              <w:jc w:val="center"/>
            </w:pPr>
            <w:r>
              <w:rPr>
                <w:b/>
                <w:color w:val="0000FF"/>
              </w:rPr>
              <w:t>Site de Saint-Denis/ PLEYEL</w:t>
            </w:r>
            <w:r>
              <w:t xml:space="preserve"> </w:t>
            </w:r>
          </w:p>
          <w:p w14:paraId="0F836292" w14:textId="526669EE" w:rsidR="001863D1" w:rsidRDefault="003D0C20">
            <w:pPr>
              <w:spacing w:after="0" w:line="259" w:lineRule="auto"/>
              <w:ind w:left="0" w:right="61" w:firstLine="0"/>
              <w:jc w:val="center"/>
            </w:pPr>
            <w:r>
              <w:rPr>
                <w:b/>
              </w:rPr>
              <w:t>Bâtiments A-B-C-D</w:t>
            </w:r>
            <w:r w:rsidR="00DB79F1">
              <w:rPr>
                <w:b/>
              </w:rPr>
              <w:t xml:space="preserve"> et Prisme (où se situe le restaurant d’entreprise)</w:t>
            </w:r>
          </w:p>
          <w:p w14:paraId="3E693243" w14:textId="77777777" w:rsidR="001863D1" w:rsidRDefault="003D0C20">
            <w:pPr>
              <w:spacing w:after="5" w:line="259" w:lineRule="auto"/>
              <w:ind w:left="0" w:right="65" w:firstLine="0"/>
              <w:jc w:val="center"/>
            </w:pPr>
            <w:r>
              <w:rPr>
                <w:b/>
              </w:rPr>
              <w:t xml:space="preserve">(parking compris) </w:t>
            </w:r>
          </w:p>
          <w:p w14:paraId="64BA0928" w14:textId="77777777" w:rsidR="001863D1" w:rsidRDefault="003D0C20">
            <w:pPr>
              <w:spacing w:after="0" w:line="259" w:lineRule="auto"/>
              <w:ind w:left="0" w:right="66" w:firstLine="0"/>
              <w:jc w:val="center"/>
            </w:pPr>
            <w:r>
              <w:t xml:space="preserve">143/147 Boulevard Anatole France </w:t>
            </w:r>
          </w:p>
          <w:p w14:paraId="4FFE350C" w14:textId="77777777" w:rsidR="001863D1" w:rsidRDefault="003D0C20">
            <w:pPr>
              <w:spacing w:after="0" w:line="259" w:lineRule="auto"/>
              <w:ind w:left="0" w:right="63" w:firstLine="0"/>
              <w:jc w:val="center"/>
            </w:pPr>
            <w:r>
              <w:t xml:space="preserve">93 285 SAINT-DENIS CEDEX </w:t>
            </w:r>
          </w:p>
        </w:tc>
        <w:tc>
          <w:tcPr>
            <w:tcW w:w="3718" w:type="dxa"/>
            <w:tcBorders>
              <w:top w:val="single" w:sz="4" w:space="0" w:color="000000"/>
              <w:left w:val="single" w:sz="4" w:space="0" w:color="000000"/>
              <w:bottom w:val="single" w:sz="23" w:space="0" w:color="D9D9D9"/>
              <w:right w:val="single" w:sz="4" w:space="0" w:color="000000"/>
            </w:tcBorders>
            <w:shd w:val="clear" w:color="auto" w:fill="D9D9D9"/>
          </w:tcPr>
          <w:p w14:paraId="6645EE51" w14:textId="3DFABFA1" w:rsidR="001863D1" w:rsidRDefault="003D0C20" w:rsidP="00DB79F1">
            <w:pPr>
              <w:spacing w:after="0" w:line="259" w:lineRule="auto"/>
              <w:ind w:left="276" w:firstLine="307"/>
            </w:pPr>
            <w:r>
              <w:t xml:space="preserve">Environ 850 personnes réparties dans les </w:t>
            </w:r>
            <w:r w:rsidR="00DB79F1">
              <w:t>5</w:t>
            </w:r>
            <w:r>
              <w:t xml:space="preserve"> bâtiments </w:t>
            </w:r>
          </w:p>
        </w:tc>
      </w:tr>
      <w:tr w:rsidR="001863D1" w14:paraId="62B25AF9" w14:textId="77777777">
        <w:trPr>
          <w:trHeight w:val="1148"/>
        </w:trPr>
        <w:tc>
          <w:tcPr>
            <w:tcW w:w="5778" w:type="dxa"/>
            <w:tcBorders>
              <w:top w:val="single" w:sz="23" w:space="0" w:color="D9D9D9"/>
              <w:left w:val="single" w:sz="4" w:space="0" w:color="000000"/>
              <w:bottom w:val="single" w:sz="4" w:space="0" w:color="000000"/>
              <w:right w:val="single" w:sz="4" w:space="0" w:color="000000"/>
            </w:tcBorders>
            <w:shd w:val="clear" w:color="auto" w:fill="D9D9D9"/>
          </w:tcPr>
          <w:p w14:paraId="7CFB8063" w14:textId="7A04CECA" w:rsidR="001863D1" w:rsidRDefault="003D0C20">
            <w:pPr>
              <w:spacing w:after="0" w:line="259" w:lineRule="auto"/>
              <w:ind w:left="0" w:right="60" w:firstLine="0"/>
              <w:jc w:val="center"/>
            </w:pPr>
            <w:r>
              <w:t xml:space="preserve"> </w:t>
            </w:r>
          </w:p>
        </w:tc>
        <w:tc>
          <w:tcPr>
            <w:tcW w:w="3718" w:type="dxa"/>
            <w:tcBorders>
              <w:top w:val="single" w:sz="23" w:space="0" w:color="D9D9D9"/>
              <w:left w:val="single" w:sz="4" w:space="0" w:color="000000"/>
              <w:bottom w:val="single" w:sz="4" w:space="0" w:color="000000"/>
              <w:right w:val="single" w:sz="4" w:space="0" w:color="000000"/>
            </w:tcBorders>
            <w:shd w:val="clear" w:color="auto" w:fill="D9D9D9"/>
          </w:tcPr>
          <w:p w14:paraId="57794755" w14:textId="257E1ECF" w:rsidR="001863D1" w:rsidRDefault="001863D1">
            <w:pPr>
              <w:spacing w:after="0" w:line="259" w:lineRule="auto"/>
              <w:ind w:left="0" w:firstLine="0"/>
              <w:jc w:val="center"/>
            </w:pPr>
          </w:p>
        </w:tc>
      </w:tr>
    </w:tbl>
    <w:p w14:paraId="6F58ED27" w14:textId="77777777" w:rsidR="001863D1" w:rsidRDefault="003D0C20">
      <w:pPr>
        <w:spacing w:after="0" w:line="259" w:lineRule="auto"/>
        <w:ind w:left="17" w:firstLine="0"/>
        <w:jc w:val="left"/>
      </w:pPr>
      <w:r>
        <w:rPr>
          <w:sz w:val="24"/>
        </w:rPr>
        <w:t xml:space="preserve">  </w:t>
      </w:r>
    </w:p>
    <w:p w14:paraId="418EE42F" w14:textId="77777777" w:rsidR="001863D1" w:rsidRDefault="003D0C20">
      <w:pPr>
        <w:spacing w:after="0" w:line="259" w:lineRule="auto"/>
        <w:ind w:left="17" w:firstLine="0"/>
        <w:jc w:val="left"/>
      </w:pPr>
      <w:r>
        <w:rPr>
          <w:b/>
          <w:sz w:val="24"/>
        </w:rPr>
        <w:t xml:space="preserve"> </w:t>
      </w:r>
    </w:p>
    <w:p w14:paraId="21D4B206" w14:textId="77777777" w:rsidR="001863D1" w:rsidRDefault="003D0C20">
      <w:pPr>
        <w:pStyle w:val="Titre1"/>
        <w:ind w:left="12"/>
      </w:pPr>
      <w:bookmarkStart w:id="1" w:name="_Toc185493540"/>
      <w:r>
        <w:lastRenderedPageBreak/>
        <w:t>Article 2 : DESCRIPTION DES PRESTATIONS ATTENDUES</w:t>
      </w:r>
      <w:bookmarkEnd w:id="1"/>
      <w:r>
        <w:rPr>
          <w:u w:val="none" w:color="000000"/>
        </w:rPr>
        <w:t xml:space="preserve">  </w:t>
      </w:r>
    </w:p>
    <w:p w14:paraId="77BE4693" w14:textId="77777777" w:rsidR="001863D1" w:rsidRDefault="003D0C20">
      <w:pPr>
        <w:pStyle w:val="Titre2"/>
        <w:spacing w:after="217"/>
        <w:ind w:left="725" w:firstLine="0"/>
      </w:pPr>
      <w:bookmarkStart w:id="2" w:name="_Toc185493541"/>
      <w:r>
        <w:rPr>
          <w:sz w:val="22"/>
        </w:rPr>
        <w:t>2.1 Cadre général de la maintenance attendue</w:t>
      </w:r>
      <w:bookmarkEnd w:id="2"/>
      <w:r>
        <w:rPr>
          <w:sz w:val="22"/>
        </w:rPr>
        <w:t xml:space="preserve">  </w:t>
      </w:r>
    </w:p>
    <w:p w14:paraId="59A670A8" w14:textId="77777777" w:rsidR="001863D1" w:rsidRDefault="003D0C20">
      <w:pPr>
        <w:spacing w:after="257"/>
        <w:ind w:left="12" w:right="292"/>
      </w:pPr>
      <w:r>
        <w:t xml:space="preserve">Le cadre général de l’organisation de la prestation est défini aux présents articles.  </w:t>
      </w:r>
    </w:p>
    <w:p w14:paraId="613CD597" w14:textId="7270B5C0" w:rsidR="001863D1" w:rsidRDefault="003D0C20">
      <w:pPr>
        <w:spacing w:after="236"/>
        <w:ind w:left="12" w:right="292"/>
      </w:pPr>
      <w:r>
        <w:t xml:space="preserve">Les prestations attendues consistent à assurer un service de maintenance et d’assistance de premier niveau pour le site de Saint -Denis :  </w:t>
      </w:r>
    </w:p>
    <w:p w14:paraId="75DAE5A8" w14:textId="77777777" w:rsidR="001863D1" w:rsidRDefault="003D0C20">
      <w:pPr>
        <w:numPr>
          <w:ilvl w:val="0"/>
          <w:numId w:val="2"/>
        </w:numPr>
        <w:spacing w:after="199"/>
        <w:ind w:right="292" w:hanging="360"/>
      </w:pPr>
      <w:r>
        <w:t xml:space="preserve">changement d’ampoule et de néon… </w:t>
      </w:r>
    </w:p>
    <w:p w14:paraId="69A95C22" w14:textId="68F97CAF" w:rsidR="001863D1" w:rsidRDefault="003D0C20">
      <w:pPr>
        <w:numPr>
          <w:ilvl w:val="0"/>
          <w:numId w:val="2"/>
        </w:numPr>
        <w:spacing w:after="175"/>
        <w:ind w:right="292" w:hanging="360"/>
      </w:pPr>
      <w:r>
        <w:t>changement des piles (</w:t>
      </w:r>
      <w:proofErr w:type="spellStart"/>
      <w:r>
        <w:t>poigne</w:t>
      </w:r>
      <w:r w:rsidR="003110BA">
        <w:t>és</w:t>
      </w:r>
      <w:proofErr w:type="spellEnd"/>
      <w:r>
        <w:t xml:space="preserve"> de portes….)  </w:t>
      </w:r>
    </w:p>
    <w:p w14:paraId="2140792B" w14:textId="77777777" w:rsidR="001863D1" w:rsidRDefault="003D0C20">
      <w:pPr>
        <w:numPr>
          <w:ilvl w:val="0"/>
          <w:numId w:val="2"/>
        </w:numPr>
        <w:spacing w:after="237"/>
        <w:ind w:right="292" w:hanging="360"/>
      </w:pPr>
      <w:r>
        <w:t xml:space="preserve">réparation de premier niveau plomberie (fuite d’eau, chasse d’eau, robinetterie….) et électricité (remplacement d’interrupteur, de petit disjoncteur….)  </w:t>
      </w:r>
    </w:p>
    <w:p w14:paraId="417520EA" w14:textId="77777777" w:rsidR="001863D1" w:rsidRDefault="003D0C20">
      <w:pPr>
        <w:numPr>
          <w:ilvl w:val="0"/>
          <w:numId w:val="2"/>
        </w:numPr>
        <w:spacing w:after="203"/>
        <w:ind w:right="292" w:hanging="360"/>
      </w:pPr>
      <w:r>
        <w:t xml:space="preserve">entretien permanent des bâtiments (ouvrant, remplacement de bloc de secours….)  </w:t>
      </w:r>
    </w:p>
    <w:p w14:paraId="457C96FC" w14:textId="77777777" w:rsidR="001863D1" w:rsidRDefault="003D0C20">
      <w:pPr>
        <w:numPr>
          <w:ilvl w:val="0"/>
          <w:numId w:val="2"/>
        </w:numPr>
        <w:spacing w:after="64"/>
        <w:ind w:right="292" w:hanging="360"/>
      </w:pPr>
      <w:r>
        <w:t xml:space="preserve">manutention (livraison de mobilier, livraison de papier, mise en place des salles de réunions….)  </w:t>
      </w:r>
    </w:p>
    <w:p w14:paraId="57B9238D" w14:textId="77777777" w:rsidR="001863D1" w:rsidRDefault="003D0C20">
      <w:pPr>
        <w:spacing w:after="0" w:line="259" w:lineRule="auto"/>
        <w:ind w:left="2" w:firstLine="0"/>
        <w:jc w:val="left"/>
      </w:pPr>
      <w:r>
        <w:t xml:space="preserve"> </w:t>
      </w:r>
    </w:p>
    <w:p w14:paraId="7495C88A" w14:textId="77777777" w:rsidR="001863D1" w:rsidRDefault="003D0C20">
      <w:pPr>
        <w:ind w:left="12" w:right="292"/>
      </w:pPr>
      <w:r>
        <w:t xml:space="preserve">L’enjeu majeur de la prestation est la gestion globale des interventions. En effet, la rapidité de la prise en charge des demandes, le suivi des interventions ainsi que le rétablissement d’une situation fonctionnelle sont des éléments d’appréciation de l’efficacité de la prestation.  </w:t>
      </w:r>
    </w:p>
    <w:p w14:paraId="313B3AB0" w14:textId="77777777" w:rsidR="001863D1" w:rsidRDefault="003D0C20">
      <w:pPr>
        <w:spacing w:after="5" w:line="259" w:lineRule="auto"/>
        <w:ind w:left="17" w:firstLine="0"/>
        <w:jc w:val="left"/>
      </w:pPr>
      <w:r>
        <w:t xml:space="preserve">  </w:t>
      </w:r>
    </w:p>
    <w:p w14:paraId="70D9F27B" w14:textId="4631422E" w:rsidR="001863D1" w:rsidRDefault="003D0C20">
      <w:pPr>
        <w:ind w:left="12" w:right="292"/>
      </w:pPr>
      <w:r>
        <w:t xml:space="preserve">Cette gestion doit permettre à tout moment de disposer de statistiques quantitatives et qualitatives des demandes, avoir une vue des interventions (file d’attente, charge de travail…) et une traçabilité.  </w:t>
      </w:r>
    </w:p>
    <w:p w14:paraId="7438543D" w14:textId="77777777" w:rsidR="001863D1" w:rsidRDefault="003D0C20">
      <w:pPr>
        <w:spacing w:after="27" w:line="259" w:lineRule="auto"/>
        <w:ind w:left="17" w:firstLine="0"/>
        <w:jc w:val="left"/>
      </w:pPr>
      <w:r>
        <w:t xml:space="preserve">  </w:t>
      </w:r>
    </w:p>
    <w:p w14:paraId="3004963B" w14:textId="77777777" w:rsidR="001863D1" w:rsidRDefault="003D0C20">
      <w:pPr>
        <w:ind w:left="12" w:right="1"/>
      </w:pPr>
      <w:r>
        <w:t xml:space="preserve">Le prestataire doit s’engager vis-à-vis de la personne publique pour une réduction des coûts d’exploitation et une augmentation du niveau de qualité de service (repérage et remplacement des ampoules énergivores encore en place par des ampoules basse consommation fournies par l’ANSM, fermeture systématique des ouvrants…).  </w:t>
      </w:r>
    </w:p>
    <w:p w14:paraId="3B0428D4" w14:textId="77777777" w:rsidR="001863D1" w:rsidRDefault="003D0C20">
      <w:pPr>
        <w:spacing w:after="12" w:line="259" w:lineRule="auto"/>
        <w:ind w:left="2" w:firstLine="0"/>
        <w:jc w:val="left"/>
      </w:pPr>
      <w:r>
        <w:t xml:space="preserve"> </w:t>
      </w:r>
    </w:p>
    <w:p w14:paraId="299F2D3A" w14:textId="77777777" w:rsidR="001863D1" w:rsidRDefault="003D0C20">
      <w:pPr>
        <w:spacing w:after="103"/>
        <w:ind w:left="12"/>
      </w:pPr>
      <w:r>
        <w:t xml:space="preserve">Le prestataire doit s’engager à effectuer une visite hebdomadaire de type « ronde » sur chaque niveau de chaque bâtiment sur le site dans son intégralité et fournir un rapport hebdomadaire afin de vérifier: </w:t>
      </w:r>
    </w:p>
    <w:p w14:paraId="6EFB11CF" w14:textId="77777777" w:rsidR="004D270E" w:rsidRDefault="003D0C20">
      <w:pPr>
        <w:numPr>
          <w:ilvl w:val="0"/>
          <w:numId w:val="2"/>
        </w:numPr>
        <w:spacing w:line="307" w:lineRule="auto"/>
        <w:ind w:right="292" w:hanging="360"/>
      </w:pPr>
      <w:r>
        <w:t xml:space="preserve">l’éclairage de circulation, </w:t>
      </w:r>
    </w:p>
    <w:p w14:paraId="5A96C63D" w14:textId="184D665F" w:rsidR="001863D1" w:rsidRDefault="003D0C20">
      <w:pPr>
        <w:numPr>
          <w:ilvl w:val="0"/>
          <w:numId w:val="2"/>
        </w:numPr>
        <w:spacing w:line="307" w:lineRule="auto"/>
        <w:ind w:right="292" w:hanging="360"/>
      </w:pPr>
      <w:r>
        <w:t xml:space="preserve">l’éclairage des sanitaires, </w:t>
      </w:r>
    </w:p>
    <w:p w14:paraId="2D564208" w14:textId="77777777" w:rsidR="004D270E" w:rsidRDefault="003D0C20">
      <w:pPr>
        <w:numPr>
          <w:ilvl w:val="0"/>
          <w:numId w:val="2"/>
        </w:numPr>
        <w:ind w:right="292" w:hanging="360"/>
      </w:pPr>
      <w:r>
        <w:t>les poignées, les grooms, les crémones concernant les portes palières et sas,</w:t>
      </w:r>
    </w:p>
    <w:p w14:paraId="653FE687" w14:textId="5793909E" w:rsidR="001863D1" w:rsidRDefault="003D0C20">
      <w:pPr>
        <w:numPr>
          <w:ilvl w:val="0"/>
          <w:numId w:val="2"/>
        </w:numPr>
        <w:ind w:right="292" w:hanging="360"/>
      </w:pPr>
      <w:r>
        <w:t xml:space="preserve">le contrôle dans les sanitaires, les fuites éventuelles, fixation des abatants WC et les mitigeurs. </w:t>
      </w:r>
    </w:p>
    <w:p w14:paraId="5F7BB71C" w14:textId="77777777" w:rsidR="001863D1" w:rsidRDefault="003D0C20">
      <w:pPr>
        <w:spacing w:after="252" w:line="259" w:lineRule="auto"/>
        <w:ind w:left="17" w:firstLine="0"/>
        <w:jc w:val="left"/>
      </w:pPr>
      <w:r>
        <w:t xml:space="preserve"> </w:t>
      </w:r>
    </w:p>
    <w:p w14:paraId="282CA6DB" w14:textId="77777777" w:rsidR="001863D1" w:rsidRDefault="003D0C20">
      <w:pPr>
        <w:pStyle w:val="Titre3"/>
        <w:spacing w:after="41"/>
        <w:ind w:left="1428"/>
      </w:pPr>
      <w:bookmarkStart w:id="3" w:name="_Toc185493542"/>
      <w:r>
        <w:t>2.1.1 Localisation</w:t>
      </w:r>
      <w:bookmarkEnd w:id="3"/>
      <w:r>
        <w:rPr>
          <w:u w:val="none"/>
        </w:rPr>
        <w:t xml:space="preserve">  </w:t>
      </w:r>
    </w:p>
    <w:p w14:paraId="5409F8CC" w14:textId="77777777" w:rsidR="001863D1" w:rsidRDefault="003D0C20">
      <w:pPr>
        <w:spacing w:after="60" w:line="259" w:lineRule="auto"/>
        <w:ind w:left="1433" w:firstLine="0"/>
        <w:jc w:val="left"/>
      </w:pPr>
      <w:r>
        <w:t xml:space="preserve"> </w:t>
      </w:r>
    </w:p>
    <w:p w14:paraId="1D9A90C3" w14:textId="77777777" w:rsidR="001863D1" w:rsidRDefault="003D0C20">
      <w:pPr>
        <w:spacing w:after="250"/>
        <w:ind w:left="12" w:right="292"/>
      </w:pPr>
      <w:r>
        <w:t xml:space="preserve">Pour des raisons de proximité d’intervention, l’équipe « Svp Travaux» est basée sur le site de Saint-Denis, au sein du bâtiment Pleyel, siège administratif de l’ANSM dans un local mis à disposition.   </w:t>
      </w:r>
    </w:p>
    <w:p w14:paraId="4DB05CD5" w14:textId="77777777" w:rsidR="001863D1" w:rsidRDefault="003D0C20">
      <w:pPr>
        <w:pStyle w:val="Titre3"/>
        <w:ind w:left="1428"/>
      </w:pPr>
      <w:bookmarkStart w:id="4" w:name="_Toc185493543"/>
      <w:r>
        <w:t>2.1.2 Couverture horaire</w:t>
      </w:r>
      <w:bookmarkEnd w:id="4"/>
      <w:r>
        <w:rPr>
          <w:u w:val="none"/>
        </w:rPr>
        <w:t xml:space="preserve">  </w:t>
      </w:r>
    </w:p>
    <w:p w14:paraId="01E648F9" w14:textId="77777777" w:rsidR="001863D1" w:rsidRDefault="003D0C20">
      <w:pPr>
        <w:spacing w:after="0" w:line="259" w:lineRule="auto"/>
        <w:ind w:left="2" w:firstLine="0"/>
        <w:jc w:val="left"/>
      </w:pPr>
      <w:r>
        <w:rPr>
          <w:sz w:val="24"/>
        </w:rPr>
        <w:t xml:space="preserve"> </w:t>
      </w:r>
    </w:p>
    <w:p w14:paraId="2D46AE89" w14:textId="77777777" w:rsidR="006A70D3" w:rsidRDefault="003D0C20">
      <w:pPr>
        <w:spacing w:after="33"/>
        <w:ind w:left="12" w:right="292"/>
      </w:pPr>
      <w:r>
        <w:t xml:space="preserve">La couverture horaire pour toutes les prestations, </w:t>
      </w:r>
      <w:r w:rsidR="006A70D3">
        <w:t>est la suivante :</w:t>
      </w:r>
    </w:p>
    <w:p w14:paraId="752989AA" w14:textId="77777777" w:rsidR="006A70D3" w:rsidRDefault="006A70D3">
      <w:pPr>
        <w:spacing w:after="33"/>
        <w:ind w:left="12" w:right="292"/>
      </w:pPr>
      <w:r>
        <w:t>- 2 personnes de 8h à 16h</w:t>
      </w:r>
    </w:p>
    <w:p w14:paraId="0A177565" w14:textId="795D8E38" w:rsidR="006A70D3" w:rsidRDefault="006415CE">
      <w:pPr>
        <w:spacing w:after="33"/>
        <w:ind w:left="12" w:right="292"/>
      </w:pPr>
      <w:r>
        <w:t>- 1 personne</w:t>
      </w:r>
      <w:r w:rsidR="006A70D3">
        <w:t xml:space="preserve"> de 9h30 à 17h30</w:t>
      </w:r>
    </w:p>
    <w:p w14:paraId="23E0A930" w14:textId="3811BB30" w:rsidR="001863D1" w:rsidRDefault="001863D1">
      <w:pPr>
        <w:spacing w:after="0" w:line="259" w:lineRule="auto"/>
        <w:ind w:left="3558" w:firstLine="0"/>
        <w:jc w:val="left"/>
      </w:pPr>
    </w:p>
    <w:p w14:paraId="7CC7590C" w14:textId="77777777" w:rsidR="001863D1" w:rsidRDefault="003D0C20">
      <w:pPr>
        <w:pStyle w:val="Titre3"/>
        <w:spacing w:after="41"/>
        <w:ind w:left="1428"/>
      </w:pPr>
      <w:bookmarkStart w:id="5" w:name="_Toc185493544"/>
      <w:r>
        <w:t>2.1.3 Fournitures et matériel de communication</w:t>
      </w:r>
      <w:bookmarkEnd w:id="5"/>
      <w:r>
        <w:rPr>
          <w:u w:val="none"/>
        </w:rPr>
        <w:t xml:space="preserve"> </w:t>
      </w:r>
    </w:p>
    <w:p w14:paraId="06B00D8F" w14:textId="77777777" w:rsidR="001863D1" w:rsidRDefault="003D0C20">
      <w:pPr>
        <w:spacing w:after="58" w:line="259" w:lineRule="auto"/>
        <w:ind w:left="1433" w:firstLine="0"/>
        <w:jc w:val="left"/>
      </w:pPr>
      <w:r>
        <w:t xml:space="preserve"> </w:t>
      </w:r>
    </w:p>
    <w:p w14:paraId="2B04E584" w14:textId="77777777" w:rsidR="001863D1" w:rsidRDefault="003D0C20">
      <w:pPr>
        <w:ind w:left="12" w:right="292"/>
      </w:pPr>
      <w:r>
        <w:t>L’agence met à disposition de l’équipe SVP travaux,  les fournitures et le petit matériel</w:t>
      </w:r>
      <w:r>
        <w:rPr>
          <w:rFonts w:ascii="Times New Roman" w:eastAsia="Times New Roman" w:hAnsi="Times New Roman" w:cs="Times New Roman"/>
          <w:sz w:val="16"/>
        </w:rPr>
        <w:t xml:space="preserve"> </w:t>
      </w:r>
      <w:r>
        <w:t xml:space="preserve">décrits ci-dessous.  </w:t>
      </w:r>
    </w:p>
    <w:p w14:paraId="75E5C620" w14:textId="77777777" w:rsidR="001863D1" w:rsidRDefault="003D0C20">
      <w:pPr>
        <w:spacing w:after="63" w:line="259" w:lineRule="auto"/>
        <w:ind w:left="2" w:firstLine="0"/>
        <w:jc w:val="left"/>
      </w:pPr>
      <w:r>
        <w:t xml:space="preserve"> </w:t>
      </w:r>
    </w:p>
    <w:p w14:paraId="0AEEBD47" w14:textId="77196603" w:rsidR="001863D1" w:rsidRDefault="003D0C20">
      <w:pPr>
        <w:numPr>
          <w:ilvl w:val="0"/>
          <w:numId w:val="3"/>
        </w:numPr>
        <w:ind w:right="292" w:hanging="360"/>
      </w:pPr>
      <w:r>
        <w:lastRenderedPageBreak/>
        <w:t>un micro-</w:t>
      </w:r>
      <w:proofErr w:type="gramStart"/>
      <w:r>
        <w:t>ordinateur ,</w:t>
      </w:r>
      <w:proofErr w:type="gramEnd"/>
      <w:r>
        <w:t xml:space="preserve">  </w:t>
      </w:r>
    </w:p>
    <w:p w14:paraId="03E005D1" w14:textId="77777777" w:rsidR="001863D1" w:rsidRDefault="003D0C20">
      <w:pPr>
        <w:numPr>
          <w:ilvl w:val="0"/>
          <w:numId w:val="3"/>
        </w:numPr>
        <w:spacing w:after="84"/>
        <w:ind w:right="292" w:hanging="360"/>
      </w:pPr>
      <w:r>
        <w:t xml:space="preserve">une ligne téléphonique fixe dédiée ainsi que des téléphones mobiles à usage interne dits DECT (un par personne).  </w:t>
      </w:r>
    </w:p>
    <w:p w14:paraId="444BDF2B" w14:textId="77777777" w:rsidR="001863D1" w:rsidRDefault="003D0C20">
      <w:pPr>
        <w:numPr>
          <w:ilvl w:val="0"/>
          <w:numId w:val="3"/>
        </w:numPr>
        <w:ind w:right="292" w:hanging="360"/>
      </w:pPr>
      <w:r>
        <w:t xml:space="preserve">Un accès au réseau informatique local de l’agence nécessaire à l’accomplissement de la prestation.  </w:t>
      </w:r>
    </w:p>
    <w:p w14:paraId="2DBD4FF6" w14:textId="77777777" w:rsidR="001863D1" w:rsidRDefault="003D0C20">
      <w:pPr>
        <w:spacing w:after="0" w:line="259" w:lineRule="auto"/>
        <w:ind w:left="2" w:firstLine="0"/>
        <w:jc w:val="left"/>
      </w:pPr>
      <w:r>
        <w:t xml:space="preserve"> </w:t>
      </w:r>
    </w:p>
    <w:p w14:paraId="52B153F4" w14:textId="77777777" w:rsidR="001863D1" w:rsidRDefault="003D0C20">
      <w:pPr>
        <w:spacing w:after="189"/>
        <w:ind w:left="12" w:right="292"/>
      </w:pPr>
      <w:r>
        <w:t xml:space="preserve">Il est entendu que ces équipements confiés au personnel du Titulaire restent la propriété de l’ANSM et ils doivent être utilisés selon les usages attendus du marché. En aucun cas, le matériel décrit au présent article ne peut être détourné à des fins personnelles.  </w:t>
      </w:r>
    </w:p>
    <w:p w14:paraId="77EE8B55" w14:textId="77777777" w:rsidR="001863D1" w:rsidRDefault="003D0C20">
      <w:pPr>
        <w:spacing w:after="221" w:line="259" w:lineRule="auto"/>
        <w:ind w:left="2" w:firstLine="0"/>
        <w:jc w:val="left"/>
      </w:pPr>
      <w:r>
        <w:t xml:space="preserve"> </w:t>
      </w:r>
    </w:p>
    <w:p w14:paraId="156437F7" w14:textId="77777777" w:rsidR="001863D1" w:rsidRDefault="003D0C20">
      <w:pPr>
        <w:pStyle w:val="Titre2"/>
        <w:ind w:left="730"/>
      </w:pPr>
      <w:bookmarkStart w:id="6" w:name="_Toc185493545"/>
      <w:r>
        <w:t>2.2 Equipe</w:t>
      </w:r>
      <w:bookmarkEnd w:id="6"/>
      <w:r>
        <w:t xml:space="preserve">  </w:t>
      </w:r>
    </w:p>
    <w:p w14:paraId="40C3AA6A" w14:textId="77777777" w:rsidR="001863D1" w:rsidRDefault="003D0C20">
      <w:pPr>
        <w:spacing w:after="0" w:line="259" w:lineRule="auto"/>
        <w:ind w:left="17" w:firstLine="0"/>
        <w:jc w:val="left"/>
      </w:pPr>
      <w:r>
        <w:rPr>
          <w:b/>
          <w:sz w:val="24"/>
        </w:rPr>
        <w:t xml:space="preserve"> </w:t>
      </w:r>
    </w:p>
    <w:p w14:paraId="2D6D7A61" w14:textId="77777777" w:rsidR="001863D1" w:rsidRDefault="003D0C20">
      <w:pPr>
        <w:pStyle w:val="Titre3"/>
        <w:ind w:left="1428"/>
      </w:pPr>
      <w:bookmarkStart w:id="7" w:name="_Toc185493546"/>
      <w:r>
        <w:t>2.2.1 Correspondant agence : coordonnateur</w:t>
      </w:r>
      <w:bookmarkEnd w:id="7"/>
      <w:r>
        <w:rPr>
          <w:u w:val="none"/>
        </w:rPr>
        <w:t xml:space="preserve">  </w:t>
      </w:r>
    </w:p>
    <w:p w14:paraId="5BFC94DB" w14:textId="77777777" w:rsidR="001863D1" w:rsidRDefault="003D0C20">
      <w:pPr>
        <w:spacing w:after="0" w:line="259" w:lineRule="auto"/>
        <w:ind w:left="17" w:firstLine="0"/>
        <w:jc w:val="left"/>
      </w:pPr>
      <w:r>
        <w:rPr>
          <w:sz w:val="24"/>
        </w:rPr>
        <w:t xml:space="preserve">  </w:t>
      </w:r>
    </w:p>
    <w:p w14:paraId="03E7898D" w14:textId="77777777" w:rsidR="001863D1" w:rsidRDefault="003D0C20">
      <w:pPr>
        <w:ind w:left="12" w:right="292"/>
      </w:pPr>
      <w:r>
        <w:t xml:space="preserve">Les prestations se déroulent sous la responsabilité du Titulaire. A ce titre, il désigne un correspondant permanent présent sur le site de l’agence qui agit en qualité de coordonnateur.  </w:t>
      </w:r>
    </w:p>
    <w:p w14:paraId="6494A097" w14:textId="77777777" w:rsidR="001863D1" w:rsidRDefault="003D0C20">
      <w:pPr>
        <w:spacing w:after="23" w:line="259" w:lineRule="auto"/>
        <w:ind w:left="2" w:firstLine="0"/>
        <w:jc w:val="left"/>
      </w:pPr>
      <w:r>
        <w:t xml:space="preserve"> </w:t>
      </w:r>
    </w:p>
    <w:p w14:paraId="34E1ADCD" w14:textId="77777777" w:rsidR="001863D1" w:rsidRDefault="003D0C20">
      <w:pPr>
        <w:ind w:left="12" w:right="292"/>
      </w:pPr>
      <w:r>
        <w:t>Ce dernier est l’interlocuteur privilégié pour le déroulement opérationnel des prestations et en cas de difficultés il doit rendre compte du déroulé de la prestation au Chef de Département des Services Généraux et Immobilier ou son représentant</w:t>
      </w:r>
      <w:r>
        <w:rPr>
          <w:sz w:val="24"/>
        </w:rPr>
        <w:t xml:space="preserve">.  </w:t>
      </w:r>
    </w:p>
    <w:p w14:paraId="50D56F5B" w14:textId="77777777" w:rsidR="001863D1" w:rsidRDefault="003D0C20">
      <w:pPr>
        <w:spacing w:after="0" w:line="259" w:lineRule="auto"/>
        <w:ind w:left="17" w:firstLine="0"/>
        <w:jc w:val="left"/>
      </w:pPr>
      <w:r>
        <w:rPr>
          <w:sz w:val="24"/>
        </w:rPr>
        <w:t xml:space="preserve">  </w:t>
      </w:r>
    </w:p>
    <w:p w14:paraId="271DE6C1" w14:textId="77777777" w:rsidR="001863D1" w:rsidRDefault="003D0C20">
      <w:pPr>
        <w:spacing w:after="28"/>
        <w:ind w:left="12" w:right="292"/>
      </w:pPr>
      <w:r>
        <w:t xml:space="preserve">L’ensemble de la chaîne hiérarchique du Chef de Département  des services généraux et Immobilier est également habilité à saisir « SVP travaux » et à prioriser les interventions.  </w:t>
      </w:r>
    </w:p>
    <w:p w14:paraId="412A34C8" w14:textId="77777777" w:rsidR="001863D1" w:rsidRDefault="003D0C20">
      <w:pPr>
        <w:spacing w:after="0" w:line="259" w:lineRule="auto"/>
        <w:ind w:left="17" w:firstLine="0"/>
        <w:jc w:val="left"/>
      </w:pPr>
      <w:r>
        <w:rPr>
          <w:sz w:val="24"/>
        </w:rPr>
        <w:t xml:space="preserve">  </w:t>
      </w:r>
    </w:p>
    <w:p w14:paraId="0B37BF1E" w14:textId="77777777" w:rsidR="001863D1" w:rsidRDefault="003D0C20">
      <w:pPr>
        <w:ind w:left="12" w:right="292"/>
      </w:pPr>
      <w:r>
        <w:t xml:space="preserve">Le coordonnateur du titulaire assure </w:t>
      </w:r>
      <w:proofErr w:type="gramStart"/>
      <w:r>
        <w:t>a</w:t>
      </w:r>
      <w:proofErr w:type="gramEnd"/>
      <w:r>
        <w:t xml:space="preserve"> minima :  </w:t>
      </w:r>
    </w:p>
    <w:p w14:paraId="74AB88EF" w14:textId="77777777" w:rsidR="001863D1" w:rsidRDefault="003D0C20">
      <w:pPr>
        <w:spacing w:after="88" w:line="259" w:lineRule="auto"/>
        <w:ind w:left="17" w:firstLine="0"/>
        <w:jc w:val="left"/>
      </w:pPr>
      <w:r>
        <w:t xml:space="preserve">  </w:t>
      </w:r>
    </w:p>
    <w:p w14:paraId="07D65699" w14:textId="438B747C" w:rsidR="00295A0A" w:rsidRDefault="00295A0A">
      <w:pPr>
        <w:numPr>
          <w:ilvl w:val="0"/>
          <w:numId w:val="4"/>
        </w:numPr>
        <w:spacing w:after="56"/>
        <w:ind w:right="292" w:hanging="360"/>
      </w:pPr>
      <w:r>
        <w:t>La saisie des demandes d’intervention et leur clôture</w:t>
      </w:r>
    </w:p>
    <w:p w14:paraId="73B12B03" w14:textId="77777777" w:rsidR="001863D1" w:rsidRDefault="003D0C20">
      <w:pPr>
        <w:numPr>
          <w:ilvl w:val="0"/>
          <w:numId w:val="4"/>
        </w:numPr>
        <w:spacing w:after="56"/>
        <w:ind w:right="292" w:hanging="360"/>
      </w:pPr>
      <w:r>
        <w:t xml:space="preserve">le suivi technique de la prestation réalisée ; </w:t>
      </w:r>
    </w:p>
    <w:p w14:paraId="6ECC0B65" w14:textId="77777777" w:rsidR="001863D1" w:rsidRDefault="003D0C20">
      <w:pPr>
        <w:numPr>
          <w:ilvl w:val="0"/>
          <w:numId w:val="4"/>
        </w:numPr>
        <w:spacing w:after="69"/>
        <w:ind w:right="292" w:hanging="360"/>
      </w:pPr>
      <w:r>
        <w:t xml:space="preserve">l’analyse des problèmes ponctuels et la proposition des actions correctrices ; </w:t>
      </w:r>
    </w:p>
    <w:p w14:paraId="24DE24E5" w14:textId="77777777" w:rsidR="001863D1" w:rsidRDefault="003D0C20">
      <w:pPr>
        <w:numPr>
          <w:ilvl w:val="0"/>
          <w:numId w:val="4"/>
        </w:numPr>
        <w:spacing w:after="60"/>
        <w:ind w:right="292" w:hanging="360"/>
      </w:pPr>
      <w:r>
        <w:t xml:space="preserve">l’analyse des problèmes de fond nécessitant une action de l’ANSM ; </w:t>
      </w:r>
    </w:p>
    <w:p w14:paraId="793A1AC3" w14:textId="77777777" w:rsidR="001863D1" w:rsidRDefault="003D0C20">
      <w:pPr>
        <w:numPr>
          <w:ilvl w:val="0"/>
          <w:numId w:val="4"/>
        </w:numPr>
        <w:spacing w:after="225"/>
        <w:ind w:right="292" w:hanging="360"/>
      </w:pPr>
      <w:r>
        <w:t xml:space="preserve">le management de l’équipe dédiée qui n’est pas de la responsabilité de l’ANSM. </w:t>
      </w:r>
    </w:p>
    <w:p w14:paraId="4521A62C" w14:textId="77777777" w:rsidR="001863D1" w:rsidRDefault="003D0C20">
      <w:pPr>
        <w:spacing w:after="214" w:line="259" w:lineRule="auto"/>
        <w:ind w:left="17" w:firstLine="0"/>
        <w:jc w:val="left"/>
      </w:pPr>
      <w:r>
        <w:rPr>
          <w:sz w:val="24"/>
        </w:rPr>
        <w:t xml:space="preserve"> </w:t>
      </w:r>
    </w:p>
    <w:p w14:paraId="36F0BF3A" w14:textId="77777777" w:rsidR="001863D1" w:rsidRDefault="003D0C20">
      <w:pPr>
        <w:pStyle w:val="Titre3"/>
        <w:ind w:left="1428"/>
      </w:pPr>
      <w:bookmarkStart w:id="8" w:name="_Toc185493547"/>
      <w:r>
        <w:t>2.2.2 L’équipe du titulaire</w:t>
      </w:r>
      <w:bookmarkEnd w:id="8"/>
      <w:r>
        <w:rPr>
          <w:u w:val="none"/>
        </w:rPr>
        <w:t xml:space="preserve">  </w:t>
      </w:r>
    </w:p>
    <w:p w14:paraId="4CE4D45C" w14:textId="77777777" w:rsidR="001863D1" w:rsidRDefault="003D0C20">
      <w:pPr>
        <w:spacing w:after="0" w:line="259" w:lineRule="auto"/>
        <w:ind w:left="17" w:firstLine="0"/>
        <w:jc w:val="left"/>
      </w:pPr>
      <w:r>
        <w:rPr>
          <w:sz w:val="24"/>
        </w:rPr>
        <w:t xml:space="preserve">  </w:t>
      </w:r>
    </w:p>
    <w:p w14:paraId="30224CBF" w14:textId="5E249B74" w:rsidR="007F7B26" w:rsidRDefault="007F7B26">
      <w:pPr>
        <w:ind w:left="12" w:right="292"/>
      </w:pPr>
      <w:r>
        <w:t xml:space="preserve">L’équipe du titulaire est composée de </w:t>
      </w:r>
      <w:r w:rsidR="00D14A86">
        <w:t>3</w:t>
      </w:r>
      <w:r>
        <w:t xml:space="preserve"> agents.</w:t>
      </w:r>
    </w:p>
    <w:p w14:paraId="01B3A16C" w14:textId="246B8950" w:rsidR="001863D1" w:rsidRDefault="003D0C20">
      <w:pPr>
        <w:ind w:left="12" w:right="292"/>
      </w:pPr>
      <w:r>
        <w:t xml:space="preserve">Il est souligné que l’équipe du titulaire est sous sa responsabilité. L’équipe doit </w:t>
      </w:r>
      <w:proofErr w:type="gramStart"/>
      <w:r>
        <w:t>a</w:t>
      </w:r>
      <w:proofErr w:type="gramEnd"/>
      <w:r>
        <w:t xml:space="preserve"> minima comporter une personne pour la réception des appels</w:t>
      </w:r>
      <w:r w:rsidR="00210E54">
        <w:t>,</w:t>
      </w:r>
      <w:r>
        <w:t xml:space="preserve"> la répartition et l’orientation des interventions, ainsi que deux personnes réalisant les opérations décrites dans l’objet du marché.  </w:t>
      </w:r>
    </w:p>
    <w:p w14:paraId="63445119" w14:textId="77777777" w:rsidR="001863D1" w:rsidRDefault="003D0C20">
      <w:pPr>
        <w:spacing w:after="0" w:line="259" w:lineRule="auto"/>
        <w:ind w:left="2" w:firstLine="0"/>
        <w:jc w:val="left"/>
      </w:pPr>
      <w:r>
        <w:t xml:space="preserve"> </w:t>
      </w:r>
    </w:p>
    <w:p w14:paraId="4EE81402" w14:textId="77777777" w:rsidR="001863D1" w:rsidRDefault="003D0C20">
      <w:pPr>
        <w:ind w:left="12"/>
      </w:pPr>
      <w:r>
        <w:t xml:space="preserve">Tous les personnels mis en place par le prestataire, </w:t>
      </w:r>
      <w:r>
        <w:rPr>
          <w:b/>
        </w:rPr>
        <w:t>sans exception</w:t>
      </w:r>
      <w:r>
        <w:t xml:space="preserve">, doivent être agréés par l’ANSM. Le Titulaire doit fournir tous les renseignements jugés nécessaires à cet agrément. </w:t>
      </w:r>
      <w:r>
        <w:rPr>
          <w:rFonts w:ascii="Calibri" w:eastAsia="Calibri" w:hAnsi="Calibri" w:cs="Calibri"/>
          <w:sz w:val="23"/>
        </w:rPr>
        <w:t xml:space="preserve"> </w:t>
      </w:r>
    </w:p>
    <w:p w14:paraId="38547F19" w14:textId="77777777" w:rsidR="001863D1" w:rsidRDefault="003D0C20">
      <w:pPr>
        <w:spacing w:after="0" w:line="259" w:lineRule="auto"/>
        <w:ind w:left="17" w:firstLine="0"/>
        <w:jc w:val="left"/>
      </w:pPr>
      <w:r>
        <w:t xml:space="preserve"> </w:t>
      </w:r>
    </w:p>
    <w:p w14:paraId="1C9CAAEA" w14:textId="77777777" w:rsidR="001863D1" w:rsidRDefault="003D0C20">
      <w:pPr>
        <w:ind w:left="12"/>
      </w:pPr>
      <w:r>
        <w:t xml:space="preserve">A ce titre, dans un délai de 7 jours calendaires à compter de la notification, un état des agents pressentis pour entrer sur le site est remis au département des services généraux et immobilier.  </w:t>
      </w:r>
    </w:p>
    <w:p w14:paraId="41559BC3" w14:textId="77777777" w:rsidR="001863D1" w:rsidRDefault="003D0C20">
      <w:pPr>
        <w:spacing w:after="0" w:line="259" w:lineRule="auto"/>
        <w:ind w:left="17" w:firstLine="0"/>
        <w:jc w:val="left"/>
      </w:pPr>
      <w:r>
        <w:t xml:space="preserve"> </w:t>
      </w:r>
    </w:p>
    <w:p w14:paraId="0C456FFE" w14:textId="77777777" w:rsidR="001863D1" w:rsidRDefault="003D0C20">
      <w:pPr>
        <w:ind w:left="12" w:right="292"/>
      </w:pPr>
      <w:r>
        <w:t xml:space="preserve">Ce dossier doit comprendre </w:t>
      </w:r>
      <w:proofErr w:type="gramStart"/>
      <w:r>
        <w:t>a</w:t>
      </w:r>
      <w:proofErr w:type="gramEnd"/>
      <w:r>
        <w:t xml:space="preserve"> minima  </w:t>
      </w:r>
    </w:p>
    <w:p w14:paraId="5EE6292E" w14:textId="77777777" w:rsidR="001863D1" w:rsidRDefault="003D0C20">
      <w:pPr>
        <w:numPr>
          <w:ilvl w:val="0"/>
          <w:numId w:val="5"/>
        </w:numPr>
        <w:ind w:right="292" w:hanging="360"/>
      </w:pPr>
      <w:r>
        <w:t xml:space="preserve">Les CV,  </w:t>
      </w:r>
    </w:p>
    <w:p w14:paraId="3EC6B59C" w14:textId="77777777" w:rsidR="001863D1" w:rsidRDefault="003D0C20">
      <w:pPr>
        <w:numPr>
          <w:ilvl w:val="0"/>
          <w:numId w:val="5"/>
        </w:numPr>
        <w:spacing w:after="42"/>
        <w:ind w:right="292" w:hanging="360"/>
      </w:pPr>
      <w:r>
        <w:t xml:space="preserve">La copie de la carte professionnelle à jour,  </w:t>
      </w:r>
    </w:p>
    <w:p w14:paraId="6831EABA" w14:textId="77777777" w:rsidR="001863D1" w:rsidRDefault="003D0C20">
      <w:pPr>
        <w:numPr>
          <w:ilvl w:val="0"/>
          <w:numId w:val="5"/>
        </w:numPr>
        <w:ind w:right="292" w:hanging="360"/>
      </w:pPr>
      <w:r>
        <w:t xml:space="preserve">La copie de la carte d’identité ou du titre de séjour en cours de validité.  </w:t>
      </w:r>
    </w:p>
    <w:p w14:paraId="5E06BF3B" w14:textId="77777777" w:rsidR="001863D1" w:rsidRDefault="003D0C20">
      <w:pPr>
        <w:spacing w:after="0" w:line="259" w:lineRule="auto"/>
        <w:ind w:left="17" w:firstLine="0"/>
        <w:jc w:val="left"/>
      </w:pPr>
      <w:r>
        <w:t xml:space="preserve"> </w:t>
      </w:r>
    </w:p>
    <w:p w14:paraId="43E31639" w14:textId="5EF947A1" w:rsidR="001863D1" w:rsidRDefault="003D0C20">
      <w:pPr>
        <w:spacing w:after="0" w:line="261" w:lineRule="auto"/>
        <w:ind w:left="12"/>
        <w:jc w:val="left"/>
      </w:pPr>
      <w:r>
        <w:lastRenderedPageBreak/>
        <w:t xml:space="preserve">A l’appui de ces documents et selon les règles en vigueur, une enquête administrative est diligentée par l’officier de sécurité de l’ANSM. </w:t>
      </w:r>
      <w:r w:rsidR="006565CB">
        <w:t>En fonction du résultat de cette enquête, l’accès au site pourra être refusé.</w:t>
      </w:r>
    </w:p>
    <w:p w14:paraId="79D84FBC" w14:textId="77777777" w:rsidR="001863D1" w:rsidRDefault="003D0C20">
      <w:pPr>
        <w:spacing w:after="0" w:line="259" w:lineRule="auto"/>
        <w:ind w:left="17" w:firstLine="0"/>
        <w:jc w:val="left"/>
      </w:pPr>
      <w:r>
        <w:t xml:space="preserve"> </w:t>
      </w:r>
    </w:p>
    <w:p w14:paraId="64E57650" w14:textId="58848D50" w:rsidR="001863D1" w:rsidRDefault="003D0C20" w:rsidP="00782DDE">
      <w:pPr>
        <w:spacing w:after="2" w:line="259" w:lineRule="auto"/>
        <w:jc w:val="left"/>
      </w:pPr>
      <w:r>
        <w:t xml:space="preserve"> </w:t>
      </w:r>
    </w:p>
    <w:p w14:paraId="51F8C563" w14:textId="77777777" w:rsidR="001863D1" w:rsidRDefault="003D0C20">
      <w:pPr>
        <w:ind w:left="12" w:right="292"/>
      </w:pPr>
      <w:r>
        <w:t xml:space="preserve">A ce titre, la gestion des congés et des absences de ses agents est de la responsabilité du titulaire. La prestation étant forfaitaire, il est de la responsabilité du titulaire de pallier tout défaut de réalisation ou de présence  tout en garantissant la continuité des prestations.  </w:t>
      </w:r>
    </w:p>
    <w:p w14:paraId="4FB93723" w14:textId="77777777" w:rsidR="001863D1" w:rsidRDefault="003D0C20">
      <w:pPr>
        <w:spacing w:after="5" w:line="259" w:lineRule="auto"/>
        <w:ind w:left="17" w:firstLine="0"/>
        <w:jc w:val="left"/>
      </w:pPr>
      <w:r>
        <w:t xml:space="preserve">  </w:t>
      </w:r>
    </w:p>
    <w:p w14:paraId="0F852132" w14:textId="77777777" w:rsidR="001863D1" w:rsidRDefault="003D0C20">
      <w:pPr>
        <w:ind w:left="12" w:right="292"/>
      </w:pPr>
      <w:r>
        <w:t xml:space="preserve">L’ANSM se réserve le droit à tout moment de demander le remplacement de tout membre du Personnel. Elle </w:t>
      </w:r>
    </w:p>
    <w:p w14:paraId="015728BA" w14:textId="77777777" w:rsidR="001863D1" w:rsidRDefault="003D0C20">
      <w:pPr>
        <w:ind w:left="12" w:right="292"/>
      </w:pPr>
      <w:proofErr w:type="gramStart"/>
      <w:r>
        <w:t>peut</w:t>
      </w:r>
      <w:proofErr w:type="gramEnd"/>
      <w:r>
        <w:t xml:space="preserve"> également s’opposer à un changement d’équipe.  </w:t>
      </w:r>
    </w:p>
    <w:p w14:paraId="07C20578" w14:textId="77777777" w:rsidR="001863D1" w:rsidRDefault="003D0C20">
      <w:pPr>
        <w:spacing w:after="0" w:line="259" w:lineRule="auto"/>
        <w:ind w:left="2" w:firstLine="0"/>
        <w:jc w:val="left"/>
      </w:pPr>
      <w:r>
        <w:t xml:space="preserve"> </w:t>
      </w:r>
    </w:p>
    <w:p w14:paraId="39589247" w14:textId="77777777" w:rsidR="001863D1" w:rsidRDefault="003D0C20">
      <w:pPr>
        <w:ind w:left="12" w:right="292"/>
      </w:pPr>
      <w:r>
        <w:t xml:space="preserve">Une telle décision peut intervenir notamment dans les cas suivants : </w:t>
      </w:r>
    </w:p>
    <w:p w14:paraId="15F0904A" w14:textId="77777777" w:rsidR="001863D1" w:rsidRDefault="003D0C20">
      <w:pPr>
        <w:spacing w:after="0" w:line="259" w:lineRule="auto"/>
        <w:ind w:left="2" w:firstLine="0"/>
        <w:jc w:val="left"/>
      </w:pPr>
      <w:r>
        <w:t xml:space="preserve"> </w:t>
      </w:r>
    </w:p>
    <w:p w14:paraId="48DC24A0" w14:textId="1EA37F48" w:rsidR="001863D1" w:rsidRDefault="003D0C20">
      <w:pPr>
        <w:numPr>
          <w:ilvl w:val="0"/>
          <w:numId w:val="6"/>
        </w:numPr>
        <w:ind w:right="292" w:hanging="360"/>
      </w:pPr>
      <w:r>
        <w:t>En cas de manquement professionnel induisant une dégradation de la qualité de la prestation rendue</w:t>
      </w:r>
      <w:r w:rsidR="0059772C">
        <w:t xml:space="preserve"> </w:t>
      </w:r>
      <w:r>
        <w:t xml:space="preserve">; </w:t>
      </w:r>
    </w:p>
    <w:p w14:paraId="4075DB60" w14:textId="77777777" w:rsidR="001863D1" w:rsidRDefault="003D0C20">
      <w:pPr>
        <w:numPr>
          <w:ilvl w:val="0"/>
          <w:numId w:val="6"/>
        </w:numPr>
        <w:ind w:right="292" w:hanging="360"/>
      </w:pPr>
      <w:r>
        <w:t xml:space="preserve">Pour des fautes personnelles de nature disciplinaire ; </w:t>
      </w:r>
    </w:p>
    <w:p w14:paraId="046DD622" w14:textId="77777777" w:rsidR="001863D1" w:rsidRDefault="003D0C20">
      <w:pPr>
        <w:numPr>
          <w:ilvl w:val="0"/>
          <w:numId w:val="6"/>
        </w:numPr>
        <w:ind w:right="292" w:hanging="360"/>
      </w:pPr>
      <w:r>
        <w:t xml:space="preserve">En cas de refus d’agrément d’un intervenant du Titulaire par l’ANSM.  </w:t>
      </w:r>
    </w:p>
    <w:p w14:paraId="04BC8B2E" w14:textId="77777777" w:rsidR="001863D1" w:rsidRDefault="003D0C20">
      <w:pPr>
        <w:spacing w:after="48" w:line="259" w:lineRule="auto"/>
        <w:ind w:left="17" w:firstLine="0"/>
        <w:jc w:val="left"/>
      </w:pPr>
      <w:r>
        <w:t xml:space="preserve"> </w:t>
      </w:r>
    </w:p>
    <w:p w14:paraId="5034195C" w14:textId="77777777" w:rsidR="001863D1" w:rsidRDefault="003D0C20">
      <w:pPr>
        <w:spacing w:after="0" w:line="259" w:lineRule="auto"/>
        <w:ind w:left="17" w:firstLine="0"/>
        <w:jc w:val="left"/>
      </w:pPr>
      <w:r>
        <w:t xml:space="preserve"> </w:t>
      </w:r>
      <w:r>
        <w:rPr>
          <w:sz w:val="24"/>
        </w:rPr>
        <w:t xml:space="preserve"> </w:t>
      </w:r>
    </w:p>
    <w:p w14:paraId="79BDBA5B" w14:textId="77777777" w:rsidR="001863D1" w:rsidRDefault="003D0C20">
      <w:pPr>
        <w:pStyle w:val="Titre3"/>
        <w:ind w:left="1428"/>
      </w:pPr>
      <w:bookmarkStart w:id="9" w:name="_Toc185493548"/>
      <w:r>
        <w:t>2.2.3 Habilitation</w:t>
      </w:r>
      <w:bookmarkEnd w:id="9"/>
      <w:r>
        <w:rPr>
          <w:u w:val="none"/>
        </w:rPr>
        <w:t xml:space="preserve">  </w:t>
      </w:r>
    </w:p>
    <w:p w14:paraId="7EA33063" w14:textId="77777777" w:rsidR="001863D1" w:rsidRDefault="003D0C20">
      <w:pPr>
        <w:spacing w:after="0" w:line="259" w:lineRule="auto"/>
        <w:ind w:left="17" w:firstLine="0"/>
        <w:jc w:val="left"/>
      </w:pPr>
      <w:r>
        <w:rPr>
          <w:sz w:val="24"/>
        </w:rPr>
        <w:t xml:space="preserve">  </w:t>
      </w:r>
    </w:p>
    <w:p w14:paraId="55844591" w14:textId="0156B3BE" w:rsidR="001863D1" w:rsidRDefault="003D0C20">
      <w:pPr>
        <w:ind w:left="12" w:right="292"/>
      </w:pPr>
      <w:r>
        <w:t xml:space="preserve">Les intervenants du Titulaire doivent être habilités selon les normes en vigueur afin de pouvoir réaliser les travaux d’électricité leur incombant (interventions sur les interrupteurs, plafonniers, changements de starter, prise, réarmer un disjoncteur…). Chaque personnel doit avoir en permanence son justificatif d’habilitation, il peut </w:t>
      </w:r>
      <w:r w:rsidR="00040591">
        <w:t xml:space="preserve">lui </w:t>
      </w:r>
      <w:r>
        <w:t>être demandé avant toute intervention par le département des services généraux et de l’immobilier. Une copie de l’habilitation doit être transmise à l’ANSM à la notification du marché. En sa qualité d’employeur, le Titulaire s’assure que les besoins en matière d’habilitation sont toujours en adéquation avec les évolutions prévisibles des opérations à réaliser</w:t>
      </w:r>
      <w:r w:rsidR="00040591">
        <w:t>.</w:t>
      </w:r>
      <w:r>
        <w:t xml:space="preserve"> </w:t>
      </w:r>
      <w:r w:rsidR="00040591">
        <w:t>A</w:t>
      </w:r>
      <w:r>
        <w:t xml:space="preserve"> ce titre</w:t>
      </w:r>
      <w:r w:rsidR="00040591">
        <w:t>, il fait passer</w:t>
      </w:r>
      <w:r>
        <w:t xml:space="preserve"> les formations de recyclage à échéances prédéterminées. Elles sont à fournir chaque année.   </w:t>
      </w:r>
    </w:p>
    <w:p w14:paraId="4E6DB267" w14:textId="77777777" w:rsidR="001863D1" w:rsidRDefault="003D0C20">
      <w:pPr>
        <w:spacing w:after="0" w:line="259" w:lineRule="auto"/>
        <w:ind w:left="2" w:firstLine="0"/>
        <w:jc w:val="left"/>
      </w:pPr>
      <w:r>
        <w:t xml:space="preserve"> </w:t>
      </w:r>
    </w:p>
    <w:p w14:paraId="6161F461" w14:textId="763A378B" w:rsidR="001863D1" w:rsidRDefault="003D0C20">
      <w:pPr>
        <w:ind w:left="12" w:right="292"/>
      </w:pPr>
      <w:r>
        <w:t xml:space="preserve">Il est de la responsabilité du Titulaire de veiller à ce que ses équipes n’interviennent pas pour les missions sur lesquelles </w:t>
      </w:r>
      <w:r w:rsidR="00040591">
        <w:t>elles</w:t>
      </w:r>
      <w:r>
        <w:t xml:space="preserve"> ne sont pas habilité</w:t>
      </w:r>
      <w:r w:rsidR="00040591">
        <w:t>e</w:t>
      </w:r>
      <w:r>
        <w:t xml:space="preserve">s.  </w:t>
      </w:r>
    </w:p>
    <w:p w14:paraId="05E91AB6" w14:textId="77777777" w:rsidR="001863D1" w:rsidRDefault="003D0C20">
      <w:pPr>
        <w:spacing w:after="31" w:line="259" w:lineRule="auto"/>
        <w:ind w:left="2" w:firstLine="0"/>
        <w:jc w:val="left"/>
      </w:pPr>
      <w:r>
        <w:t xml:space="preserve"> </w:t>
      </w:r>
    </w:p>
    <w:p w14:paraId="5AB27A0E" w14:textId="77777777" w:rsidR="001863D1" w:rsidRDefault="003D0C20">
      <w:pPr>
        <w:spacing w:after="34"/>
        <w:ind w:left="12" w:right="292"/>
      </w:pPr>
      <w:r>
        <w:t xml:space="preserve">Si un nouvel arrivant au sein de l’équipe SVP Travaux n’est pas en mesure de présenter ses habilitations, il doit quitter sans délais les sites de l’ANSM. </w:t>
      </w:r>
    </w:p>
    <w:p w14:paraId="0C013EEF" w14:textId="77777777" w:rsidR="001863D1" w:rsidRDefault="003D0C20">
      <w:pPr>
        <w:spacing w:after="177" w:line="259" w:lineRule="auto"/>
        <w:ind w:left="17" w:firstLine="0"/>
        <w:jc w:val="left"/>
      </w:pPr>
      <w:r>
        <w:rPr>
          <w:sz w:val="24"/>
        </w:rPr>
        <w:t xml:space="preserve">  </w:t>
      </w:r>
    </w:p>
    <w:p w14:paraId="26D8141E" w14:textId="77777777" w:rsidR="001863D1" w:rsidRDefault="003D0C20">
      <w:pPr>
        <w:pStyle w:val="Titre3"/>
        <w:ind w:left="1428"/>
      </w:pPr>
      <w:r>
        <w:t xml:space="preserve"> </w:t>
      </w:r>
      <w:bookmarkStart w:id="10" w:name="_Toc185493549"/>
      <w:r>
        <w:t>2.2.4 Plan de prévention</w:t>
      </w:r>
      <w:bookmarkEnd w:id="10"/>
      <w:r>
        <w:rPr>
          <w:u w:val="none"/>
        </w:rPr>
        <w:t xml:space="preserve">  </w:t>
      </w:r>
    </w:p>
    <w:p w14:paraId="4A888CB4" w14:textId="77777777" w:rsidR="001863D1" w:rsidRDefault="003D0C20">
      <w:pPr>
        <w:spacing w:after="0" w:line="259" w:lineRule="auto"/>
        <w:ind w:left="17" w:firstLine="0"/>
        <w:jc w:val="left"/>
      </w:pPr>
      <w:r>
        <w:rPr>
          <w:sz w:val="24"/>
        </w:rPr>
        <w:t xml:space="preserve">  </w:t>
      </w:r>
    </w:p>
    <w:p w14:paraId="738AAC01" w14:textId="77777777" w:rsidR="001863D1" w:rsidRDefault="003D0C20">
      <w:pPr>
        <w:spacing w:after="186"/>
        <w:ind w:left="12" w:right="292"/>
      </w:pPr>
      <w:r>
        <w:t>Le Titulaire, lors du démarrage de la prestation, établit le plan de prévention en présence de l’ANSM pour validation</w:t>
      </w:r>
      <w:r>
        <w:rPr>
          <w:sz w:val="24"/>
        </w:rPr>
        <w:t xml:space="preserve">.  </w:t>
      </w:r>
    </w:p>
    <w:p w14:paraId="29F5A1AB" w14:textId="77777777" w:rsidR="001863D1" w:rsidRDefault="003D0C20">
      <w:pPr>
        <w:pStyle w:val="Titre3"/>
        <w:ind w:left="1428"/>
      </w:pPr>
      <w:bookmarkStart w:id="11" w:name="_Toc185493550"/>
      <w:r>
        <w:t>2.2.5 Equipement de Protection Individuelle</w:t>
      </w:r>
      <w:bookmarkEnd w:id="11"/>
      <w:r>
        <w:rPr>
          <w:u w:val="none"/>
        </w:rPr>
        <w:t xml:space="preserve">  </w:t>
      </w:r>
    </w:p>
    <w:p w14:paraId="4F47E7F9" w14:textId="77777777" w:rsidR="001863D1" w:rsidRDefault="003D0C20">
      <w:pPr>
        <w:spacing w:after="0" w:line="259" w:lineRule="auto"/>
        <w:ind w:left="17" w:firstLine="0"/>
        <w:jc w:val="left"/>
      </w:pPr>
      <w:r>
        <w:rPr>
          <w:sz w:val="24"/>
        </w:rPr>
        <w:t xml:space="preserve">  </w:t>
      </w:r>
    </w:p>
    <w:p w14:paraId="149B26E8" w14:textId="77777777" w:rsidR="001863D1" w:rsidRDefault="003D0C20">
      <w:pPr>
        <w:spacing w:after="204" w:line="261" w:lineRule="auto"/>
        <w:ind w:left="12"/>
        <w:jc w:val="left"/>
      </w:pPr>
      <w:r>
        <w:t>Le Titulaire doit fournir obligatoirement les EPI aux agents présents sur site (y compris pour les remplaçants).  Le respect du port des équipements de sécurité est de la responsabilité du titulaire. Si toutefois il est constaté le non port des EPI, l’ANSM se réserve le droit d’interdire l’accès aux sites.</w:t>
      </w:r>
      <w:r>
        <w:rPr>
          <w:sz w:val="24"/>
        </w:rPr>
        <w:t xml:space="preserve"> </w:t>
      </w:r>
    </w:p>
    <w:p w14:paraId="1F3057E4" w14:textId="77777777" w:rsidR="001863D1" w:rsidRDefault="003D0C20">
      <w:pPr>
        <w:pStyle w:val="Titre3"/>
        <w:spacing w:after="20"/>
        <w:ind w:left="17" w:right="6035" w:firstLine="1426"/>
        <w:rPr>
          <w:sz w:val="24"/>
          <w:u w:val="none"/>
        </w:rPr>
      </w:pPr>
      <w:r>
        <w:rPr>
          <w:u w:val="none"/>
        </w:rPr>
        <w:t xml:space="preserve"> </w:t>
      </w:r>
      <w:bookmarkStart w:id="12" w:name="_Toc185493551"/>
      <w:r>
        <w:t>2.2.6 Indicateurs d’activité</w:t>
      </w:r>
      <w:bookmarkEnd w:id="12"/>
      <w:r>
        <w:rPr>
          <w:u w:val="none"/>
        </w:rPr>
        <w:t xml:space="preserve">  </w:t>
      </w:r>
      <w:r>
        <w:rPr>
          <w:sz w:val="24"/>
          <w:u w:val="none"/>
        </w:rPr>
        <w:t xml:space="preserve">  </w:t>
      </w:r>
    </w:p>
    <w:p w14:paraId="4C9E2CAD" w14:textId="77777777" w:rsidR="00EE07BF" w:rsidRPr="00EE07BF" w:rsidRDefault="00EE07BF" w:rsidP="000B6EF6"/>
    <w:p w14:paraId="1CA895DB" w14:textId="77777777" w:rsidR="001863D1" w:rsidRDefault="003D0C20">
      <w:pPr>
        <w:ind w:left="12" w:right="292"/>
      </w:pPr>
      <w:r>
        <w:t xml:space="preserve">Le titulaire a à sa charge le suivi des indicateurs d’activité de la prestation menée.  </w:t>
      </w:r>
    </w:p>
    <w:p w14:paraId="0A89A5BD" w14:textId="77777777" w:rsidR="001863D1" w:rsidRDefault="003D0C20">
      <w:pPr>
        <w:spacing w:after="0" w:line="259" w:lineRule="auto"/>
        <w:ind w:left="2" w:firstLine="0"/>
        <w:jc w:val="left"/>
      </w:pPr>
      <w:r>
        <w:t xml:space="preserve"> </w:t>
      </w:r>
    </w:p>
    <w:p w14:paraId="5DA7F975" w14:textId="77777777" w:rsidR="001863D1" w:rsidRDefault="003D0C20">
      <w:pPr>
        <w:ind w:left="12" w:right="292"/>
      </w:pPr>
      <w:r>
        <w:t xml:space="preserve">A ce titre, il doit tracer et fournir de façon mensuelle </w:t>
      </w:r>
      <w:proofErr w:type="gramStart"/>
      <w:r>
        <w:t>a</w:t>
      </w:r>
      <w:proofErr w:type="gramEnd"/>
      <w:r>
        <w:t xml:space="preserve"> minima :  </w:t>
      </w:r>
    </w:p>
    <w:p w14:paraId="1019E761" w14:textId="77777777" w:rsidR="001863D1" w:rsidRDefault="003D0C20">
      <w:pPr>
        <w:spacing w:after="82" w:line="259" w:lineRule="auto"/>
        <w:ind w:left="17" w:firstLine="0"/>
        <w:jc w:val="left"/>
      </w:pPr>
      <w:r>
        <w:t xml:space="preserve">  </w:t>
      </w:r>
    </w:p>
    <w:p w14:paraId="4CCE40F7" w14:textId="77777777" w:rsidR="001863D1" w:rsidRDefault="003D0C20">
      <w:pPr>
        <w:numPr>
          <w:ilvl w:val="0"/>
          <w:numId w:val="7"/>
        </w:numPr>
        <w:spacing w:after="90"/>
        <w:ind w:right="292" w:hanging="360"/>
      </w:pPr>
      <w:r>
        <w:t xml:space="preserve">le nombre de demandes ; </w:t>
      </w:r>
    </w:p>
    <w:p w14:paraId="1F9F1D92" w14:textId="77777777" w:rsidR="001863D1" w:rsidRDefault="003D0C20">
      <w:pPr>
        <w:numPr>
          <w:ilvl w:val="0"/>
          <w:numId w:val="7"/>
        </w:numPr>
        <w:ind w:right="292" w:hanging="360"/>
      </w:pPr>
      <w:r>
        <w:t xml:space="preserve">le nombre d’interventions de premier niveau ; </w:t>
      </w:r>
    </w:p>
    <w:p w14:paraId="363E3BB6" w14:textId="3271C031" w:rsidR="001863D1" w:rsidRDefault="003D0C20">
      <w:pPr>
        <w:numPr>
          <w:ilvl w:val="0"/>
          <w:numId w:val="7"/>
        </w:numPr>
        <w:spacing w:after="100"/>
        <w:ind w:right="292" w:hanging="360"/>
      </w:pPr>
      <w:r>
        <w:lastRenderedPageBreak/>
        <w:t xml:space="preserve">le nombre d’interventions de second niveau ayant été transmis à l’unité travaux et immobilier pour prise en charge ; </w:t>
      </w:r>
    </w:p>
    <w:p w14:paraId="0C858E83" w14:textId="77777777" w:rsidR="001863D1" w:rsidRDefault="003D0C20">
      <w:pPr>
        <w:numPr>
          <w:ilvl w:val="0"/>
          <w:numId w:val="7"/>
        </w:numPr>
        <w:spacing w:after="195"/>
        <w:ind w:right="292" w:hanging="360"/>
      </w:pPr>
      <w:r>
        <w:t xml:space="preserve">le délai moyen d’intervention pour les interventions de premier niveau entre l’appel et l’intervention effective.  </w:t>
      </w:r>
    </w:p>
    <w:p w14:paraId="7AB8DF73" w14:textId="43DFD422" w:rsidR="001863D1" w:rsidRDefault="003D0C20">
      <w:pPr>
        <w:spacing w:after="188" w:line="281" w:lineRule="auto"/>
        <w:ind w:left="12"/>
      </w:pPr>
      <w:r>
        <w:rPr>
          <w:b/>
        </w:rPr>
        <w:t xml:space="preserve">Ces indicateurs d’activité peuvent </w:t>
      </w:r>
      <w:r w:rsidR="00224626">
        <w:rPr>
          <w:b/>
        </w:rPr>
        <w:t xml:space="preserve">varier </w:t>
      </w:r>
      <w:r>
        <w:rPr>
          <w:b/>
        </w:rPr>
        <w:t>en fonction d</w:t>
      </w:r>
      <w:r w:rsidR="00437DBD">
        <w:rPr>
          <w:b/>
        </w:rPr>
        <w:t>e l’évolution de l’application SVP Travaux</w:t>
      </w:r>
      <w:r>
        <w:rPr>
          <w:b/>
        </w:rPr>
        <w:t xml:space="preserve">.  </w:t>
      </w:r>
    </w:p>
    <w:p w14:paraId="0B1DDD73" w14:textId="77777777" w:rsidR="001863D1" w:rsidRDefault="003D0C20">
      <w:pPr>
        <w:pStyle w:val="Titre2"/>
        <w:ind w:left="730"/>
      </w:pPr>
      <w:bookmarkStart w:id="13" w:name="_Toc185493552"/>
      <w:r>
        <w:t>2.3 Contenu de l’assistance aux utilisateurs « SVP Travaux »</w:t>
      </w:r>
      <w:bookmarkEnd w:id="13"/>
      <w:r>
        <w:t xml:space="preserve">  </w:t>
      </w:r>
    </w:p>
    <w:p w14:paraId="13C54C56" w14:textId="4ECDEB00" w:rsidR="001863D1" w:rsidRDefault="003D0C20">
      <w:pPr>
        <w:spacing w:after="263"/>
        <w:ind w:left="12" w:right="292"/>
      </w:pPr>
      <w:r>
        <w:t xml:space="preserve">L’annexe 1 au présent CCTP décrit la nature et le nombre des interventions qui ont eu lieu en année pleine soit en </w:t>
      </w:r>
      <w:r w:rsidR="000113C5">
        <w:t xml:space="preserve">2024 </w:t>
      </w:r>
      <w:r>
        <w:t xml:space="preserve">dans le périmètre du présent marché. Cette annexe n’a pas de caractère contractuel et n’est donnée qu’à titre informatif.   </w:t>
      </w:r>
    </w:p>
    <w:p w14:paraId="130E44A1" w14:textId="77777777" w:rsidR="001863D1" w:rsidRDefault="003D0C20">
      <w:pPr>
        <w:ind w:left="12" w:right="292"/>
      </w:pPr>
      <w:r>
        <w:t>La prestation porte sur les demandes et interventions relatives à la maintenance, la manutention, l’entretien et les travaux sur les biens mobiliers et immobiliers de l’ANSM.</w:t>
      </w:r>
      <w:r>
        <w:rPr>
          <w:b/>
        </w:rPr>
        <w:t xml:space="preserve"> </w:t>
      </w:r>
      <w:r>
        <w:t xml:space="preserve"> </w:t>
      </w:r>
    </w:p>
    <w:p w14:paraId="256B8F9C" w14:textId="77777777" w:rsidR="001863D1" w:rsidRDefault="003D0C20">
      <w:pPr>
        <w:spacing w:after="26" w:line="259" w:lineRule="auto"/>
        <w:ind w:left="17" w:firstLine="0"/>
        <w:jc w:val="left"/>
      </w:pPr>
      <w:r>
        <w:t xml:space="preserve">  </w:t>
      </w:r>
    </w:p>
    <w:p w14:paraId="2A711336" w14:textId="77777777" w:rsidR="001863D1" w:rsidRDefault="003D0C20">
      <w:pPr>
        <w:ind w:left="12" w:right="292"/>
      </w:pPr>
      <w:r>
        <w:t xml:space="preserve">La permanence « SVP Travaux » mise en place par le prestataire avec les outils de l’ANSM comprend : </w:t>
      </w:r>
    </w:p>
    <w:p w14:paraId="4EFAD9A8" w14:textId="77777777" w:rsidR="001863D1" w:rsidRDefault="003D0C20">
      <w:pPr>
        <w:spacing w:after="68" w:line="259" w:lineRule="auto"/>
        <w:ind w:left="2" w:firstLine="0"/>
        <w:jc w:val="left"/>
      </w:pPr>
      <w:r>
        <w:t xml:space="preserve"> </w:t>
      </w:r>
    </w:p>
    <w:p w14:paraId="6B369A3F" w14:textId="50082CAC" w:rsidR="006B0AB5" w:rsidRDefault="006B0AB5">
      <w:pPr>
        <w:numPr>
          <w:ilvl w:val="0"/>
          <w:numId w:val="8"/>
        </w:numPr>
        <w:spacing w:after="61"/>
        <w:ind w:right="292" w:hanging="360"/>
      </w:pPr>
      <w:r>
        <w:t>la saisie des demandes</w:t>
      </w:r>
      <w:r w:rsidR="00302CBF">
        <w:t>,</w:t>
      </w:r>
    </w:p>
    <w:p w14:paraId="087CD01C" w14:textId="77777777" w:rsidR="001863D1" w:rsidRDefault="003D0C20">
      <w:pPr>
        <w:numPr>
          <w:ilvl w:val="0"/>
          <w:numId w:val="8"/>
        </w:numPr>
        <w:spacing w:after="61"/>
        <w:ind w:right="292" w:hanging="360"/>
      </w:pPr>
      <w:r>
        <w:t xml:space="preserve">La gestion des demandes,   </w:t>
      </w:r>
    </w:p>
    <w:p w14:paraId="7362E120" w14:textId="77777777" w:rsidR="001863D1" w:rsidRDefault="003D0C20">
      <w:pPr>
        <w:numPr>
          <w:ilvl w:val="0"/>
          <w:numId w:val="8"/>
        </w:numPr>
        <w:spacing w:after="26"/>
        <w:ind w:right="292" w:hanging="360"/>
      </w:pPr>
      <w:r>
        <w:t xml:space="preserve">Les diagnostics de premier niveau,   </w:t>
      </w:r>
    </w:p>
    <w:p w14:paraId="33638F1F" w14:textId="77777777" w:rsidR="001863D1" w:rsidRDefault="003D0C20">
      <w:pPr>
        <w:numPr>
          <w:ilvl w:val="0"/>
          <w:numId w:val="8"/>
        </w:numPr>
        <w:spacing w:after="35"/>
        <w:ind w:right="292" w:hanging="360"/>
      </w:pPr>
      <w:r>
        <w:t xml:space="preserve">La résolution des incidents de premier niveau par courriel  lorsque cela est possible,  </w:t>
      </w:r>
    </w:p>
    <w:p w14:paraId="0D7673E7" w14:textId="77777777" w:rsidR="001863D1" w:rsidRDefault="003D0C20">
      <w:pPr>
        <w:numPr>
          <w:ilvl w:val="0"/>
          <w:numId w:val="8"/>
        </w:numPr>
        <w:spacing w:after="85"/>
        <w:ind w:right="292" w:hanging="360"/>
      </w:pPr>
      <w:r>
        <w:t xml:space="preserve">L’envoi sur place de l’équipe « SVP Travaux » pour la résolution des incidents de premier niveau,  </w:t>
      </w:r>
    </w:p>
    <w:p w14:paraId="0EDDEDD8" w14:textId="77777777" w:rsidR="001241DA" w:rsidRDefault="003D0C20">
      <w:pPr>
        <w:numPr>
          <w:ilvl w:val="0"/>
          <w:numId w:val="8"/>
        </w:numPr>
        <w:spacing w:line="330" w:lineRule="auto"/>
        <w:ind w:right="292" w:hanging="360"/>
      </w:pPr>
      <w:r>
        <w:t xml:space="preserve">Le transfert des incidents de deuxième niveau à l’unité travaux et immobilier, </w:t>
      </w:r>
    </w:p>
    <w:p w14:paraId="5AAC648A" w14:textId="07BC8480" w:rsidR="006B0AB5" w:rsidRDefault="003D0C20">
      <w:pPr>
        <w:numPr>
          <w:ilvl w:val="0"/>
          <w:numId w:val="8"/>
        </w:numPr>
        <w:spacing w:line="330" w:lineRule="auto"/>
        <w:ind w:right="292" w:hanging="360"/>
      </w:pPr>
      <w:r>
        <w:t>Le retour d’informations aux utilisateurs</w:t>
      </w:r>
      <w:r w:rsidR="006B0AB5">
        <w:t xml:space="preserve"> </w:t>
      </w:r>
    </w:p>
    <w:p w14:paraId="14491E04" w14:textId="6633E975" w:rsidR="001863D1" w:rsidRDefault="006B0AB5">
      <w:pPr>
        <w:numPr>
          <w:ilvl w:val="0"/>
          <w:numId w:val="8"/>
        </w:numPr>
        <w:spacing w:line="330" w:lineRule="auto"/>
        <w:ind w:right="292" w:hanging="360"/>
      </w:pPr>
      <w:r>
        <w:t>La clôture des interventions</w:t>
      </w:r>
    </w:p>
    <w:p w14:paraId="541142AA" w14:textId="77777777" w:rsidR="001863D1" w:rsidRDefault="003D0C20">
      <w:pPr>
        <w:spacing w:after="32" w:line="259" w:lineRule="auto"/>
        <w:ind w:left="725" w:firstLine="0"/>
        <w:jc w:val="left"/>
      </w:pPr>
      <w:r>
        <w:t xml:space="preserve">  </w:t>
      </w:r>
    </w:p>
    <w:p w14:paraId="35374AFA" w14:textId="21DEACBC" w:rsidR="001863D1" w:rsidRDefault="003D0C20">
      <w:pPr>
        <w:spacing w:after="235"/>
        <w:ind w:left="12" w:right="292"/>
      </w:pPr>
      <w:r>
        <w:t>Il est attendu de l’équipe la prise en charge et l’enregistrement de</w:t>
      </w:r>
      <w:r w:rsidR="00F35354">
        <w:t xml:space="preserve"> l’ensemble des</w:t>
      </w:r>
      <w:r>
        <w:t xml:space="preserve"> demandes des utilisateurs</w:t>
      </w:r>
      <w:r w:rsidR="00F35354">
        <w:t>, y compris celles</w:t>
      </w:r>
      <w:r>
        <w:t xml:space="preserve"> émises </w:t>
      </w:r>
      <w:r w:rsidR="00F35354">
        <w:t xml:space="preserve">hors SVP Travaux, </w:t>
      </w:r>
      <w:r>
        <w:t xml:space="preserve">par appel téléphonique ou message électronique. </w:t>
      </w:r>
    </w:p>
    <w:p w14:paraId="25441CC8" w14:textId="563A0C93" w:rsidR="001863D1" w:rsidRDefault="003D0C20">
      <w:pPr>
        <w:spacing w:after="231"/>
        <w:ind w:left="12" w:right="292"/>
      </w:pPr>
      <w:r>
        <w:t xml:space="preserve"> Le titulaire assure également le suivi des interventions, le </w:t>
      </w:r>
      <w:proofErr w:type="spellStart"/>
      <w:r>
        <w:t>reporting</w:t>
      </w:r>
      <w:proofErr w:type="spellEnd"/>
      <w:r>
        <w:t xml:space="preserve"> (voir SUPRA article 2.2.6) et l’information aux utilisateurs. Certaines demandes reçues ne constituent pas des incidents demandant nécessairement une assistance de la part du titulaire. Dans un tel cas, </w:t>
      </w:r>
      <w:r w:rsidR="007D5069">
        <w:t>i</w:t>
      </w:r>
      <w:r>
        <w:t>l incombe à celui-ci de les enregistrer puis de les orienter vers le représentant de l’Agence</w:t>
      </w:r>
      <w:r>
        <w:rPr>
          <w:i/>
        </w:rPr>
        <w:t xml:space="preserve"> </w:t>
      </w:r>
      <w:r>
        <w:t xml:space="preserve">qui se charge de l’action à mener.  </w:t>
      </w:r>
    </w:p>
    <w:p w14:paraId="4110F4D4" w14:textId="77777777" w:rsidR="001863D1" w:rsidRDefault="003D0C20">
      <w:pPr>
        <w:spacing w:after="305" w:line="259" w:lineRule="auto"/>
        <w:ind w:left="2" w:firstLine="0"/>
        <w:jc w:val="left"/>
      </w:pPr>
      <w:r>
        <w:t xml:space="preserve"> </w:t>
      </w:r>
    </w:p>
    <w:p w14:paraId="428D507E" w14:textId="77777777" w:rsidR="001863D1" w:rsidRDefault="003D0C20">
      <w:pPr>
        <w:pStyle w:val="Titre2"/>
        <w:ind w:left="730"/>
      </w:pPr>
      <w:bookmarkStart w:id="14" w:name="_Toc185493553"/>
      <w:r>
        <w:t>2.4 Procédure de demandes d’intervention</w:t>
      </w:r>
      <w:bookmarkEnd w:id="14"/>
      <w:r>
        <w:t xml:space="preserve">  </w:t>
      </w:r>
    </w:p>
    <w:p w14:paraId="4255C5B1" w14:textId="77777777" w:rsidR="001863D1" w:rsidRDefault="003D0C20">
      <w:pPr>
        <w:spacing w:after="0" w:line="259" w:lineRule="auto"/>
        <w:ind w:left="3558" w:firstLine="0"/>
        <w:jc w:val="left"/>
      </w:pPr>
      <w:r>
        <w:t xml:space="preserve"> </w:t>
      </w:r>
    </w:p>
    <w:p w14:paraId="6F8E01EC" w14:textId="60410F4D" w:rsidR="001863D1" w:rsidRDefault="003D0C20">
      <w:pPr>
        <w:spacing w:after="0" w:line="281" w:lineRule="auto"/>
        <w:ind w:left="12"/>
      </w:pPr>
      <w:r>
        <w:rPr>
          <w:b/>
        </w:rPr>
        <w:t xml:space="preserve">L’ANSM a </w:t>
      </w:r>
      <w:r w:rsidR="000113C5">
        <w:rPr>
          <w:b/>
        </w:rPr>
        <w:t xml:space="preserve">mis en place une application interne </w:t>
      </w:r>
      <w:r w:rsidR="00931DAF">
        <w:rPr>
          <w:b/>
        </w:rPr>
        <w:t xml:space="preserve">nommée SVP Travaux </w:t>
      </w:r>
      <w:r w:rsidR="000113C5">
        <w:rPr>
          <w:b/>
        </w:rPr>
        <w:t xml:space="preserve">afin de </w:t>
      </w:r>
      <w:r>
        <w:rPr>
          <w:b/>
        </w:rPr>
        <w:t xml:space="preserve">permettre l’émission, la réception, l’enregistrement, la gestion et le traitement des demandes d’intervention. Cet outil doit également permettre d’établir des statistiques. </w:t>
      </w:r>
    </w:p>
    <w:p w14:paraId="35ECA6C8" w14:textId="613973FD" w:rsidR="001863D1" w:rsidRDefault="003D0C20">
      <w:pPr>
        <w:spacing w:after="37" w:line="259" w:lineRule="auto"/>
        <w:ind w:left="17" w:firstLine="0"/>
        <w:jc w:val="left"/>
      </w:pPr>
      <w:r>
        <w:rPr>
          <w:b/>
        </w:rPr>
        <w:t xml:space="preserve"> </w:t>
      </w:r>
      <w:bookmarkStart w:id="15" w:name="_GoBack"/>
      <w:bookmarkEnd w:id="15"/>
    </w:p>
    <w:p w14:paraId="52C71DCC" w14:textId="048A0D72" w:rsidR="001863D1" w:rsidRDefault="003D0C20">
      <w:pPr>
        <w:spacing w:after="0" w:line="281" w:lineRule="auto"/>
        <w:ind w:left="12"/>
      </w:pPr>
      <w:r>
        <w:rPr>
          <w:b/>
        </w:rPr>
        <w:t xml:space="preserve">Les équipes SVP TRAVAUX doivent être en capacité d’utiliser ce nouvel outil. Pour accompagner </w:t>
      </w:r>
      <w:r w:rsidR="00A74B33">
        <w:rPr>
          <w:b/>
        </w:rPr>
        <w:t>le titulaire</w:t>
      </w:r>
      <w:r>
        <w:rPr>
          <w:b/>
        </w:rPr>
        <w:t>, l’ANSM s’engage à mettre en œuvre au moins une session de formation pour faciliter la prise en main de ce</w:t>
      </w:r>
      <w:r w:rsidR="00924253">
        <w:rPr>
          <w:b/>
        </w:rPr>
        <w:t xml:space="preserve">t </w:t>
      </w:r>
      <w:r>
        <w:rPr>
          <w:b/>
        </w:rPr>
        <w:t xml:space="preserve">outil. Cette formation est également due par l’ANSM en cas d’arrivée d’un nouvel intervenant au sein de l’équipe SVP travaux. </w:t>
      </w:r>
    </w:p>
    <w:p w14:paraId="3BCEFE77" w14:textId="77777777" w:rsidR="001863D1" w:rsidRDefault="003D0C20">
      <w:pPr>
        <w:spacing w:after="5" w:line="259" w:lineRule="auto"/>
        <w:ind w:left="17" w:firstLine="0"/>
        <w:jc w:val="left"/>
      </w:pPr>
      <w:r>
        <w:rPr>
          <w:b/>
        </w:rPr>
        <w:t xml:space="preserve"> </w:t>
      </w:r>
    </w:p>
    <w:p w14:paraId="0F04EF87" w14:textId="1557A4D1" w:rsidR="001863D1" w:rsidRDefault="003D0C20">
      <w:pPr>
        <w:ind w:left="12" w:right="292"/>
      </w:pPr>
      <w:r>
        <w:t>L’enregistrement des demandes d’intervention est une étape importante dans la procédure d’assistance. Elle permet de définir de manière précise le problème rencontré afin d’élaborer le diagnostic. Les analyses et les actions menées pour effectuer le diagnostic doivent être clairement explicité</w:t>
      </w:r>
      <w:r w:rsidR="007D5069">
        <w:t>e</w:t>
      </w:r>
      <w:r>
        <w:t>s et enregistré</w:t>
      </w:r>
      <w:r w:rsidR="007D5069">
        <w:t>e</w:t>
      </w:r>
      <w:r>
        <w:t>s dans l’outil proposé.</w:t>
      </w:r>
      <w:r>
        <w:rPr>
          <w:color w:val="FF0000"/>
        </w:rPr>
        <w:t xml:space="preserve">  </w:t>
      </w:r>
      <w:r>
        <w:t xml:space="preserve"> </w:t>
      </w:r>
    </w:p>
    <w:p w14:paraId="4B65CEC8" w14:textId="77777777" w:rsidR="001863D1" w:rsidRDefault="003D0C20">
      <w:pPr>
        <w:spacing w:after="19" w:line="259" w:lineRule="auto"/>
        <w:ind w:left="17" w:firstLine="0"/>
        <w:jc w:val="left"/>
      </w:pPr>
      <w:r>
        <w:t xml:space="preserve">  </w:t>
      </w:r>
    </w:p>
    <w:p w14:paraId="1BBAA61A" w14:textId="59438C92" w:rsidR="001863D1" w:rsidRDefault="003D0C20">
      <w:pPr>
        <w:spacing w:after="267"/>
        <w:ind w:left="12" w:right="292"/>
      </w:pPr>
      <w:r>
        <w:lastRenderedPageBreak/>
        <w:t xml:space="preserve">A l’occasion d’un appel, par courriel, ou sur demande verbale, « SVP Travaux » détermine s’il s’agit d’un incident de son ressort, c'est-à-dire de premier niveau. Chaque demande est tracée ainsi que chaque incident, même si l’objet ne relève pas de la prestation d’assistance technique du présent marché.  Toutes les interventions enregistrées servent à établir un bilan périodique du nombre d’interventions, du type d’interventions, </w:t>
      </w:r>
      <w:r w:rsidR="00EB01F2">
        <w:t xml:space="preserve">du </w:t>
      </w:r>
      <w:r>
        <w:t xml:space="preserve">délai… tel que requis à l’article 2.2.6 du CCTP. Ce dernier point est important car il permet d’affiner et d’optimiser le fonctionnement de « SVP Travaux ». Le suivi du délai pour les incidents de deuxième niveau n’est pas de la responsabilité du prestataire.  </w:t>
      </w:r>
    </w:p>
    <w:p w14:paraId="6282E5F2" w14:textId="77777777" w:rsidR="001863D1" w:rsidRDefault="003D0C20">
      <w:pPr>
        <w:pStyle w:val="Titre2"/>
        <w:ind w:left="730"/>
      </w:pPr>
      <w:bookmarkStart w:id="16" w:name="_Toc185493554"/>
      <w:r>
        <w:t>2.5 Obligation de résultats</w:t>
      </w:r>
      <w:bookmarkEnd w:id="16"/>
      <w:r>
        <w:t xml:space="preserve">  </w:t>
      </w:r>
    </w:p>
    <w:p w14:paraId="52BC5F16" w14:textId="77777777" w:rsidR="001863D1" w:rsidRDefault="003D0C20">
      <w:pPr>
        <w:spacing w:after="2" w:line="259" w:lineRule="auto"/>
        <w:ind w:left="17" w:firstLine="0"/>
        <w:jc w:val="left"/>
      </w:pPr>
      <w:r>
        <w:t xml:space="preserve">  </w:t>
      </w:r>
    </w:p>
    <w:p w14:paraId="1F98B798" w14:textId="77777777" w:rsidR="001863D1" w:rsidRDefault="003D0C20">
      <w:pPr>
        <w:spacing w:after="201"/>
        <w:ind w:left="12" w:right="292"/>
      </w:pPr>
      <w:r>
        <w:t xml:space="preserve">Les résultats attendus sont :  </w:t>
      </w:r>
    </w:p>
    <w:p w14:paraId="40C80B93" w14:textId="36195763" w:rsidR="001863D1" w:rsidRDefault="003D0C20">
      <w:pPr>
        <w:numPr>
          <w:ilvl w:val="0"/>
          <w:numId w:val="9"/>
        </w:numPr>
        <w:spacing w:after="215"/>
        <w:ind w:right="292" w:hanging="360"/>
      </w:pPr>
      <w:r>
        <w:t>une prise en charge immédiate des appels/courriel</w:t>
      </w:r>
      <w:r w:rsidR="001F6BC5">
        <w:t>s</w:t>
      </w:r>
      <w:r>
        <w:t xml:space="preserve"> ou demande </w:t>
      </w:r>
      <w:r w:rsidR="001F6BC5">
        <w:t xml:space="preserve">via l’outil </w:t>
      </w:r>
      <w:r>
        <w:t>(durée maximale de l’appel de 5 m</w:t>
      </w:r>
      <w:r w:rsidR="00CA2173">
        <w:t>i</w:t>
      </w:r>
      <w:r>
        <w:t>n</w:t>
      </w:r>
      <w:r w:rsidR="00CA2173">
        <w:t>ute</w:t>
      </w:r>
      <w:r w:rsidR="00EB01F2">
        <w:t>s</w:t>
      </w:r>
      <w:r>
        <w:t xml:space="preserve"> afin de laisser libre la ligne téléphonique pour d’autres appels éventuels),  </w:t>
      </w:r>
    </w:p>
    <w:p w14:paraId="5570D992" w14:textId="77777777" w:rsidR="001863D1" w:rsidRDefault="003D0C20">
      <w:pPr>
        <w:numPr>
          <w:ilvl w:val="0"/>
          <w:numId w:val="9"/>
        </w:numPr>
        <w:spacing w:after="186"/>
        <w:ind w:right="292" w:hanging="360"/>
      </w:pPr>
      <w:r>
        <w:t xml:space="preserve">un diagnostic du problème, quelle que soit la suite réservée à l’incident,  </w:t>
      </w:r>
    </w:p>
    <w:p w14:paraId="6557A7B4" w14:textId="77777777" w:rsidR="001863D1" w:rsidRDefault="003D0C20">
      <w:pPr>
        <w:numPr>
          <w:ilvl w:val="0"/>
          <w:numId w:val="9"/>
        </w:numPr>
        <w:spacing w:after="202"/>
        <w:ind w:right="292" w:hanging="360"/>
      </w:pPr>
      <w:r>
        <w:t xml:space="preserve">la résolution au téléphone ou sur place auprès de l’utilisateur, éventuellement après recherche ou « transmission » interne,  </w:t>
      </w:r>
    </w:p>
    <w:p w14:paraId="6EC99348" w14:textId="77777777" w:rsidR="001863D1" w:rsidRDefault="003D0C20">
      <w:pPr>
        <w:numPr>
          <w:ilvl w:val="0"/>
          <w:numId w:val="9"/>
        </w:numPr>
        <w:spacing w:after="172"/>
        <w:ind w:right="292" w:hanging="360"/>
      </w:pPr>
      <w:r>
        <w:t xml:space="preserve">le cas échéant, « la transmission » des incidents de deuxième niveau vers l’unité travaux et immobilier,  </w:t>
      </w:r>
    </w:p>
    <w:p w14:paraId="46242AC4" w14:textId="77777777" w:rsidR="001863D1" w:rsidRDefault="003D0C20">
      <w:pPr>
        <w:numPr>
          <w:ilvl w:val="0"/>
          <w:numId w:val="9"/>
        </w:numPr>
        <w:spacing w:after="67"/>
        <w:ind w:right="292" w:hanging="360"/>
      </w:pPr>
      <w:r>
        <w:t xml:space="preserve">le suivi et la constitution des indicateurs.  </w:t>
      </w:r>
    </w:p>
    <w:p w14:paraId="7489738C" w14:textId="77777777" w:rsidR="001863D1" w:rsidRDefault="003D0C20">
      <w:pPr>
        <w:spacing w:after="36" w:line="259" w:lineRule="auto"/>
        <w:ind w:left="17" w:firstLine="0"/>
        <w:jc w:val="left"/>
      </w:pPr>
      <w:r>
        <w:t xml:space="preserve">  </w:t>
      </w:r>
    </w:p>
    <w:p w14:paraId="5822B399" w14:textId="77777777" w:rsidR="001863D1" w:rsidRDefault="003D0C20">
      <w:pPr>
        <w:ind w:left="12" w:right="292"/>
      </w:pPr>
      <w:r>
        <w:t xml:space="preserve">Le terme « transmission » désigne l’action par laquelle un incident enregistré est basculé vers les équipes ANSM qui en prennent la responsabilité. La transmission vers le deuxième niveau est à la charge du titulaire du marché mais son traitement est du ressort des équipes technique de l’Agence.  </w:t>
      </w:r>
    </w:p>
    <w:p w14:paraId="4650EA98" w14:textId="77777777" w:rsidR="001863D1" w:rsidRDefault="003D0C20">
      <w:pPr>
        <w:spacing w:after="22" w:line="259" w:lineRule="auto"/>
        <w:ind w:left="17" w:firstLine="0"/>
        <w:jc w:val="left"/>
      </w:pPr>
      <w:r>
        <w:t xml:space="preserve">  </w:t>
      </w:r>
    </w:p>
    <w:p w14:paraId="49ABE28F" w14:textId="77777777" w:rsidR="001863D1" w:rsidRDefault="003D0C20">
      <w:pPr>
        <w:spacing w:after="26" w:line="259" w:lineRule="auto"/>
        <w:ind w:left="17" w:firstLine="0"/>
        <w:jc w:val="left"/>
      </w:pPr>
      <w:r>
        <w:t xml:space="preserve">  </w:t>
      </w:r>
    </w:p>
    <w:p w14:paraId="621F6FF3" w14:textId="77777777" w:rsidR="001863D1" w:rsidRDefault="003D0C20">
      <w:pPr>
        <w:ind w:left="12" w:right="292"/>
      </w:pPr>
      <w:r>
        <w:t xml:space="preserve">Le délai d’intervention pour les incidents de premier niveau doit être inférieur à </w:t>
      </w:r>
      <w:r>
        <w:rPr>
          <w:b/>
        </w:rPr>
        <w:t xml:space="preserve">1 heure ouvrée. </w:t>
      </w:r>
      <w:r>
        <w:t xml:space="preserve"> </w:t>
      </w:r>
    </w:p>
    <w:p w14:paraId="6B169B9C" w14:textId="77777777" w:rsidR="001863D1" w:rsidRDefault="003D0C20">
      <w:pPr>
        <w:spacing w:after="3" w:line="259" w:lineRule="auto"/>
        <w:ind w:left="17" w:firstLine="0"/>
        <w:jc w:val="left"/>
      </w:pPr>
      <w:r>
        <w:t xml:space="preserve"> </w:t>
      </w:r>
    </w:p>
    <w:p w14:paraId="5D5CA3CF" w14:textId="77777777" w:rsidR="001863D1" w:rsidRDefault="003D0C20">
      <w:pPr>
        <w:ind w:left="12" w:right="292"/>
      </w:pPr>
      <w:r>
        <w:t xml:space="preserve">Le délai de résolution doit être inférieur à </w:t>
      </w:r>
      <w:r>
        <w:rPr>
          <w:b/>
        </w:rPr>
        <w:t>2 heures ouvrées</w:t>
      </w:r>
      <w:r>
        <w:t xml:space="preserve"> pour les incidents de 1</w:t>
      </w:r>
      <w:r>
        <w:rPr>
          <w:vertAlign w:val="superscript"/>
        </w:rPr>
        <w:t>er</w:t>
      </w:r>
      <w:r>
        <w:t xml:space="preserve"> niveau.  </w:t>
      </w:r>
    </w:p>
    <w:p w14:paraId="46052B05" w14:textId="77777777" w:rsidR="001863D1" w:rsidRDefault="003D0C20">
      <w:pPr>
        <w:spacing w:after="16" w:line="259" w:lineRule="auto"/>
        <w:ind w:left="2" w:firstLine="0"/>
        <w:jc w:val="left"/>
      </w:pPr>
      <w:r>
        <w:t xml:space="preserve"> </w:t>
      </w:r>
    </w:p>
    <w:p w14:paraId="4F502B18" w14:textId="275D9C46" w:rsidR="001863D1" w:rsidRDefault="003D0C20">
      <w:pPr>
        <w:ind w:left="12" w:right="292"/>
      </w:pPr>
      <w:r>
        <w:t>Toute demande URGENTE (fuite d’eau, panne électrique….) doit être traitée en priorité</w:t>
      </w:r>
      <w:r w:rsidR="00EB01F2">
        <w:t>.</w:t>
      </w:r>
      <w:r>
        <w:t xml:space="preserve"> </w:t>
      </w:r>
      <w:r w:rsidR="00EB01F2">
        <w:t>U</w:t>
      </w:r>
      <w:r>
        <w:t xml:space="preserve">n technicien doit être dépêché en urgence. C’est l’unique cas où l’enregistrement de l’intervention peut se faire ultérieurement. Pour les appels urgents compte tenu de la nature de la demande le délai de résolution est inférieur à une heure  </w:t>
      </w:r>
      <w:r>
        <w:rPr>
          <w:b/>
        </w:rPr>
        <w:t>(sauf en cas d’indisponibilité du matériel)</w:t>
      </w:r>
      <w:r>
        <w:t xml:space="preserve">. </w:t>
      </w:r>
    </w:p>
    <w:p w14:paraId="51920E1C" w14:textId="77777777" w:rsidR="001863D1" w:rsidRDefault="003D0C20">
      <w:pPr>
        <w:spacing w:after="0" w:line="259" w:lineRule="auto"/>
        <w:ind w:left="17" w:firstLine="0"/>
        <w:jc w:val="left"/>
      </w:pPr>
      <w:r>
        <w:t xml:space="preserve">  </w:t>
      </w:r>
    </w:p>
    <w:p w14:paraId="6B343291" w14:textId="77777777" w:rsidR="001863D1" w:rsidRDefault="003D0C20">
      <w:pPr>
        <w:ind w:left="12" w:right="292"/>
      </w:pPr>
      <w:r>
        <w:t>Tout appel urgent ou prioritaire portant sur une intervention de premier niveau et qui n’est pas résolu ou impossible à résoudre en moins de 1 heure fait l’objet d’une information par courriel électronique au Chef d’unité travaux et immobilier</w:t>
      </w:r>
      <w:r>
        <w:rPr>
          <w:i/>
        </w:rPr>
        <w:t>.</w:t>
      </w:r>
      <w:r>
        <w:t xml:space="preserve">  </w:t>
      </w:r>
    </w:p>
    <w:p w14:paraId="4C84E22E" w14:textId="77777777" w:rsidR="001863D1" w:rsidRDefault="003D0C20">
      <w:pPr>
        <w:spacing w:after="37" w:line="259" w:lineRule="auto"/>
        <w:ind w:left="17" w:firstLine="0"/>
        <w:jc w:val="left"/>
      </w:pPr>
      <w:r>
        <w:t xml:space="preserve">  </w:t>
      </w:r>
    </w:p>
    <w:p w14:paraId="20E5E225" w14:textId="77777777" w:rsidR="001863D1" w:rsidRDefault="003D0C20">
      <w:pPr>
        <w:spacing w:after="28"/>
        <w:ind w:left="12" w:right="292"/>
      </w:pPr>
      <w:r>
        <w:t xml:space="preserve">Les incidents non résolus en moins de 24 heures font l’objet d’un contre-appel et d’un courriel à l’utilisateur qui est informé des actions entreprises ou projetées.   </w:t>
      </w:r>
    </w:p>
    <w:p w14:paraId="2E215A58" w14:textId="77777777" w:rsidR="001863D1" w:rsidRDefault="003D0C20">
      <w:pPr>
        <w:spacing w:after="263" w:line="259" w:lineRule="auto"/>
        <w:ind w:left="17" w:firstLine="0"/>
        <w:jc w:val="left"/>
      </w:pPr>
      <w:r>
        <w:t xml:space="preserve"> </w:t>
      </w:r>
      <w:r>
        <w:rPr>
          <w:sz w:val="22"/>
        </w:rPr>
        <w:t xml:space="preserve"> </w:t>
      </w:r>
    </w:p>
    <w:p w14:paraId="50939E96" w14:textId="77777777" w:rsidR="001863D1" w:rsidRDefault="003D0C20">
      <w:pPr>
        <w:pStyle w:val="Titre2"/>
        <w:ind w:left="730"/>
      </w:pPr>
      <w:bookmarkStart w:id="17" w:name="_Toc185493555"/>
      <w:r>
        <w:t>2.6 Comité de Suivi (COSUI)</w:t>
      </w:r>
      <w:bookmarkEnd w:id="17"/>
      <w:r>
        <w:t xml:space="preserve"> </w:t>
      </w:r>
    </w:p>
    <w:p w14:paraId="4A37B84F" w14:textId="77777777" w:rsidR="001863D1" w:rsidRDefault="003D0C20">
      <w:pPr>
        <w:ind w:left="12" w:right="292"/>
      </w:pPr>
      <w:r>
        <w:t xml:space="preserve">Le comité de suivi (composé de deux membres de l’ANSM et du responsable du titulaire) analyse le contenu des interventions afin de déterminer les mesures préventives permettant une diminution progressive du nombre d’interventions (homogénéisation des solutions techniques…).  </w:t>
      </w:r>
    </w:p>
    <w:p w14:paraId="56A6840B" w14:textId="77777777" w:rsidR="001863D1" w:rsidRDefault="003D0C20">
      <w:pPr>
        <w:spacing w:after="0" w:line="259" w:lineRule="auto"/>
        <w:ind w:left="2" w:firstLine="0"/>
        <w:jc w:val="left"/>
      </w:pPr>
      <w:r>
        <w:t xml:space="preserve"> </w:t>
      </w:r>
    </w:p>
    <w:p w14:paraId="4D246F90" w14:textId="77777777" w:rsidR="001863D1" w:rsidRDefault="003D0C20">
      <w:pPr>
        <w:ind w:left="12" w:right="292"/>
      </w:pPr>
      <w:r>
        <w:t xml:space="preserve">Pour cela le titulaire présente ses observations écrites quant à la nature des interventions réalisées.  </w:t>
      </w:r>
    </w:p>
    <w:p w14:paraId="09D8D1CA" w14:textId="77777777" w:rsidR="001863D1" w:rsidRDefault="003D0C20">
      <w:pPr>
        <w:spacing w:after="13" w:line="259" w:lineRule="auto"/>
        <w:ind w:left="2" w:firstLine="0"/>
        <w:jc w:val="left"/>
      </w:pPr>
      <w:r>
        <w:t xml:space="preserve"> </w:t>
      </w:r>
    </w:p>
    <w:p w14:paraId="1DDC54D5" w14:textId="4D154CC6" w:rsidR="001F6BC5" w:rsidRDefault="001F6BC5">
      <w:pPr>
        <w:spacing w:after="114"/>
        <w:ind w:left="12" w:right="292"/>
      </w:pPr>
      <w:r>
        <w:t>Un comité de suivi se réuni</w:t>
      </w:r>
      <w:r w:rsidR="00006400">
        <w:t>t</w:t>
      </w:r>
      <w:r>
        <w:t xml:space="preserve"> tous les semestres mais p</w:t>
      </w:r>
      <w:r w:rsidR="00006400">
        <w:t>eut</w:t>
      </w:r>
      <w:r>
        <w:t xml:space="preserve"> être convoqué de façon plus fréquente en cas de besoin. A l’occasion de ces comités de suivi, sont abordés les éléments suivants :</w:t>
      </w:r>
    </w:p>
    <w:p w14:paraId="5DF4EA21" w14:textId="12AD1F46" w:rsidR="001863D1" w:rsidRDefault="001863D1">
      <w:pPr>
        <w:spacing w:after="114"/>
        <w:ind w:left="12" w:right="292"/>
      </w:pPr>
    </w:p>
    <w:p w14:paraId="17C6D33A" w14:textId="0029F131" w:rsidR="001863D1" w:rsidRDefault="003D0C20">
      <w:pPr>
        <w:numPr>
          <w:ilvl w:val="0"/>
          <w:numId w:val="10"/>
        </w:numPr>
        <w:spacing w:after="33"/>
        <w:ind w:right="292" w:hanging="360"/>
      </w:pPr>
      <w:r>
        <w:lastRenderedPageBreak/>
        <w:t xml:space="preserve"> bonne exécution de la phase opérationnelle, </w:t>
      </w:r>
      <w:r w:rsidR="00006400">
        <w:t>l</w:t>
      </w:r>
      <w:r>
        <w:t xml:space="preserve">es indicateurs. </w:t>
      </w:r>
    </w:p>
    <w:p w14:paraId="41A20660" w14:textId="4F7E28C1" w:rsidR="001863D1" w:rsidRDefault="003D0C20">
      <w:pPr>
        <w:numPr>
          <w:ilvl w:val="0"/>
          <w:numId w:val="10"/>
        </w:numPr>
        <w:spacing w:after="33"/>
        <w:ind w:right="292" w:hanging="360"/>
      </w:pPr>
      <w:r>
        <w:t xml:space="preserve"> contrôle et analyse </w:t>
      </w:r>
      <w:r w:rsidR="00006400">
        <w:t xml:space="preserve">de </w:t>
      </w:r>
      <w:r>
        <w:t xml:space="preserve">la qualité de la prestation.  </w:t>
      </w:r>
    </w:p>
    <w:p w14:paraId="7FDB7473" w14:textId="125C7960" w:rsidR="001863D1" w:rsidRDefault="003D0C20">
      <w:pPr>
        <w:numPr>
          <w:ilvl w:val="0"/>
          <w:numId w:val="10"/>
        </w:numPr>
        <w:ind w:right="292" w:hanging="360"/>
      </w:pPr>
      <w:r>
        <w:t xml:space="preserve"> contrôle </w:t>
      </w:r>
      <w:r w:rsidR="00006400">
        <w:t>du</w:t>
      </w:r>
      <w:r>
        <w:t xml:space="preserve"> relevé mensuel des stocks. </w:t>
      </w:r>
    </w:p>
    <w:p w14:paraId="210F6F58" w14:textId="77777777" w:rsidR="001863D1" w:rsidRDefault="003D0C20">
      <w:pPr>
        <w:spacing w:after="0" w:line="259" w:lineRule="auto"/>
        <w:ind w:left="377" w:firstLine="0"/>
        <w:jc w:val="left"/>
      </w:pPr>
      <w:r>
        <w:t xml:space="preserve"> </w:t>
      </w:r>
    </w:p>
    <w:p w14:paraId="682F3757" w14:textId="778B6FD4" w:rsidR="001863D1" w:rsidRDefault="003D0C20">
      <w:pPr>
        <w:spacing w:after="103"/>
        <w:ind w:left="12" w:right="292"/>
      </w:pPr>
      <w:r>
        <w:t>Le titulaire a en charge la préparation de ce comité et la rédaction des comptes rendus dans les cinq jours ouvrés suivant la réunion du comité de suivi. Le compte-rendu doit être soumis au correspondant de l’ANSM,</w:t>
      </w:r>
      <w:r>
        <w:rPr>
          <w:color w:val="FF0000"/>
        </w:rPr>
        <w:t xml:space="preserve"> </w:t>
      </w:r>
      <w:r>
        <w:t xml:space="preserve">qui </w:t>
      </w:r>
      <w:r w:rsidR="00A81F64">
        <w:t xml:space="preserve">le </w:t>
      </w:r>
      <w:r>
        <w:t xml:space="preserve">valide sous cinq jours ouvrés suivant la remise du compte-rendu. L’absence de décision de l’ANSM durant ce délai vaut acceptation du compte rendu. Durant ce délai d’instruction, il est loisible à l’ANSM de retourner le document au Titulaire en lui signifiant les corrections attendues ou le formalisme souhaité. En cas de renvoi du compte rendu au titulaire, le délai d’instruction précédemment mentionné est prorogé d’autant.  </w:t>
      </w:r>
    </w:p>
    <w:p w14:paraId="766B0388" w14:textId="77777777" w:rsidR="001863D1" w:rsidRDefault="003D0C20">
      <w:pPr>
        <w:spacing w:after="286"/>
        <w:ind w:left="12" w:right="292"/>
      </w:pPr>
      <w:r>
        <w:t xml:space="preserve">Le comité de suivi peut être réuni de façon exceptionnelle pour des motifs déterminés à la demande du Chef de Département des Services Généraux et de l’Immobilier et/ou du représentant de l’ANSM. </w:t>
      </w:r>
    </w:p>
    <w:p w14:paraId="02736D13" w14:textId="77777777" w:rsidR="001863D1" w:rsidRDefault="003D0C20">
      <w:pPr>
        <w:pStyle w:val="Titre2"/>
        <w:ind w:left="730"/>
      </w:pPr>
      <w:r>
        <w:t xml:space="preserve"> </w:t>
      </w:r>
      <w:bookmarkStart w:id="18" w:name="_Toc185493556"/>
      <w:r>
        <w:t>2.7 Enquête de satisfaction</w:t>
      </w:r>
      <w:bookmarkEnd w:id="18"/>
      <w:r>
        <w:t xml:space="preserve">  </w:t>
      </w:r>
    </w:p>
    <w:p w14:paraId="212C1E56" w14:textId="669D48CA" w:rsidR="001863D1" w:rsidRDefault="003D0C20">
      <w:pPr>
        <w:spacing w:after="238"/>
        <w:ind w:left="12" w:right="292"/>
      </w:pPr>
      <w:r>
        <w:t xml:space="preserve">Une enquête de satisfaction peut être réalisée par l’ANSM une fois par an soit par ses propres moyens soit par un tiers. </w:t>
      </w:r>
      <w:r>
        <w:rPr>
          <w:rFonts w:ascii="Times New Roman" w:eastAsia="Times New Roman" w:hAnsi="Times New Roman" w:cs="Times New Roman"/>
          <w:sz w:val="24"/>
        </w:rPr>
        <w:t xml:space="preserve"> </w:t>
      </w:r>
    </w:p>
    <w:p w14:paraId="34949812" w14:textId="77777777" w:rsidR="001863D1" w:rsidRDefault="003D0C20">
      <w:pPr>
        <w:spacing w:after="289"/>
        <w:ind w:left="12" w:right="292"/>
      </w:pPr>
      <w:r>
        <w:t xml:space="preserve">A l’issue de l’enquête de satisfaction l’analyse des résultats est effectuée conjointement entre l’ANSM et le Titulaire. En fonction, le Titulaire est tenu de mettre en place un programme de suivi de qualité de la prestation dans lequel il y détaille les moyens qu’il compte mettre en œuvre pour s’assurer de la satisfaction des usagers ou pour garantir des axes d’amélioration. Ce programme est soumis à la validation préalable du département des services généraux et immobilier. </w:t>
      </w:r>
    </w:p>
    <w:p w14:paraId="439AB851" w14:textId="77777777" w:rsidR="001863D1" w:rsidRDefault="003D0C20">
      <w:pPr>
        <w:pStyle w:val="Titre2"/>
        <w:ind w:left="730"/>
      </w:pPr>
      <w:bookmarkStart w:id="19" w:name="_Toc185493557"/>
      <w:r>
        <w:t>2.8 Mise en place de la prestation</w:t>
      </w:r>
      <w:bookmarkEnd w:id="19"/>
      <w:r>
        <w:rPr>
          <w:sz w:val="20"/>
        </w:rPr>
        <w:t xml:space="preserve">  </w:t>
      </w:r>
    </w:p>
    <w:p w14:paraId="219DC3BC" w14:textId="5E6338CC" w:rsidR="001863D1" w:rsidRDefault="003D0C20">
      <w:pPr>
        <w:ind w:left="12" w:right="292"/>
      </w:pPr>
      <w:r>
        <w:t>Pour l’installation de l’équipe, un délai maximum de trois jours ouvrés est laissé au prestataire pour prendre connaissance des locaux et des installations technique</w:t>
      </w:r>
      <w:r w:rsidR="002A0329">
        <w:t>s</w:t>
      </w:r>
      <w:r>
        <w:t xml:space="preserve"> spécifiques. Si nécessaire, des plans peuvent être fournis.  </w:t>
      </w:r>
    </w:p>
    <w:p w14:paraId="3C6AC1A3" w14:textId="77777777" w:rsidR="001863D1" w:rsidRDefault="003D0C20">
      <w:pPr>
        <w:spacing w:after="25" w:line="259" w:lineRule="auto"/>
        <w:ind w:left="17" w:firstLine="0"/>
        <w:jc w:val="left"/>
      </w:pPr>
      <w:r>
        <w:t xml:space="preserve">  </w:t>
      </w:r>
    </w:p>
    <w:p w14:paraId="669368D9" w14:textId="77777777" w:rsidR="001863D1" w:rsidRDefault="003D0C20">
      <w:pPr>
        <w:spacing w:after="285"/>
        <w:ind w:left="12" w:right="292"/>
      </w:pPr>
      <w:r>
        <w:t xml:space="preserve">Toutefois, l’équipe du titulaire doit néanmoins être présente et se rendre disponible à la date de prise d’effet du marché tel qu’indiquée à </w:t>
      </w:r>
      <w:r w:rsidRPr="00A645D2">
        <w:t>l’article 1.3 du CCAP</w:t>
      </w:r>
      <w:r>
        <w:t xml:space="preserve"> afin de répondre à toute sollicitation.    </w:t>
      </w:r>
    </w:p>
    <w:p w14:paraId="402A367B" w14:textId="77777777" w:rsidR="001863D1" w:rsidRDefault="003D0C20">
      <w:pPr>
        <w:pStyle w:val="Titre2"/>
        <w:ind w:left="730"/>
      </w:pPr>
      <w:r>
        <w:t xml:space="preserve"> </w:t>
      </w:r>
      <w:bookmarkStart w:id="20" w:name="_Toc185493558"/>
      <w:r>
        <w:t>2.9 Documentation</w:t>
      </w:r>
      <w:bookmarkEnd w:id="20"/>
      <w:r>
        <w:t xml:space="preserve">  </w:t>
      </w:r>
    </w:p>
    <w:p w14:paraId="2E78EADF" w14:textId="77777777" w:rsidR="001863D1" w:rsidRDefault="003D0C20">
      <w:pPr>
        <w:ind w:left="12" w:right="292"/>
      </w:pPr>
      <w:r>
        <w:t xml:space="preserve">Le Département des Services Généraux et de l’Immobilier fournit les documents techniques, les procédures d’accès en sa possession.   </w:t>
      </w:r>
    </w:p>
    <w:p w14:paraId="6FD72CD9" w14:textId="77777777" w:rsidR="001863D1" w:rsidRDefault="003D0C20">
      <w:pPr>
        <w:spacing w:after="15" w:line="259" w:lineRule="auto"/>
        <w:ind w:left="2" w:firstLine="0"/>
        <w:jc w:val="left"/>
      </w:pPr>
      <w:r>
        <w:t xml:space="preserve"> </w:t>
      </w:r>
    </w:p>
    <w:p w14:paraId="2CE077BF" w14:textId="77777777" w:rsidR="001863D1" w:rsidRDefault="003D0C20">
      <w:pPr>
        <w:ind w:left="12" w:right="292"/>
      </w:pPr>
      <w:r>
        <w:t xml:space="preserve">En cas d’absence de document technique, les deux parties collaborent à l’élaboration des procédures manquantes sous la responsabilité du Chef de Département des Services Généraux et Immobilier ou de son représentant.  </w:t>
      </w:r>
    </w:p>
    <w:sectPr w:rsidR="001863D1">
      <w:headerReference w:type="even" r:id="rId9"/>
      <w:headerReference w:type="default" r:id="rId10"/>
      <w:footerReference w:type="even" r:id="rId11"/>
      <w:footerReference w:type="default" r:id="rId12"/>
      <w:headerReference w:type="first" r:id="rId13"/>
      <w:footerReference w:type="first" r:id="rId14"/>
      <w:pgSz w:w="11899" w:h="16841"/>
      <w:pgMar w:top="722" w:right="825" w:bottom="897" w:left="1116"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873470" w14:textId="77777777" w:rsidR="007B6D60" w:rsidRDefault="003D0C20">
      <w:pPr>
        <w:spacing w:after="0" w:line="240" w:lineRule="auto"/>
      </w:pPr>
      <w:r>
        <w:separator/>
      </w:r>
    </w:p>
  </w:endnote>
  <w:endnote w:type="continuationSeparator" w:id="0">
    <w:p w14:paraId="6F01774B" w14:textId="77777777" w:rsidR="007B6D60" w:rsidRDefault="003D0C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altName w:val="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4A787" w14:textId="77777777" w:rsidR="001863D1" w:rsidRDefault="003D0C20">
    <w:pPr>
      <w:spacing w:after="0" w:line="238" w:lineRule="auto"/>
      <w:ind w:left="17" w:right="224" w:firstLine="8784"/>
      <w:jc w:val="left"/>
    </w:pPr>
    <w:r>
      <w:rPr>
        <w:rFonts w:ascii="Calibri" w:eastAsia="Calibri" w:hAnsi="Calibri" w:cs="Calibri"/>
        <w:color w:val="8496B0"/>
        <w:sz w:val="16"/>
      </w:rPr>
      <w:t xml:space="preserve">P a g e </w:t>
    </w:r>
    <w:r>
      <w:rPr>
        <w:rFonts w:ascii="Calibri" w:eastAsia="Calibri" w:hAnsi="Calibri" w:cs="Calibri"/>
        <w:color w:val="323E4F"/>
        <w:sz w:val="16"/>
      </w:rPr>
      <w:fldChar w:fldCharType="begin"/>
    </w:r>
    <w:r>
      <w:rPr>
        <w:rFonts w:ascii="Calibri" w:eastAsia="Calibri" w:hAnsi="Calibri" w:cs="Calibri"/>
        <w:color w:val="323E4F"/>
        <w:sz w:val="16"/>
      </w:rPr>
      <w:instrText xml:space="preserve"> PAGE   \* MERGEFORMAT </w:instrText>
    </w:r>
    <w:r>
      <w:rPr>
        <w:rFonts w:ascii="Calibri" w:eastAsia="Calibri" w:hAnsi="Calibri" w:cs="Calibri"/>
        <w:color w:val="323E4F"/>
        <w:sz w:val="16"/>
      </w:rPr>
      <w:fldChar w:fldCharType="separate"/>
    </w:r>
    <w:r>
      <w:rPr>
        <w:rFonts w:ascii="Calibri" w:eastAsia="Calibri" w:hAnsi="Calibri" w:cs="Calibri"/>
        <w:noProof/>
        <w:color w:val="323E4F"/>
        <w:sz w:val="16"/>
      </w:rPr>
      <w:t>9</w:t>
    </w:r>
    <w:r>
      <w:rPr>
        <w:rFonts w:ascii="Calibri" w:eastAsia="Calibri" w:hAnsi="Calibri" w:cs="Calibri"/>
        <w:color w:val="323E4F"/>
        <w:sz w:val="16"/>
      </w:rPr>
      <w:fldChar w:fldCharType="end"/>
    </w:r>
    <w:r>
      <w:rPr>
        <w:rFonts w:ascii="Calibri" w:eastAsia="Calibri" w:hAnsi="Calibri" w:cs="Calibri"/>
        <w:color w:val="323E4F"/>
        <w:sz w:val="16"/>
      </w:rPr>
      <w:t xml:space="preserve"> | </w:t>
    </w:r>
    <w:r>
      <w:rPr>
        <w:rFonts w:ascii="Calibri" w:eastAsia="Calibri" w:hAnsi="Calibri" w:cs="Calibri"/>
        <w:color w:val="323E4F"/>
        <w:sz w:val="16"/>
      </w:rPr>
      <w:fldChar w:fldCharType="begin"/>
    </w:r>
    <w:r>
      <w:rPr>
        <w:rFonts w:ascii="Calibri" w:eastAsia="Calibri" w:hAnsi="Calibri" w:cs="Calibri"/>
        <w:color w:val="323E4F"/>
        <w:sz w:val="16"/>
      </w:rPr>
      <w:instrText xml:space="preserve"> NUMPAGES   \* MERGEFORMAT </w:instrText>
    </w:r>
    <w:r>
      <w:rPr>
        <w:rFonts w:ascii="Calibri" w:eastAsia="Calibri" w:hAnsi="Calibri" w:cs="Calibri"/>
        <w:color w:val="323E4F"/>
        <w:sz w:val="16"/>
      </w:rPr>
      <w:fldChar w:fldCharType="separate"/>
    </w:r>
    <w:r>
      <w:rPr>
        <w:rFonts w:ascii="Calibri" w:eastAsia="Calibri" w:hAnsi="Calibri" w:cs="Calibri"/>
        <w:noProof/>
        <w:color w:val="323E4F"/>
        <w:sz w:val="16"/>
      </w:rPr>
      <w:t>9</w:t>
    </w:r>
    <w:r>
      <w:rPr>
        <w:rFonts w:ascii="Calibri" w:eastAsia="Calibri" w:hAnsi="Calibri" w:cs="Calibri"/>
        <w:color w:val="323E4F"/>
        <w:sz w:val="16"/>
      </w:rPr>
      <w:fldChar w:fldCharType="end"/>
    </w:r>
    <w:r>
      <w:rPr>
        <w:rFonts w:ascii="Calibri" w:eastAsia="Calibri" w:hAnsi="Calibri" w:cs="Calibri"/>
        <w:color w:val="222A35"/>
        <w:sz w:val="16"/>
      </w:rPr>
      <w:t xml:space="preserve"> </w:t>
    </w: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D866BF" w14:textId="77777777" w:rsidR="001863D1" w:rsidRDefault="003D0C20">
    <w:pPr>
      <w:spacing w:after="0" w:line="238" w:lineRule="auto"/>
      <w:ind w:left="17" w:right="224" w:firstLine="8784"/>
      <w:jc w:val="left"/>
    </w:pPr>
    <w:r>
      <w:rPr>
        <w:rFonts w:ascii="Calibri" w:eastAsia="Calibri" w:hAnsi="Calibri" w:cs="Calibri"/>
        <w:color w:val="8496B0"/>
        <w:sz w:val="16"/>
      </w:rPr>
      <w:t xml:space="preserve">P a g e </w:t>
    </w:r>
    <w:r>
      <w:rPr>
        <w:rFonts w:ascii="Calibri" w:eastAsia="Calibri" w:hAnsi="Calibri" w:cs="Calibri"/>
        <w:color w:val="323E4F"/>
        <w:sz w:val="16"/>
      </w:rPr>
      <w:fldChar w:fldCharType="begin"/>
    </w:r>
    <w:r>
      <w:rPr>
        <w:rFonts w:ascii="Calibri" w:eastAsia="Calibri" w:hAnsi="Calibri" w:cs="Calibri"/>
        <w:color w:val="323E4F"/>
        <w:sz w:val="16"/>
      </w:rPr>
      <w:instrText xml:space="preserve"> PAGE   \* MERGEFORMAT </w:instrText>
    </w:r>
    <w:r>
      <w:rPr>
        <w:rFonts w:ascii="Calibri" w:eastAsia="Calibri" w:hAnsi="Calibri" w:cs="Calibri"/>
        <w:color w:val="323E4F"/>
        <w:sz w:val="16"/>
      </w:rPr>
      <w:fldChar w:fldCharType="separate"/>
    </w:r>
    <w:r w:rsidR="00FB2573">
      <w:rPr>
        <w:rFonts w:ascii="Calibri" w:eastAsia="Calibri" w:hAnsi="Calibri" w:cs="Calibri"/>
        <w:noProof/>
        <w:color w:val="323E4F"/>
        <w:sz w:val="16"/>
      </w:rPr>
      <w:t>2</w:t>
    </w:r>
    <w:r>
      <w:rPr>
        <w:rFonts w:ascii="Calibri" w:eastAsia="Calibri" w:hAnsi="Calibri" w:cs="Calibri"/>
        <w:color w:val="323E4F"/>
        <w:sz w:val="16"/>
      </w:rPr>
      <w:fldChar w:fldCharType="end"/>
    </w:r>
    <w:r>
      <w:rPr>
        <w:rFonts w:ascii="Calibri" w:eastAsia="Calibri" w:hAnsi="Calibri" w:cs="Calibri"/>
        <w:color w:val="323E4F"/>
        <w:sz w:val="16"/>
      </w:rPr>
      <w:t xml:space="preserve"> | </w:t>
    </w:r>
    <w:r>
      <w:rPr>
        <w:rFonts w:ascii="Calibri" w:eastAsia="Calibri" w:hAnsi="Calibri" w:cs="Calibri"/>
        <w:color w:val="323E4F"/>
        <w:sz w:val="16"/>
      </w:rPr>
      <w:fldChar w:fldCharType="begin"/>
    </w:r>
    <w:r>
      <w:rPr>
        <w:rFonts w:ascii="Calibri" w:eastAsia="Calibri" w:hAnsi="Calibri" w:cs="Calibri"/>
        <w:color w:val="323E4F"/>
        <w:sz w:val="16"/>
      </w:rPr>
      <w:instrText xml:space="preserve"> NUMPAGES   \* MERGEFORMAT </w:instrText>
    </w:r>
    <w:r>
      <w:rPr>
        <w:rFonts w:ascii="Calibri" w:eastAsia="Calibri" w:hAnsi="Calibri" w:cs="Calibri"/>
        <w:color w:val="323E4F"/>
        <w:sz w:val="16"/>
      </w:rPr>
      <w:fldChar w:fldCharType="separate"/>
    </w:r>
    <w:r w:rsidR="00FB2573">
      <w:rPr>
        <w:rFonts w:ascii="Calibri" w:eastAsia="Calibri" w:hAnsi="Calibri" w:cs="Calibri"/>
        <w:noProof/>
        <w:color w:val="323E4F"/>
        <w:sz w:val="16"/>
      </w:rPr>
      <w:t>9</w:t>
    </w:r>
    <w:r>
      <w:rPr>
        <w:rFonts w:ascii="Calibri" w:eastAsia="Calibri" w:hAnsi="Calibri" w:cs="Calibri"/>
        <w:color w:val="323E4F"/>
        <w:sz w:val="16"/>
      </w:rPr>
      <w:fldChar w:fldCharType="end"/>
    </w:r>
    <w:r>
      <w:rPr>
        <w:rFonts w:ascii="Calibri" w:eastAsia="Calibri" w:hAnsi="Calibri" w:cs="Calibri"/>
        <w:color w:val="222A35"/>
        <w:sz w:val="16"/>
      </w:rPr>
      <w:t xml:space="preserve"> </w:t>
    </w: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52FBC" w14:textId="77777777" w:rsidR="001863D1" w:rsidRDefault="001863D1">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938A78" w14:textId="77777777" w:rsidR="007B6D60" w:rsidRDefault="003D0C20">
      <w:pPr>
        <w:spacing w:after="0" w:line="240" w:lineRule="auto"/>
      </w:pPr>
      <w:r>
        <w:separator/>
      </w:r>
    </w:p>
  </w:footnote>
  <w:footnote w:type="continuationSeparator" w:id="0">
    <w:p w14:paraId="6ADF7A94" w14:textId="77777777" w:rsidR="007B6D60" w:rsidRDefault="003D0C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C176E" w14:textId="77777777" w:rsidR="001863D1" w:rsidRDefault="003D0C20">
    <w:pPr>
      <w:spacing w:after="0" w:line="259" w:lineRule="auto"/>
      <w:ind w:left="15" w:firstLine="0"/>
      <w:jc w:val="center"/>
    </w:pPr>
    <w:r>
      <w:rPr>
        <w:rFonts w:ascii="Calibri" w:eastAsia="Calibri" w:hAnsi="Calibri" w:cs="Calibri"/>
        <w:color w:val="7F7F7F"/>
      </w:rPr>
      <w:t xml:space="preserve">CCTP – Assistance aux utilisateurs – Demande d’intervention et d’assistance aux bâtiments « SVP Travaux » </w:t>
    </w:r>
  </w:p>
  <w:p w14:paraId="1DCB875E" w14:textId="77777777" w:rsidR="001863D1" w:rsidRDefault="003D0C20">
    <w:pPr>
      <w:spacing w:after="0" w:line="259" w:lineRule="auto"/>
      <w:ind w:left="17" w:firstLine="0"/>
      <w:jc w:val="left"/>
    </w:pPr>
    <w:r>
      <w:rPr>
        <w:rFonts w:ascii="Calibri" w:eastAsia="Calibri" w:hAnsi="Calibri" w:cs="Calibri"/>
        <w:sz w:val="16"/>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1F94B" w14:textId="77777777" w:rsidR="001863D1" w:rsidRDefault="003D0C20">
    <w:pPr>
      <w:spacing w:after="0" w:line="259" w:lineRule="auto"/>
      <w:ind w:left="15" w:firstLine="0"/>
      <w:jc w:val="center"/>
    </w:pPr>
    <w:r>
      <w:rPr>
        <w:rFonts w:ascii="Calibri" w:eastAsia="Calibri" w:hAnsi="Calibri" w:cs="Calibri"/>
        <w:color w:val="7F7F7F"/>
      </w:rPr>
      <w:t xml:space="preserve">CCTP – Assistance aux utilisateurs – Demande d’intervention et d’assistance aux bâtiments « SVP Travaux » </w:t>
    </w:r>
  </w:p>
  <w:p w14:paraId="42659779" w14:textId="77777777" w:rsidR="001863D1" w:rsidRDefault="003D0C20">
    <w:pPr>
      <w:spacing w:after="0" w:line="259" w:lineRule="auto"/>
      <w:ind w:left="17" w:firstLine="0"/>
      <w:jc w:val="left"/>
    </w:pPr>
    <w:r>
      <w:rPr>
        <w:rFonts w:ascii="Calibri" w:eastAsia="Calibri" w:hAnsi="Calibri" w:cs="Calibri"/>
        <w:sz w:val="16"/>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528DBF" w14:textId="77777777" w:rsidR="001863D1" w:rsidRDefault="001863D1">
    <w:pPr>
      <w:spacing w:after="160" w:line="259"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A56794"/>
    <w:multiLevelType w:val="hybridMultilevel"/>
    <w:tmpl w:val="D06C4240"/>
    <w:lvl w:ilvl="0" w:tplc="FF88BB02">
      <w:start w:val="1"/>
      <w:numFmt w:val="bullet"/>
      <w:lvlText w:val="-"/>
      <w:lvlJc w:val="left"/>
      <w:pPr>
        <w:ind w:left="7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2323AC4">
      <w:start w:val="1"/>
      <w:numFmt w:val="bullet"/>
      <w:lvlText w:val="o"/>
      <w:lvlJc w:val="left"/>
      <w:pPr>
        <w:ind w:left="14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1F0B686">
      <w:start w:val="1"/>
      <w:numFmt w:val="bullet"/>
      <w:lvlText w:val="▪"/>
      <w:lvlJc w:val="left"/>
      <w:pPr>
        <w:ind w:left="21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9B03024">
      <w:start w:val="1"/>
      <w:numFmt w:val="bullet"/>
      <w:lvlText w:val="•"/>
      <w:lvlJc w:val="left"/>
      <w:pPr>
        <w:ind w:left="28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2F0048C">
      <w:start w:val="1"/>
      <w:numFmt w:val="bullet"/>
      <w:lvlText w:val="o"/>
      <w:lvlJc w:val="left"/>
      <w:pPr>
        <w:ind w:left="36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BA658D6">
      <w:start w:val="1"/>
      <w:numFmt w:val="bullet"/>
      <w:lvlText w:val="▪"/>
      <w:lvlJc w:val="left"/>
      <w:pPr>
        <w:ind w:left="43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1E4D9EA">
      <w:start w:val="1"/>
      <w:numFmt w:val="bullet"/>
      <w:lvlText w:val="•"/>
      <w:lvlJc w:val="left"/>
      <w:pPr>
        <w:ind w:left="50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59231DA">
      <w:start w:val="1"/>
      <w:numFmt w:val="bullet"/>
      <w:lvlText w:val="o"/>
      <w:lvlJc w:val="left"/>
      <w:pPr>
        <w:ind w:left="57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7423730">
      <w:start w:val="1"/>
      <w:numFmt w:val="bullet"/>
      <w:lvlText w:val="▪"/>
      <w:lvlJc w:val="left"/>
      <w:pPr>
        <w:ind w:left="64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5881094"/>
    <w:multiLevelType w:val="hybridMultilevel"/>
    <w:tmpl w:val="6644A520"/>
    <w:lvl w:ilvl="0" w:tplc="52445B94">
      <w:start w:val="1"/>
      <w:numFmt w:val="bullet"/>
      <w:lvlText w:val="-"/>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C0A62F6">
      <w:start w:val="1"/>
      <w:numFmt w:val="bullet"/>
      <w:lvlText w:val="o"/>
      <w:lvlJc w:val="left"/>
      <w:pPr>
        <w:ind w:left="10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A72A356">
      <w:start w:val="1"/>
      <w:numFmt w:val="bullet"/>
      <w:lvlText w:val="▪"/>
      <w:lvlJc w:val="left"/>
      <w:pPr>
        <w:ind w:left="18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97C63D6">
      <w:start w:val="1"/>
      <w:numFmt w:val="bullet"/>
      <w:lvlText w:val="•"/>
      <w:lvlJc w:val="left"/>
      <w:pPr>
        <w:ind w:left="25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F7818B4">
      <w:start w:val="1"/>
      <w:numFmt w:val="bullet"/>
      <w:lvlText w:val="o"/>
      <w:lvlJc w:val="left"/>
      <w:pPr>
        <w:ind w:left="32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9365C68">
      <w:start w:val="1"/>
      <w:numFmt w:val="bullet"/>
      <w:lvlText w:val="▪"/>
      <w:lvlJc w:val="left"/>
      <w:pPr>
        <w:ind w:left="39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6183F92">
      <w:start w:val="1"/>
      <w:numFmt w:val="bullet"/>
      <w:lvlText w:val="•"/>
      <w:lvlJc w:val="left"/>
      <w:pPr>
        <w:ind w:left="46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D94D122">
      <w:start w:val="1"/>
      <w:numFmt w:val="bullet"/>
      <w:lvlText w:val="o"/>
      <w:lvlJc w:val="left"/>
      <w:pPr>
        <w:ind w:left="54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46E2BD4">
      <w:start w:val="1"/>
      <w:numFmt w:val="bullet"/>
      <w:lvlText w:val="▪"/>
      <w:lvlJc w:val="left"/>
      <w:pPr>
        <w:ind w:left="61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315557DF"/>
    <w:multiLevelType w:val="hybridMultilevel"/>
    <w:tmpl w:val="AFA03BA4"/>
    <w:lvl w:ilvl="0" w:tplc="66FE888E">
      <w:start w:val="1"/>
      <w:numFmt w:val="bullet"/>
      <w:lvlText w:val="-"/>
      <w:lvlJc w:val="left"/>
      <w:pPr>
        <w:ind w:left="3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E5C3552">
      <w:start w:val="1"/>
      <w:numFmt w:val="bullet"/>
      <w:lvlText w:val="o"/>
      <w:lvlJc w:val="left"/>
      <w:pPr>
        <w:ind w:left="10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CC63C6C">
      <w:start w:val="1"/>
      <w:numFmt w:val="bullet"/>
      <w:lvlText w:val="▪"/>
      <w:lvlJc w:val="left"/>
      <w:pPr>
        <w:ind w:left="18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24EB44C">
      <w:start w:val="1"/>
      <w:numFmt w:val="bullet"/>
      <w:lvlText w:val="•"/>
      <w:lvlJc w:val="left"/>
      <w:pPr>
        <w:ind w:left="25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682559E">
      <w:start w:val="1"/>
      <w:numFmt w:val="bullet"/>
      <w:lvlText w:val="o"/>
      <w:lvlJc w:val="left"/>
      <w:pPr>
        <w:ind w:left="32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648DDB2">
      <w:start w:val="1"/>
      <w:numFmt w:val="bullet"/>
      <w:lvlText w:val="▪"/>
      <w:lvlJc w:val="left"/>
      <w:pPr>
        <w:ind w:left="39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B4C38BE">
      <w:start w:val="1"/>
      <w:numFmt w:val="bullet"/>
      <w:lvlText w:val="•"/>
      <w:lvlJc w:val="left"/>
      <w:pPr>
        <w:ind w:left="46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41E7534">
      <w:start w:val="1"/>
      <w:numFmt w:val="bullet"/>
      <w:lvlText w:val="o"/>
      <w:lvlJc w:val="left"/>
      <w:pPr>
        <w:ind w:left="54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E04FD8C">
      <w:start w:val="1"/>
      <w:numFmt w:val="bullet"/>
      <w:lvlText w:val="▪"/>
      <w:lvlJc w:val="left"/>
      <w:pPr>
        <w:ind w:left="61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41342F91"/>
    <w:multiLevelType w:val="hybridMultilevel"/>
    <w:tmpl w:val="1EB08DAC"/>
    <w:lvl w:ilvl="0" w:tplc="9782C310">
      <w:start w:val="1"/>
      <w:numFmt w:val="bullet"/>
      <w:lvlText w:val=""/>
      <w:lvlJc w:val="left"/>
      <w:pPr>
        <w:ind w:left="72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F9A2827C">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55900C80">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D4789D08">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D8329B6C">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083A1370">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26305F20">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AEC2D09A">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2014F6EE">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43D21A1C"/>
    <w:multiLevelType w:val="hybridMultilevel"/>
    <w:tmpl w:val="8EFC061A"/>
    <w:lvl w:ilvl="0" w:tplc="545E22FA">
      <w:start w:val="1"/>
      <w:numFmt w:val="bullet"/>
      <w:lvlText w:val=""/>
      <w:lvlJc w:val="left"/>
      <w:pPr>
        <w:ind w:left="73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5D18F3DC">
      <w:start w:val="1"/>
      <w:numFmt w:val="bullet"/>
      <w:lvlText w:val="o"/>
      <w:lvlJc w:val="left"/>
      <w:pPr>
        <w:ind w:left="145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C6A43A2A">
      <w:start w:val="1"/>
      <w:numFmt w:val="bullet"/>
      <w:lvlText w:val="▪"/>
      <w:lvlJc w:val="left"/>
      <w:pPr>
        <w:ind w:left="217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EFC6250C">
      <w:start w:val="1"/>
      <w:numFmt w:val="bullet"/>
      <w:lvlText w:val="•"/>
      <w:lvlJc w:val="left"/>
      <w:pPr>
        <w:ind w:left="289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93A222C0">
      <w:start w:val="1"/>
      <w:numFmt w:val="bullet"/>
      <w:lvlText w:val="o"/>
      <w:lvlJc w:val="left"/>
      <w:pPr>
        <w:ind w:left="361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6CFA2F4A">
      <w:start w:val="1"/>
      <w:numFmt w:val="bullet"/>
      <w:lvlText w:val="▪"/>
      <w:lvlJc w:val="left"/>
      <w:pPr>
        <w:ind w:left="433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8CC4A648">
      <w:start w:val="1"/>
      <w:numFmt w:val="bullet"/>
      <w:lvlText w:val="•"/>
      <w:lvlJc w:val="left"/>
      <w:pPr>
        <w:ind w:left="505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AF5E4534">
      <w:start w:val="1"/>
      <w:numFmt w:val="bullet"/>
      <w:lvlText w:val="o"/>
      <w:lvlJc w:val="left"/>
      <w:pPr>
        <w:ind w:left="577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6DDC0E8C">
      <w:start w:val="1"/>
      <w:numFmt w:val="bullet"/>
      <w:lvlText w:val="▪"/>
      <w:lvlJc w:val="left"/>
      <w:pPr>
        <w:ind w:left="649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4C866BDD"/>
    <w:multiLevelType w:val="hybridMultilevel"/>
    <w:tmpl w:val="758CE3E4"/>
    <w:lvl w:ilvl="0" w:tplc="6704788A">
      <w:start w:val="1"/>
      <w:numFmt w:val="bullet"/>
      <w:lvlText w:val="-"/>
      <w:lvlJc w:val="left"/>
      <w:pPr>
        <w:ind w:left="3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1C449AC">
      <w:start w:val="1"/>
      <w:numFmt w:val="bullet"/>
      <w:lvlText w:val="o"/>
      <w:lvlJc w:val="left"/>
      <w:pPr>
        <w:ind w:left="10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96E7C94">
      <w:start w:val="1"/>
      <w:numFmt w:val="bullet"/>
      <w:lvlText w:val="▪"/>
      <w:lvlJc w:val="left"/>
      <w:pPr>
        <w:ind w:left="18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02020D0">
      <w:start w:val="1"/>
      <w:numFmt w:val="bullet"/>
      <w:lvlText w:val="•"/>
      <w:lvlJc w:val="left"/>
      <w:pPr>
        <w:ind w:left="25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41A7C32">
      <w:start w:val="1"/>
      <w:numFmt w:val="bullet"/>
      <w:lvlText w:val="o"/>
      <w:lvlJc w:val="left"/>
      <w:pPr>
        <w:ind w:left="32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C763114">
      <w:start w:val="1"/>
      <w:numFmt w:val="bullet"/>
      <w:lvlText w:val="▪"/>
      <w:lvlJc w:val="left"/>
      <w:pPr>
        <w:ind w:left="39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230735A">
      <w:start w:val="1"/>
      <w:numFmt w:val="bullet"/>
      <w:lvlText w:val="•"/>
      <w:lvlJc w:val="left"/>
      <w:pPr>
        <w:ind w:left="46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DEEE35C">
      <w:start w:val="1"/>
      <w:numFmt w:val="bullet"/>
      <w:lvlText w:val="o"/>
      <w:lvlJc w:val="left"/>
      <w:pPr>
        <w:ind w:left="54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1A097D6">
      <w:start w:val="1"/>
      <w:numFmt w:val="bullet"/>
      <w:lvlText w:val="▪"/>
      <w:lvlJc w:val="left"/>
      <w:pPr>
        <w:ind w:left="61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D341A82"/>
    <w:multiLevelType w:val="hybridMultilevel"/>
    <w:tmpl w:val="24F08A4C"/>
    <w:lvl w:ilvl="0" w:tplc="066833E6">
      <w:start w:val="1"/>
      <w:numFmt w:val="bullet"/>
      <w:lvlText w:val="-"/>
      <w:lvlJc w:val="left"/>
      <w:pPr>
        <w:ind w:left="7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E2597E">
      <w:start w:val="1"/>
      <w:numFmt w:val="bullet"/>
      <w:lvlText w:val="o"/>
      <w:lvlJc w:val="left"/>
      <w:pPr>
        <w:ind w:left="1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DED9AC">
      <w:start w:val="1"/>
      <w:numFmt w:val="bullet"/>
      <w:lvlText w:val="▪"/>
      <w:lvlJc w:val="left"/>
      <w:pPr>
        <w:ind w:left="2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DAA5AE">
      <w:start w:val="1"/>
      <w:numFmt w:val="bullet"/>
      <w:lvlText w:val="•"/>
      <w:lvlJc w:val="left"/>
      <w:pPr>
        <w:ind w:left="2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BA17A8">
      <w:start w:val="1"/>
      <w:numFmt w:val="bullet"/>
      <w:lvlText w:val="o"/>
      <w:lvlJc w:val="left"/>
      <w:pPr>
        <w:ind w:left="3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D9E9EB0">
      <w:start w:val="1"/>
      <w:numFmt w:val="bullet"/>
      <w:lvlText w:val="▪"/>
      <w:lvlJc w:val="left"/>
      <w:pPr>
        <w:ind w:left="43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C6674A">
      <w:start w:val="1"/>
      <w:numFmt w:val="bullet"/>
      <w:lvlText w:val="•"/>
      <w:lvlJc w:val="left"/>
      <w:pPr>
        <w:ind w:left="50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0F872A2">
      <w:start w:val="1"/>
      <w:numFmt w:val="bullet"/>
      <w:lvlText w:val="o"/>
      <w:lvlJc w:val="left"/>
      <w:pPr>
        <w:ind w:left="57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0C37DC">
      <w:start w:val="1"/>
      <w:numFmt w:val="bullet"/>
      <w:lvlText w:val="▪"/>
      <w:lvlJc w:val="left"/>
      <w:pPr>
        <w:ind w:left="64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5A703F52"/>
    <w:multiLevelType w:val="hybridMultilevel"/>
    <w:tmpl w:val="E93AF5E6"/>
    <w:lvl w:ilvl="0" w:tplc="21D0A204">
      <w:start w:val="1"/>
      <w:numFmt w:val="bullet"/>
      <w:lvlText w:val="-"/>
      <w:lvlJc w:val="left"/>
      <w:pPr>
        <w:ind w:left="7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DA20A4">
      <w:start w:val="1"/>
      <w:numFmt w:val="bullet"/>
      <w:lvlText w:val="o"/>
      <w:lvlJc w:val="left"/>
      <w:pPr>
        <w:ind w:left="14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6A547A">
      <w:start w:val="1"/>
      <w:numFmt w:val="bullet"/>
      <w:lvlText w:val="▪"/>
      <w:lvlJc w:val="left"/>
      <w:pPr>
        <w:ind w:left="21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2A503C">
      <w:start w:val="1"/>
      <w:numFmt w:val="bullet"/>
      <w:lvlText w:val="•"/>
      <w:lvlJc w:val="left"/>
      <w:pPr>
        <w:ind w:left="28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D81AA2">
      <w:start w:val="1"/>
      <w:numFmt w:val="bullet"/>
      <w:lvlText w:val="o"/>
      <w:lvlJc w:val="left"/>
      <w:pPr>
        <w:ind w:left="36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E648BC">
      <w:start w:val="1"/>
      <w:numFmt w:val="bullet"/>
      <w:lvlText w:val="▪"/>
      <w:lvlJc w:val="left"/>
      <w:pPr>
        <w:ind w:left="43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4C54A6">
      <w:start w:val="1"/>
      <w:numFmt w:val="bullet"/>
      <w:lvlText w:val="•"/>
      <w:lvlJc w:val="left"/>
      <w:pPr>
        <w:ind w:left="50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D4618E">
      <w:start w:val="1"/>
      <w:numFmt w:val="bullet"/>
      <w:lvlText w:val="o"/>
      <w:lvlJc w:val="left"/>
      <w:pPr>
        <w:ind w:left="57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E1AEE5E">
      <w:start w:val="1"/>
      <w:numFmt w:val="bullet"/>
      <w:lvlText w:val="▪"/>
      <w:lvlJc w:val="left"/>
      <w:pPr>
        <w:ind w:left="64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5D125515"/>
    <w:multiLevelType w:val="hybridMultilevel"/>
    <w:tmpl w:val="8BF6E944"/>
    <w:lvl w:ilvl="0" w:tplc="90F6BE54">
      <w:start w:val="1"/>
      <w:numFmt w:val="bullet"/>
      <w:lvlText w:val="-"/>
      <w:lvlJc w:val="left"/>
      <w:pPr>
        <w:ind w:left="3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F10BED8">
      <w:start w:val="1"/>
      <w:numFmt w:val="bullet"/>
      <w:lvlText w:val="o"/>
      <w:lvlJc w:val="left"/>
      <w:pPr>
        <w:ind w:left="10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4DAD41C">
      <w:start w:val="1"/>
      <w:numFmt w:val="bullet"/>
      <w:lvlText w:val="▪"/>
      <w:lvlJc w:val="left"/>
      <w:pPr>
        <w:ind w:left="18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8023D0C">
      <w:start w:val="1"/>
      <w:numFmt w:val="bullet"/>
      <w:lvlText w:val="•"/>
      <w:lvlJc w:val="left"/>
      <w:pPr>
        <w:ind w:left="25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36EF03C">
      <w:start w:val="1"/>
      <w:numFmt w:val="bullet"/>
      <w:lvlText w:val="o"/>
      <w:lvlJc w:val="left"/>
      <w:pPr>
        <w:ind w:left="32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588612A">
      <w:start w:val="1"/>
      <w:numFmt w:val="bullet"/>
      <w:lvlText w:val="▪"/>
      <w:lvlJc w:val="left"/>
      <w:pPr>
        <w:ind w:left="39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3F06044">
      <w:start w:val="1"/>
      <w:numFmt w:val="bullet"/>
      <w:lvlText w:val="•"/>
      <w:lvlJc w:val="left"/>
      <w:pPr>
        <w:ind w:left="46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EA2B086">
      <w:start w:val="1"/>
      <w:numFmt w:val="bullet"/>
      <w:lvlText w:val="o"/>
      <w:lvlJc w:val="left"/>
      <w:pPr>
        <w:ind w:left="54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656F604">
      <w:start w:val="1"/>
      <w:numFmt w:val="bullet"/>
      <w:lvlText w:val="▪"/>
      <w:lvlJc w:val="left"/>
      <w:pPr>
        <w:ind w:left="61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63C70BDC"/>
    <w:multiLevelType w:val="hybridMultilevel"/>
    <w:tmpl w:val="713A2A50"/>
    <w:lvl w:ilvl="0" w:tplc="998AE466">
      <w:start w:val="1"/>
      <w:numFmt w:val="bullet"/>
      <w:lvlText w:val="-"/>
      <w:lvlJc w:val="left"/>
      <w:pPr>
        <w:ind w:left="3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A2CC52A">
      <w:start w:val="1"/>
      <w:numFmt w:val="bullet"/>
      <w:lvlText w:val="o"/>
      <w:lvlJc w:val="left"/>
      <w:pPr>
        <w:ind w:left="10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4B0DF76">
      <w:start w:val="1"/>
      <w:numFmt w:val="bullet"/>
      <w:lvlText w:val="▪"/>
      <w:lvlJc w:val="left"/>
      <w:pPr>
        <w:ind w:left="18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C6A05A0">
      <w:start w:val="1"/>
      <w:numFmt w:val="bullet"/>
      <w:lvlText w:val="•"/>
      <w:lvlJc w:val="left"/>
      <w:pPr>
        <w:ind w:left="25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B02E044">
      <w:start w:val="1"/>
      <w:numFmt w:val="bullet"/>
      <w:lvlText w:val="o"/>
      <w:lvlJc w:val="left"/>
      <w:pPr>
        <w:ind w:left="32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D504E9E">
      <w:start w:val="1"/>
      <w:numFmt w:val="bullet"/>
      <w:lvlText w:val="▪"/>
      <w:lvlJc w:val="left"/>
      <w:pPr>
        <w:ind w:left="39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CC077E6">
      <w:start w:val="1"/>
      <w:numFmt w:val="bullet"/>
      <w:lvlText w:val="•"/>
      <w:lvlJc w:val="left"/>
      <w:pPr>
        <w:ind w:left="46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030B598">
      <w:start w:val="1"/>
      <w:numFmt w:val="bullet"/>
      <w:lvlText w:val="o"/>
      <w:lvlJc w:val="left"/>
      <w:pPr>
        <w:ind w:left="54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0E281D8">
      <w:start w:val="1"/>
      <w:numFmt w:val="bullet"/>
      <w:lvlText w:val="▪"/>
      <w:lvlJc w:val="left"/>
      <w:pPr>
        <w:ind w:left="61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8"/>
  </w:num>
  <w:num w:numId="3">
    <w:abstractNumId w:val="6"/>
  </w:num>
  <w:num w:numId="4">
    <w:abstractNumId w:val="2"/>
  </w:num>
  <w:num w:numId="5">
    <w:abstractNumId w:val="4"/>
  </w:num>
  <w:num w:numId="6">
    <w:abstractNumId w:val="3"/>
  </w:num>
  <w:num w:numId="7">
    <w:abstractNumId w:val="9"/>
  </w:num>
  <w:num w:numId="8">
    <w:abstractNumId w:val="7"/>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3D1"/>
    <w:rsid w:val="00006400"/>
    <w:rsid w:val="000113C5"/>
    <w:rsid w:val="00011B70"/>
    <w:rsid w:val="0001608F"/>
    <w:rsid w:val="000169A8"/>
    <w:rsid w:val="00040591"/>
    <w:rsid w:val="000B247A"/>
    <w:rsid w:val="000B6EF6"/>
    <w:rsid w:val="00110293"/>
    <w:rsid w:val="001241DA"/>
    <w:rsid w:val="001863D1"/>
    <w:rsid w:val="001E7139"/>
    <w:rsid w:val="001F19D9"/>
    <w:rsid w:val="001F6BC5"/>
    <w:rsid w:val="00210E54"/>
    <w:rsid w:val="00224626"/>
    <w:rsid w:val="00263855"/>
    <w:rsid w:val="002761FD"/>
    <w:rsid w:val="00291C17"/>
    <w:rsid w:val="00295A0A"/>
    <w:rsid w:val="002A0329"/>
    <w:rsid w:val="002A2C12"/>
    <w:rsid w:val="00302CBF"/>
    <w:rsid w:val="003110BA"/>
    <w:rsid w:val="003D0C20"/>
    <w:rsid w:val="00437DBD"/>
    <w:rsid w:val="00443DB0"/>
    <w:rsid w:val="004C3575"/>
    <w:rsid w:val="004D270E"/>
    <w:rsid w:val="004F3B0D"/>
    <w:rsid w:val="00533E68"/>
    <w:rsid w:val="00592966"/>
    <w:rsid w:val="0059772C"/>
    <w:rsid w:val="006415CE"/>
    <w:rsid w:val="006416B7"/>
    <w:rsid w:val="00652C29"/>
    <w:rsid w:val="0065609B"/>
    <w:rsid w:val="006565CB"/>
    <w:rsid w:val="00671DA1"/>
    <w:rsid w:val="006911AA"/>
    <w:rsid w:val="006A645F"/>
    <w:rsid w:val="006A70D3"/>
    <w:rsid w:val="006B0AB5"/>
    <w:rsid w:val="006B7C31"/>
    <w:rsid w:val="00746BE6"/>
    <w:rsid w:val="00782DDE"/>
    <w:rsid w:val="007B6D60"/>
    <w:rsid w:val="007D5069"/>
    <w:rsid w:val="007F6754"/>
    <w:rsid w:val="007F7B26"/>
    <w:rsid w:val="00924253"/>
    <w:rsid w:val="00931DAF"/>
    <w:rsid w:val="00962E0C"/>
    <w:rsid w:val="009C7C56"/>
    <w:rsid w:val="00A13F1E"/>
    <w:rsid w:val="00A645D2"/>
    <w:rsid w:val="00A74B33"/>
    <w:rsid w:val="00A81F64"/>
    <w:rsid w:val="00AA7CDB"/>
    <w:rsid w:val="00B761B1"/>
    <w:rsid w:val="00BF6CC5"/>
    <w:rsid w:val="00C1170E"/>
    <w:rsid w:val="00CA2173"/>
    <w:rsid w:val="00CB0470"/>
    <w:rsid w:val="00D05AD0"/>
    <w:rsid w:val="00D14A86"/>
    <w:rsid w:val="00D83336"/>
    <w:rsid w:val="00DB79F1"/>
    <w:rsid w:val="00EB01F2"/>
    <w:rsid w:val="00EC1EEA"/>
    <w:rsid w:val="00EE07BF"/>
    <w:rsid w:val="00F35354"/>
    <w:rsid w:val="00F612B5"/>
    <w:rsid w:val="00FB25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82B3D"/>
  <w15:docId w15:val="{1AFDD26E-58B8-4898-AEDE-54BE24AF1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58" w:lineRule="auto"/>
      <w:ind w:left="168" w:hanging="10"/>
      <w:jc w:val="both"/>
    </w:pPr>
    <w:rPr>
      <w:rFonts w:ascii="Arial" w:eastAsia="Arial" w:hAnsi="Arial" w:cs="Arial"/>
      <w:color w:val="000000"/>
      <w:sz w:val="20"/>
    </w:rPr>
  </w:style>
  <w:style w:type="paragraph" w:styleId="Titre1">
    <w:name w:val="heading 1"/>
    <w:next w:val="Normal"/>
    <w:link w:val="Titre1Car"/>
    <w:uiPriority w:val="9"/>
    <w:unhideWhenUsed/>
    <w:qFormat/>
    <w:pPr>
      <w:keepNext/>
      <w:keepLines/>
      <w:spacing w:after="371" w:line="267" w:lineRule="auto"/>
      <w:ind w:left="27" w:hanging="10"/>
      <w:outlineLvl w:val="0"/>
    </w:pPr>
    <w:rPr>
      <w:rFonts w:ascii="Arial" w:eastAsia="Arial" w:hAnsi="Arial" w:cs="Arial"/>
      <w:b/>
      <w:color w:val="0000FF"/>
      <w:sz w:val="24"/>
      <w:u w:val="single" w:color="0000FF"/>
    </w:rPr>
  </w:style>
  <w:style w:type="paragraph" w:styleId="Titre2">
    <w:name w:val="heading 2"/>
    <w:next w:val="Normal"/>
    <w:link w:val="Titre2Car"/>
    <w:uiPriority w:val="9"/>
    <w:unhideWhenUsed/>
    <w:qFormat/>
    <w:pPr>
      <w:keepNext/>
      <w:keepLines/>
      <w:spacing w:after="191"/>
      <w:ind w:left="735" w:hanging="10"/>
      <w:outlineLvl w:val="1"/>
    </w:pPr>
    <w:rPr>
      <w:rFonts w:ascii="Arial" w:eastAsia="Arial" w:hAnsi="Arial" w:cs="Arial"/>
      <w:b/>
      <w:color w:val="323E4F"/>
      <w:sz w:val="24"/>
    </w:rPr>
  </w:style>
  <w:style w:type="paragraph" w:styleId="Titre3">
    <w:name w:val="heading 3"/>
    <w:next w:val="Normal"/>
    <w:link w:val="Titre3Car"/>
    <w:uiPriority w:val="9"/>
    <w:unhideWhenUsed/>
    <w:qFormat/>
    <w:pPr>
      <w:keepNext/>
      <w:keepLines/>
      <w:spacing w:after="77"/>
      <w:ind w:left="1443" w:hanging="10"/>
      <w:outlineLvl w:val="2"/>
    </w:pPr>
    <w:rPr>
      <w:rFonts w:ascii="Arial" w:eastAsia="Arial" w:hAnsi="Arial" w:cs="Arial"/>
      <w:color w:val="000000"/>
      <w:sz w:val="20"/>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link w:val="Titre3"/>
    <w:rPr>
      <w:rFonts w:ascii="Arial" w:eastAsia="Arial" w:hAnsi="Arial" w:cs="Arial"/>
      <w:color w:val="000000"/>
      <w:sz w:val="20"/>
      <w:u w:val="single" w:color="000000"/>
    </w:rPr>
  </w:style>
  <w:style w:type="character" w:customStyle="1" w:styleId="Titre1Car">
    <w:name w:val="Titre 1 Car"/>
    <w:link w:val="Titre1"/>
    <w:rPr>
      <w:rFonts w:ascii="Arial" w:eastAsia="Arial" w:hAnsi="Arial" w:cs="Arial"/>
      <w:b/>
      <w:color w:val="0000FF"/>
      <w:sz w:val="24"/>
      <w:u w:val="single" w:color="0000FF"/>
    </w:rPr>
  </w:style>
  <w:style w:type="character" w:customStyle="1" w:styleId="Titre2Car">
    <w:name w:val="Titre 2 Car"/>
    <w:link w:val="Titre2"/>
    <w:rPr>
      <w:rFonts w:ascii="Arial" w:eastAsia="Arial" w:hAnsi="Arial" w:cs="Arial"/>
      <w:b/>
      <w:color w:val="323E4F"/>
      <w:sz w:val="24"/>
    </w:rPr>
  </w:style>
  <w:style w:type="paragraph" w:styleId="TM1">
    <w:name w:val="toc 1"/>
    <w:hidden/>
    <w:uiPriority w:val="39"/>
    <w:pPr>
      <w:spacing w:after="0"/>
      <w:ind w:left="56" w:right="20" w:hanging="10"/>
    </w:pPr>
    <w:rPr>
      <w:rFonts w:ascii="Arial" w:eastAsia="Arial" w:hAnsi="Arial" w:cs="Arial"/>
      <w:b/>
      <w:color w:val="000000"/>
    </w:rPr>
  </w:style>
  <w:style w:type="paragraph" w:styleId="TM2">
    <w:name w:val="toc 2"/>
    <w:hidden/>
    <w:uiPriority w:val="39"/>
    <w:pPr>
      <w:spacing w:after="0"/>
      <w:ind w:left="263" w:right="20" w:hanging="10"/>
    </w:pPr>
    <w:rPr>
      <w:rFonts w:ascii="Arial" w:eastAsia="Arial" w:hAnsi="Arial" w:cs="Arial"/>
      <w:b/>
      <w:color w:val="000000"/>
    </w:rPr>
  </w:style>
  <w:style w:type="paragraph" w:styleId="TM3">
    <w:name w:val="toc 3"/>
    <w:hidden/>
    <w:uiPriority w:val="39"/>
    <w:pPr>
      <w:spacing w:after="3" w:line="267" w:lineRule="auto"/>
      <w:ind w:left="496" w:right="20" w:hanging="10"/>
    </w:pPr>
    <w:rPr>
      <w:rFonts w:ascii="Arial" w:eastAsia="Arial" w:hAnsi="Arial" w:cs="Arial"/>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Marquedecommentaire">
    <w:name w:val="annotation reference"/>
    <w:basedOn w:val="Policepardfaut"/>
    <w:uiPriority w:val="99"/>
    <w:semiHidden/>
    <w:unhideWhenUsed/>
    <w:rsid w:val="006B7C31"/>
    <w:rPr>
      <w:sz w:val="16"/>
      <w:szCs w:val="16"/>
    </w:rPr>
  </w:style>
  <w:style w:type="paragraph" w:styleId="Commentaire">
    <w:name w:val="annotation text"/>
    <w:basedOn w:val="Normal"/>
    <w:link w:val="CommentaireCar"/>
    <w:uiPriority w:val="99"/>
    <w:semiHidden/>
    <w:unhideWhenUsed/>
    <w:rsid w:val="006B7C31"/>
    <w:pPr>
      <w:spacing w:line="240" w:lineRule="auto"/>
    </w:pPr>
    <w:rPr>
      <w:szCs w:val="20"/>
    </w:rPr>
  </w:style>
  <w:style w:type="character" w:customStyle="1" w:styleId="CommentaireCar">
    <w:name w:val="Commentaire Car"/>
    <w:basedOn w:val="Policepardfaut"/>
    <w:link w:val="Commentaire"/>
    <w:uiPriority w:val="99"/>
    <w:semiHidden/>
    <w:rsid w:val="006B7C31"/>
    <w:rPr>
      <w:rFonts w:ascii="Arial" w:eastAsia="Arial" w:hAnsi="Arial" w:cs="Arial"/>
      <w:color w:val="000000"/>
      <w:sz w:val="20"/>
      <w:szCs w:val="20"/>
    </w:rPr>
  </w:style>
  <w:style w:type="paragraph" w:styleId="Objetducommentaire">
    <w:name w:val="annotation subject"/>
    <w:basedOn w:val="Commentaire"/>
    <w:next w:val="Commentaire"/>
    <w:link w:val="ObjetducommentaireCar"/>
    <w:uiPriority w:val="99"/>
    <w:semiHidden/>
    <w:unhideWhenUsed/>
    <w:rsid w:val="006B7C31"/>
    <w:rPr>
      <w:b/>
      <w:bCs/>
    </w:rPr>
  </w:style>
  <w:style w:type="character" w:customStyle="1" w:styleId="ObjetducommentaireCar">
    <w:name w:val="Objet du commentaire Car"/>
    <w:basedOn w:val="CommentaireCar"/>
    <w:link w:val="Objetducommentaire"/>
    <w:uiPriority w:val="99"/>
    <w:semiHidden/>
    <w:rsid w:val="006B7C31"/>
    <w:rPr>
      <w:rFonts w:ascii="Arial" w:eastAsia="Arial" w:hAnsi="Arial" w:cs="Arial"/>
      <w:b/>
      <w:bCs/>
      <w:color w:val="000000"/>
      <w:sz w:val="20"/>
      <w:szCs w:val="20"/>
    </w:rPr>
  </w:style>
  <w:style w:type="paragraph" w:styleId="Textedebulles">
    <w:name w:val="Balloon Text"/>
    <w:basedOn w:val="Normal"/>
    <w:link w:val="TextedebullesCar"/>
    <w:uiPriority w:val="99"/>
    <w:semiHidden/>
    <w:unhideWhenUsed/>
    <w:rsid w:val="006B7C3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B7C31"/>
    <w:rPr>
      <w:rFonts w:ascii="Segoe UI" w:eastAsia="Arial" w:hAnsi="Segoe UI" w:cs="Segoe UI"/>
      <w:color w:val="000000"/>
      <w:sz w:val="18"/>
      <w:szCs w:val="18"/>
    </w:rPr>
  </w:style>
  <w:style w:type="character" w:styleId="Lienhypertexte">
    <w:name w:val="Hyperlink"/>
    <w:basedOn w:val="Policepardfaut"/>
    <w:uiPriority w:val="99"/>
    <w:unhideWhenUsed/>
    <w:rsid w:val="000169A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363</TotalTime>
  <Pages>9</Pages>
  <Words>3405</Words>
  <Characters>18731</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CCTP</vt:lpstr>
    </vt:vector>
  </TitlesOfParts>
  <Company>ANSM</Company>
  <LinksUpToDate>false</LinksUpToDate>
  <CharactersWithSpaces>22092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CCTP</dc:title>
  <dc:subject/>
  <dc:creator>Anaorgue</dc:creator>
  <cp:keywords/>
  <cp:lastModifiedBy>Saginot DESHOMMES</cp:lastModifiedBy>
  <cp:revision>38</cp:revision>
  <dcterms:created xsi:type="dcterms:W3CDTF">2024-12-18T08:01:00Z</dcterms:created>
  <dcterms:modified xsi:type="dcterms:W3CDTF">2025-01-21T13:21:00Z</dcterms:modified>
</cp:coreProperties>
</file>