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582913E" w:rsidR="00D57C8E" w:rsidRPr="00EE2373" w:rsidRDefault="00D57C8E" w:rsidP="00B54E41">
            <w:pPr>
              <w:spacing w:before="60" w:after="60"/>
              <w:rPr>
                <w:rFonts w:ascii="Arial" w:hAnsi="Arial" w:cs="Arial"/>
              </w:rPr>
            </w:pPr>
            <w:r w:rsidRPr="00EE2373">
              <w:rPr>
                <w:rFonts w:ascii="Arial" w:hAnsi="Arial" w:cs="Arial"/>
                <w:b/>
              </w:rPr>
              <w:t xml:space="preserve">Marché : </w:t>
            </w:r>
            <w:r w:rsidRPr="00027D09">
              <w:rPr>
                <w:rFonts w:ascii="Arial" w:hAnsi="Arial" w:cs="Arial"/>
                <w:b/>
              </w:rPr>
              <w:t>n° S</w:t>
            </w:r>
            <w:r w:rsidR="00027D09" w:rsidRPr="00027D09">
              <w:rPr>
                <w:rFonts w:ascii="Arial" w:hAnsi="Arial" w:cs="Arial"/>
                <w:b/>
              </w:rPr>
              <w:t>2</w:t>
            </w:r>
            <w:r w:rsidR="00B54E41">
              <w:rPr>
                <w:rFonts w:ascii="Arial" w:hAnsi="Arial" w:cs="Arial"/>
                <w:b/>
              </w:rPr>
              <w:t>5</w:t>
            </w:r>
            <w:r w:rsidR="00027D09" w:rsidRPr="00027D09">
              <w:rPr>
                <w:rFonts w:ascii="Arial" w:hAnsi="Arial" w:cs="Arial"/>
                <w:b/>
              </w:rPr>
              <w:t>B00059</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A70F5EA" w:rsidR="00D57C8E" w:rsidRPr="00EE2373" w:rsidRDefault="00D57C8E">
            <w:pPr>
              <w:spacing w:before="60" w:after="60"/>
              <w:rPr>
                <w:rFonts w:ascii="Arial" w:hAnsi="Arial" w:cs="Arial"/>
                <w:b/>
              </w:rPr>
            </w:pPr>
            <w:r w:rsidRPr="00EE2373">
              <w:rPr>
                <w:rFonts w:ascii="Arial" w:hAnsi="Arial" w:cs="Arial"/>
                <w:b/>
              </w:rPr>
              <w:t>Objet :</w:t>
            </w:r>
            <w:r w:rsidR="00027D09">
              <w:rPr>
                <w:rFonts w:ascii="Arial" w:hAnsi="Arial" w:cs="Arial"/>
                <w:b/>
              </w:rPr>
              <w:t xml:space="preserve"> </w:t>
            </w:r>
            <w:proofErr w:type="spellStart"/>
            <w:r w:rsidR="00027D09">
              <w:rPr>
                <w:rFonts w:ascii="Arial" w:hAnsi="Arial" w:cs="Arial"/>
                <w:b/>
              </w:rPr>
              <w:t>Approvsionnement</w:t>
            </w:r>
            <w:proofErr w:type="spellEnd"/>
            <w:r w:rsidR="00027D09">
              <w:rPr>
                <w:rFonts w:ascii="Arial" w:hAnsi="Arial" w:cs="Arial"/>
                <w:b/>
              </w:rPr>
              <w:t xml:space="preserve"> de matériels de mouillage pour la marine nationale</w:t>
            </w:r>
          </w:p>
        </w:tc>
      </w:tr>
    </w:tbl>
    <w:p w14:paraId="0DA548C5" w14:textId="44364BEA" w:rsidR="00D57C8E" w:rsidRPr="00EE2373" w:rsidRDefault="00253072">
      <w:pPr>
        <w:pBdr>
          <w:top w:val="single" w:sz="4" w:space="1" w:color="auto"/>
          <w:bottom w:val="single" w:sz="4" w:space="1" w:color="auto"/>
        </w:pBdr>
        <w:shd w:val="pct10" w:color="auto" w:fill="auto"/>
        <w:spacing w:before="60" w:after="60"/>
        <w:ind w:left="-284"/>
        <w:rPr>
          <w:rFonts w:ascii="Arial" w:hAnsi="Arial" w:cs="Arial"/>
          <w:b/>
        </w:rPr>
      </w:pPr>
      <w:r>
        <w:rPr>
          <w:rFonts w:ascii="Arial" w:hAnsi="Arial"/>
          <w:noProof/>
        </w:rPr>
        <w:drawing>
          <wp:anchor distT="0" distB="0" distL="114300" distR="114300" simplePos="0" relativeHeight="251659264" behindDoc="0" locked="0" layoutInCell="1" allowOverlap="1" wp14:anchorId="4ACFD08A" wp14:editId="1ECBB308">
            <wp:simplePos x="0" y="0"/>
            <wp:positionH relativeFrom="column">
              <wp:posOffset>-488853</wp:posOffset>
            </wp:positionH>
            <wp:positionV relativeFrom="paragraph">
              <wp:posOffset>-1755628</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61ACB09" w:rsidR="005A16B4" w:rsidRPr="00EE2373" w:rsidRDefault="00027D09" w:rsidP="00C064C3">
            <w:pPr>
              <w:spacing w:before="40"/>
              <w:jc w:val="center"/>
              <w:rPr>
                <w:rFonts w:ascii="Arial" w:hAnsi="Arial" w:cs="Arial"/>
                <w:b/>
                <w:bCs/>
              </w:rPr>
            </w:pPr>
            <w:r>
              <w:rPr>
                <w:rFonts w:ascii="Arial" w:hAnsi="Arial" w:cs="Arial"/>
                <w:b/>
                <w:bCs/>
              </w:rPr>
              <w:t>2030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3EC942E" w:rsidR="005A16B4" w:rsidRPr="00027D09" w:rsidRDefault="00027D09" w:rsidP="00C064C3">
            <w:pPr>
              <w:spacing w:before="40"/>
              <w:jc w:val="center"/>
              <w:rPr>
                <w:b/>
                <w:bCs/>
              </w:rPr>
            </w:pPr>
            <w:r w:rsidRPr="00027D09">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02FCC4DD"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86A5D" w:rsidRDefault="00D57C8E" w:rsidP="00E86A5D">
      <w:pPr>
        <w:pStyle w:val="Listepuces"/>
        <w:rPr>
          <w:rFonts w:ascii="Arial" w:hAnsi="Arial" w:cs="Arial"/>
        </w:rPr>
      </w:pPr>
      <w:r w:rsidRPr="00EE2373">
        <w:rPr>
          <w:rFonts w:ascii="Arial" w:hAnsi="Arial" w:cs="Arial"/>
        </w:rPr>
        <w:t xml:space="preserve">le présent marché valant </w:t>
      </w:r>
      <w:r w:rsidR="00AE3691" w:rsidRPr="00EE2373">
        <w:rPr>
          <w:rFonts w:ascii="Arial" w:hAnsi="Arial" w:cs="Arial"/>
        </w:rPr>
        <w:t>acte d’</w:t>
      </w:r>
      <w:r w:rsidRPr="00EE2373">
        <w:rPr>
          <w:rFonts w:ascii="Arial" w:hAnsi="Arial" w:cs="Arial"/>
        </w:rPr>
        <w:t xml:space="preserve">engagement et </w:t>
      </w:r>
      <w:r w:rsidR="00AE3691" w:rsidRPr="00EE2373">
        <w:rPr>
          <w:rFonts w:ascii="Arial" w:hAnsi="Arial" w:cs="Arial"/>
        </w:rPr>
        <w:t xml:space="preserve">cahier des </w:t>
      </w:r>
      <w:r w:rsidRPr="00EE2373">
        <w:rPr>
          <w:rFonts w:ascii="Arial" w:hAnsi="Arial" w:cs="Arial"/>
        </w:rPr>
        <w:t>clauses administratives</w:t>
      </w:r>
      <w:r w:rsidR="00AE3691" w:rsidRPr="00EE2373">
        <w:rPr>
          <w:rFonts w:ascii="Arial" w:hAnsi="Arial" w:cs="Arial"/>
        </w:rPr>
        <w:t xml:space="preserve"> particulières</w:t>
      </w:r>
      <w:r w:rsidRPr="00EE2373">
        <w:rPr>
          <w:rFonts w:ascii="Arial" w:hAnsi="Arial" w:cs="Arial"/>
        </w:rPr>
        <w:t xml:space="preserve"> signé par </w:t>
      </w:r>
      <w:r w:rsidR="00BB533A" w:rsidRPr="00EE2373">
        <w:rPr>
          <w:rFonts w:ascii="Arial" w:hAnsi="Arial" w:cs="Arial"/>
        </w:rPr>
        <w:t>l’autorité signataire du marché</w:t>
      </w:r>
      <w:r w:rsidR="00752523" w:rsidRPr="00EE2373">
        <w:rPr>
          <w:rFonts w:ascii="Arial" w:hAnsi="Arial" w:cs="Arial"/>
        </w:rPr>
        <w:t xml:space="preserve"> </w:t>
      </w:r>
      <w:r w:rsidRPr="00EE2373">
        <w:rPr>
          <w:rFonts w:ascii="Arial" w:hAnsi="Arial" w:cs="Arial"/>
        </w:rPr>
        <w:t>et le titulaire</w:t>
      </w:r>
      <w:r w:rsidR="00AE3691" w:rsidRPr="00EE2373">
        <w:rPr>
          <w:rFonts w:ascii="Arial" w:hAnsi="Arial" w:cs="Arial"/>
        </w:rPr>
        <w:t> </w:t>
      </w:r>
      <w:r w:rsidR="00FC4FC4" w:rsidRPr="00EE2373">
        <w:rPr>
          <w:rFonts w:ascii="Arial" w:hAnsi="Arial" w:cs="Arial"/>
        </w:rPr>
        <w:t>et son annex</w:t>
      </w:r>
      <w:r w:rsidRPr="00EE2373">
        <w:rPr>
          <w:rFonts w:ascii="Arial" w:hAnsi="Arial" w:cs="Arial"/>
        </w:rPr>
        <w:t>e financière</w:t>
      </w:r>
      <w:r w:rsidR="00AE3691" w:rsidRPr="00EE2373">
        <w:rPr>
          <w:rFonts w:ascii="Arial" w:hAnsi="Arial" w:cs="Arial"/>
        </w:rPr>
        <w:t> ;</w:t>
      </w:r>
    </w:p>
    <w:p w14:paraId="52EDEAA6" w14:textId="65D85E17" w:rsidR="00D57C8E" w:rsidRPr="00E86A5D" w:rsidRDefault="00D57C8E" w:rsidP="00E86A5D">
      <w:pPr>
        <w:pStyle w:val="Listepuces"/>
        <w:rPr>
          <w:rFonts w:ascii="Arial" w:hAnsi="Arial" w:cs="Arial"/>
        </w:rPr>
      </w:pPr>
      <w:proofErr w:type="gramStart"/>
      <w:r w:rsidRPr="00E86A5D">
        <w:rPr>
          <w:rFonts w:ascii="Arial" w:hAnsi="Arial" w:cs="Arial"/>
        </w:rPr>
        <w:t>le</w:t>
      </w:r>
      <w:proofErr w:type="gramEnd"/>
      <w:r w:rsidRPr="00E86A5D">
        <w:rPr>
          <w:rFonts w:ascii="Arial" w:hAnsi="Arial" w:cs="Arial"/>
        </w:rPr>
        <w:t xml:space="preserve"> cahier des Clauses Techniques Particulières (C.C.T.P.) (et ses annexes éventuelles) contenant es exigences techniques (document joint) N° </w:t>
      </w:r>
      <w:r w:rsidRPr="00E86A5D">
        <w:rPr>
          <w:rFonts w:ascii="Arial" w:hAnsi="Arial" w:cs="Arial"/>
          <w:b/>
        </w:rPr>
        <w:t>DSSFB/</w:t>
      </w:r>
      <w:r w:rsidR="00B54E41" w:rsidRPr="00E86A5D">
        <w:rPr>
          <w:rFonts w:ascii="Arial" w:hAnsi="Arial" w:cs="Arial"/>
          <w:b/>
        </w:rPr>
        <w:t>SDL/518/Indice</w:t>
      </w:r>
      <w:r w:rsidR="00E86A5D" w:rsidRPr="00E86A5D">
        <w:rPr>
          <w:rFonts w:ascii="Arial" w:hAnsi="Arial" w:cs="Arial"/>
          <w:b/>
        </w:rPr>
        <w:t xml:space="preserve"> E</w:t>
      </w:r>
      <w:r w:rsidR="00E86A5D">
        <w:rPr>
          <w:rFonts w:ascii="Arial" w:hAnsi="Arial" w:cs="Arial"/>
        </w:rPr>
        <w:t xml:space="preserve"> ainsi que </w:t>
      </w:r>
      <w:proofErr w:type="spellStart"/>
      <w:r w:rsidR="00E86A5D" w:rsidRPr="00E86A5D">
        <w:rPr>
          <w:rFonts w:ascii="Arial" w:hAnsi="Arial" w:cs="Arial"/>
        </w:rPr>
        <w:t>que</w:t>
      </w:r>
      <w:proofErr w:type="spellEnd"/>
      <w:r w:rsidR="00E86A5D" w:rsidRPr="00E86A5D">
        <w:rPr>
          <w:rFonts w:ascii="Arial" w:hAnsi="Arial" w:cs="Arial"/>
        </w:rPr>
        <w:t xml:space="preserve"> </w:t>
      </w:r>
      <w:r w:rsidR="00E86A5D">
        <w:rPr>
          <w:rFonts w:ascii="Arial" w:hAnsi="Arial" w:cs="Arial"/>
        </w:rPr>
        <w:t>l</w:t>
      </w:r>
      <w:r w:rsidR="00E86A5D" w:rsidRPr="00E86A5D">
        <w:rPr>
          <w:rFonts w:ascii="Arial" w:hAnsi="Arial" w:cs="Arial"/>
        </w:rPr>
        <w:t xml:space="preserve">es Spécifications Générales d’approvisionnement de rechanges standards </w:t>
      </w:r>
      <w:r w:rsidR="00E86A5D" w:rsidRPr="00E86A5D">
        <w:rPr>
          <w:rFonts w:ascii="Arial" w:hAnsi="Arial" w:cs="Arial"/>
          <w:b/>
        </w:rPr>
        <w:t>n°SDLOG/260/O.</w:t>
      </w:r>
      <w:r w:rsidR="00E86A5D" w:rsidRPr="00E86A5D">
        <w:rPr>
          <w:rFonts w:ascii="Arial" w:hAnsi="Arial" w:cs="Arial"/>
        </w:rPr>
        <w:t xml:space="preserve"> </w:t>
      </w:r>
    </w:p>
    <w:p w14:paraId="0C4FCF07" w14:textId="77777777" w:rsidR="00D57C8E" w:rsidRPr="00EE2373" w:rsidRDefault="00D57C8E" w:rsidP="00E86A5D">
      <w:pPr>
        <w:pStyle w:val="Listepuces"/>
        <w:rPr>
          <w:rFonts w:ascii="Arial" w:hAnsi="Arial" w:cs="Arial"/>
        </w:rPr>
      </w:pPr>
      <w:proofErr w:type="gramStart"/>
      <w:r w:rsidRPr="00EE2373">
        <w:rPr>
          <w:rFonts w:ascii="Arial" w:hAnsi="Arial" w:cs="Arial"/>
        </w:rPr>
        <w:t>le</w:t>
      </w:r>
      <w:proofErr w:type="gramEnd"/>
      <w:r w:rsidRPr="00EE2373">
        <w:rPr>
          <w:rFonts w:ascii="Arial" w:hAnsi="Arial" w:cs="Arial"/>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rPr>
        <w:t>30 mars 2021</w:t>
      </w:r>
      <w:r w:rsidRPr="00EE2373">
        <w:rPr>
          <w:rFonts w:ascii="Arial" w:hAnsi="Arial" w:cs="Arial"/>
        </w:rPr>
        <w:t xml:space="preserve"> et publié au journal officiel du </w:t>
      </w:r>
      <w:r w:rsidR="009166C2" w:rsidRPr="00EE2373">
        <w:rPr>
          <w:rFonts w:ascii="Arial" w:hAnsi="Arial" w:cs="Arial"/>
        </w:rPr>
        <w:t>01</w:t>
      </w:r>
      <w:r w:rsidRPr="00EE2373">
        <w:rPr>
          <w:rFonts w:ascii="Arial" w:hAnsi="Arial" w:cs="Arial"/>
        </w:rPr>
        <w:t xml:space="preserve"> </w:t>
      </w:r>
      <w:r w:rsidR="009166C2" w:rsidRPr="00EE2373">
        <w:rPr>
          <w:rFonts w:ascii="Arial" w:hAnsi="Arial" w:cs="Arial"/>
        </w:rPr>
        <w:t>av</w:t>
      </w:r>
      <w:r w:rsidR="00B13649" w:rsidRPr="00EE2373">
        <w:rPr>
          <w:rFonts w:ascii="Arial" w:hAnsi="Arial" w:cs="Arial"/>
        </w:rPr>
        <w:t>r</w:t>
      </w:r>
      <w:r w:rsidR="009166C2" w:rsidRPr="00EE2373">
        <w:rPr>
          <w:rFonts w:ascii="Arial" w:hAnsi="Arial" w:cs="Arial"/>
        </w:rPr>
        <w:t>il 2021</w:t>
      </w:r>
      <w:r w:rsidRPr="00EE2373">
        <w:rPr>
          <w:rFonts w:ascii="Arial" w:hAnsi="Arial" w:cs="Arial"/>
        </w:rPr>
        <w:t xml:space="preserve"> (dit CCAG-FCS, document non joint, mais dont le titulaire d</w:t>
      </w:r>
      <w:r w:rsidR="00E67FB0" w:rsidRPr="00EE2373">
        <w:rPr>
          <w:rFonts w:ascii="Arial" w:hAnsi="Arial" w:cs="Arial"/>
        </w:rPr>
        <w:t>éclare avoir pris connaissance), à l’exception d</w:t>
      </w:r>
      <w:r w:rsidR="00C650DF" w:rsidRPr="00EE2373">
        <w:rPr>
          <w:rFonts w:ascii="Arial" w:hAnsi="Arial" w:cs="Arial"/>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D71C2C" w14:textId="705EADEE" w:rsidR="00E86A5D" w:rsidRDefault="00D57C8E" w:rsidP="00E86A5D">
      <w:pPr>
        <w:tabs>
          <w:tab w:val="left" w:pos="851"/>
          <w:tab w:val="left" w:pos="4678"/>
        </w:tabs>
        <w:spacing w:before="60"/>
        <w:ind w:left="426" w:right="-28"/>
        <w:jc w:val="both"/>
        <w:rPr>
          <w:rFonts w:cs="Arial"/>
          <w:sz w:val="22"/>
          <w:szCs w:val="22"/>
        </w:rPr>
      </w:pPr>
      <w:r w:rsidRPr="00EE2373">
        <w:rPr>
          <w:rFonts w:ascii="Arial" w:hAnsi="Arial" w:cs="Arial"/>
          <w:b/>
          <w:bCs/>
          <w:sz w:val="22"/>
          <w:szCs w:val="22"/>
        </w:rPr>
        <w:t>2.1 Prix</w:t>
      </w:r>
    </w:p>
    <w:p w14:paraId="10B77E93" w14:textId="77777777" w:rsidR="00E86A5D" w:rsidRPr="00E86A5D" w:rsidRDefault="00E86A5D" w:rsidP="00E86A5D">
      <w:pPr>
        <w:ind w:left="567"/>
        <w:jc w:val="both"/>
        <w:rPr>
          <w:rFonts w:ascii="Arial" w:hAnsi="Arial" w:cs="Arial"/>
          <w:bCs/>
          <w:sz w:val="22"/>
          <w:szCs w:val="24"/>
        </w:rPr>
      </w:pPr>
      <w:r w:rsidRPr="00E86A5D">
        <w:rPr>
          <w:rFonts w:ascii="Arial" w:hAnsi="Arial" w:cs="Arial"/>
          <w:bCs/>
          <w:sz w:val="22"/>
          <w:szCs w:val="24"/>
        </w:rPr>
        <w:t>Les prix unitaires des fournitures définis dans l’annexe financière de l’acte d’engagement sont réputés comprendre tous les frais afférents dont :</w:t>
      </w:r>
    </w:p>
    <w:p w14:paraId="6A7F7902" w14:textId="77777777" w:rsidR="00E86A5D" w:rsidRPr="00E86A5D" w:rsidRDefault="00E86A5D" w:rsidP="00E86A5D">
      <w:pPr>
        <w:numPr>
          <w:ilvl w:val="0"/>
          <w:numId w:val="43"/>
        </w:numPr>
        <w:tabs>
          <w:tab w:val="clear" w:pos="360"/>
        </w:tabs>
        <w:ind w:left="1440" w:hanging="540"/>
        <w:jc w:val="both"/>
        <w:rPr>
          <w:rFonts w:ascii="Arial" w:hAnsi="Arial" w:cs="Arial"/>
          <w:sz w:val="22"/>
          <w:szCs w:val="22"/>
        </w:rPr>
      </w:pPr>
      <w:proofErr w:type="gramStart"/>
      <w:r w:rsidRPr="00E86A5D">
        <w:rPr>
          <w:rFonts w:ascii="Arial" w:hAnsi="Arial" w:cs="Arial"/>
          <w:sz w:val="22"/>
          <w:szCs w:val="22"/>
        </w:rPr>
        <w:t>le</w:t>
      </w:r>
      <w:proofErr w:type="gramEnd"/>
      <w:r w:rsidRPr="00E86A5D">
        <w:rPr>
          <w:rFonts w:ascii="Arial" w:hAnsi="Arial" w:cs="Arial"/>
          <w:sz w:val="22"/>
          <w:szCs w:val="22"/>
        </w:rPr>
        <w:t xml:space="preserve"> conditionnement, l’emballage qui, par dérogation à l’article 20.2.2 du CCAG-FCS devient propriété de l’Etat, l’étiquetage et la manutention, manutention selon les conditions définies dans le CCTP N°DSSFB/SDL/518/indice E, paragraphe 5.2 ( </w:t>
      </w:r>
      <w:r w:rsidRPr="00E86A5D">
        <w:rPr>
          <w:rFonts w:ascii="Arial" w:hAnsi="Arial" w:cs="Arial"/>
          <w:i/>
          <w:sz w:val="22"/>
          <w:szCs w:val="22"/>
        </w:rPr>
        <w:t>logistique et conditionnement</w:t>
      </w:r>
      <w:r w:rsidRPr="00E86A5D">
        <w:rPr>
          <w:rFonts w:ascii="Arial" w:hAnsi="Arial" w:cs="Arial"/>
          <w:sz w:val="22"/>
          <w:szCs w:val="22"/>
        </w:rPr>
        <w:t>)</w:t>
      </w:r>
    </w:p>
    <w:p w14:paraId="375236FD" w14:textId="77777777" w:rsidR="00E86A5D" w:rsidRPr="00E86A5D" w:rsidRDefault="00E86A5D" w:rsidP="00E86A5D">
      <w:pPr>
        <w:numPr>
          <w:ilvl w:val="0"/>
          <w:numId w:val="43"/>
        </w:numPr>
        <w:tabs>
          <w:tab w:val="clear" w:pos="360"/>
        </w:tabs>
        <w:ind w:left="1440" w:hanging="540"/>
        <w:jc w:val="both"/>
        <w:rPr>
          <w:rFonts w:ascii="Arial" w:hAnsi="Arial" w:cs="Arial"/>
          <w:i/>
          <w:sz w:val="22"/>
          <w:szCs w:val="22"/>
        </w:rPr>
      </w:pPr>
      <w:r w:rsidRPr="00E86A5D">
        <w:rPr>
          <w:rFonts w:ascii="Arial" w:hAnsi="Arial" w:cs="Arial"/>
          <w:sz w:val="22"/>
          <w:szCs w:val="22"/>
        </w:rPr>
        <w:t xml:space="preserve">L'identification et le marquage selon les conditions définies dans le CCTP N°DSSFB/SDL/518/indice E, paragraphe 5.3 </w:t>
      </w:r>
      <w:r w:rsidRPr="00E86A5D">
        <w:rPr>
          <w:rFonts w:ascii="Arial" w:hAnsi="Arial" w:cs="Arial"/>
          <w:i/>
          <w:sz w:val="22"/>
          <w:szCs w:val="22"/>
        </w:rPr>
        <w:t>(identification et marquage)</w:t>
      </w:r>
    </w:p>
    <w:p w14:paraId="68146C03" w14:textId="77777777" w:rsidR="00E86A5D" w:rsidRPr="00E86A5D" w:rsidRDefault="00E86A5D" w:rsidP="00E86A5D">
      <w:pPr>
        <w:numPr>
          <w:ilvl w:val="0"/>
          <w:numId w:val="43"/>
        </w:numPr>
        <w:tabs>
          <w:tab w:val="clear" w:pos="360"/>
        </w:tabs>
        <w:ind w:left="1440" w:hanging="540"/>
        <w:jc w:val="both"/>
        <w:rPr>
          <w:rFonts w:ascii="Arial" w:hAnsi="Arial" w:cs="Arial"/>
          <w:sz w:val="22"/>
          <w:szCs w:val="22"/>
        </w:rPr>
      </w:pPr>
      <w:r w:rsidRPr="00E86A5D">
        <w:rPr>
          <w:rFonts w:ascii="Arial" w:hAnsi="Arial" w:cs="Arial"/>
          <w:sz w:val="22"/>
          <w:szCs w:val="22"/>
        </w:rPr>
        <w:t>Les preuves de conformités définies dans le CCTP N°DSSFB/SDL/518/indice E paragraphe 6.2 (preuves</w:t>
      </w:r>
      <w:r w:rsidRPr="00E86A5D">
        <w:rPr>
          <w:rFonts w:ascii="Arial" w:hAnsi="Arial" w:cs="Arial"/>
          <w:i/>
          <w:sz w:val="22"/>
          <w:szCs w:val="22"/>
        </w:rPr>
        <w:t xml:space="preserve"> de conformité</w:t>
      </w:r>
      <w:r w:rsidRPr="00E86A5D">
        <w:rPr>
          <w:rFonts w:ascii="Arial" w:hAnsi="Arial" w:cs="Arial"/>
          <w:sz w:val="22"/>
          <w:szCs w:val="22"/>
        </w:rPr>
        <w:t>)</w:t>
      </w:r>
    </w:p>
    <w:p w14:paraId="7280A2B4" w14:textId="77777777" w:rsidR="00E86A5D" w:rsidRPr="00E86A5D" w:rsidRDefault="00E86A5D" w:rsidP="00E86A5D">
      <w:pPr>
        <w:numPr>
          <w:ilvl w:val="0"/>
          <w:numId w:val="43"/>
        </w:numPr>
        <w:tabs>
          <w:tab w:val="clear" w:pos="360"/>
        </w:tabs>
        <w:ind w:left="1440" w:hanging="540"/>
        <w:jc w:val="both"/>
        <w:rPr>
          <w:rFonts w:ascii="Arial" w:hAnsi="Arial" w:cs="Arial"/>
          <w:sz w:val="22"/>
          <w:szCs w:val="22"/>
        </w:rPr>
      </w:pPr>
      <w:r w:rsidRPr="00E86A5D">
        <w:rPr>
          <w:rFonts w:ascii="Arial" w:hAnsi="Arial" w:cs="Arial"/>
          <w:sz w:val="22"/>
          <w:szCs w:val="22"/>
        </w:rPr>
        <w:t>L’ensemble des contrôles et essais prévus dans le CCTP N°DSSFB/SDL/518/indice E,</w:t>
      </w:r>
    </w:p>
    <w:p w14:paraId="4BEEB7A5" w14:textId="77777777" w:rsidR="00E86A5D" w:rsidRPr="00E86A5D" w:rsidRDefault="00E86A5D" w:rsidP="00E86A5D">
      <w:pPr>
        <w:numPr>
          <w:ilvl w:val="0"/>
          <w:numId w:val="43"/>
        </w:numPr>
        <w:tabs>
          <w:tab w:val="clear" w:pos="360"/>
        </w:tabs>
        <w:ind w:left="1440" w:hanging="540"/>
        <w:jc w:val="both"/>
        <w:rPr>
          <w:rFonts w:ascii="Arial" w:hAnsi="Arial" w:cs="Arial"/>
          <w:sz w:val="22"/>
          <w:szCs w:val="22"/>
        </w:rPr>
      </w:pPr>
      <w:r w:rsidRPr="00E86A5D">
        <w:rPr>
          <w:rFonts w:ascii="Arial" w:hAnsi="Arial" w:cs="Arial"/>
          <w:sz w:val="22"/>
          <w:szCs w:val="22"/>
        </w:rPr>
        <w:t>Les documents liés à la livraison définies dans le paragraphe 6 de la SGA,</w:t>
      </w:r>
    </w:p>
    <w:p w14:paraId="20081048" w14:textId="77777777" w:rsidR="00E86A5D" w:rsidRPr="00E86A5D" w:rsidRDefault="00E86A5D" w:rsidP="00E86A5D">
      <w:pPr>
        <w:numPr>
          <w:ilvl w:val="0"/>
          <w:numId w:val="43"/>
        </w:numPr>
        <w:tabs>
          <w:tab w:val="clear" w:pos="360"/>
          <w:tab w:val="num" w:pos="1440"/>
        </w:tabs>
        <w:ind w:left="900" w:firstLine="0"/>
        <w:rPr>
          <w:rFonts w:ascii="Arial" w:hAnsi="Arial" w:cs="Arial"/>
          <w:sz w:val="22"/>
          <w:szCs w:val="22"/>
        </w:rPr>
      </w:pPr>
      <w:proofErr w:type="gramStart"/>
      <w:r w:rsidRPr="00E86A5D">
        <w:rPr>
          <w:rFonts w:ascii="Arial" w:hAnsi="Arial" w:cs="Arial"/>
          <w:sz w:val="22"/>
          <w:szCs w:val="22"/>
        </w:rPr>
        <w:t>l’assurance</w:t>
      </w:r>
      <w:proofErr w:type="gramEnd"/>
      <w:r w:rsidRPr="00E86A5D">
        <w:rPr>
          <w:rFonts w:ascii="Arial" w:hAnsi="Arial" w:cs="Arial"/>
          <w:sz w:val="22"/>
          <w:szCs w:val="22"/>
        </w:rPr>
        <w:t>,</w:t>
      </w:r>
    </w:p>
    <w:p w14:paraId="70655DBD" w14:textId="77777777" w:rsidR="00E86A5D" w:rsidRPr="00E86A5D" w:rsidRDefault="00E86A5D" w:rsidP="00E86A5D">
      <w:pPr>
        <w:numPr>
          <w:ilvl w:val="0"/>
          <w:numId w:val="43"/>
        </w:numPr>
        <w:tabs>
          <w:tab w:val="num" w:pos="900"/>
        </w:tabs>
        <w:ind w:left="900" w:firstLine="0"/>
        <w:rPr>
          <w:rFonts w:ascii="Arial" w:hAnsi="Arial" w:cs="Arial"/>
          <w:sz w:val="22"/>
          <w:szCs w:val="22"/>
        </w:rPr>
      </w:pPr>
      <w:proofErr w:type="gramStart"/>
      <w:r w:rsidRPr="00E86A5D">
        <w:rPr>
          <w:rFonts w:ascii="Arial" w:hAnsi="Arial" w:cs="Arial"/>
          <w:sz w:val="22"/>
          <w:szCs w:val="22"/>
        </w:rPr>
        <w:t>le</w:t>
      </w:r>
      <w:proofErr w:type="gramEnd"/>
      <w:r w:rsidRPr="00E86A5D">
        <w:rPr>
          <w:rFonts w:ascii="Arial" w:hAnsi="Arial" w:cs="Arial"/>
          <w:sz w:val="22"/>
          <w:szCs w:val="22"/>
        </w:rPr>
        <w:t xml:space="preserve"> chargement,</w:t>
      </w:r>
    </w:p>
    <w:p w14:paraId="7BCA15B7" w14:textId="65358374" w:rsidR="00E86A5D" w:rsidRPr="00E86A5D" w:rsidRDefault="00E86A5D" w:rsidP="00E86A5D">
      <w:pPr>
        <w:numPr>
          <w:ilvl w:val="0"/>
          <w:numId w:val="43"/>
        </w:numPr>
        <w:tabs>
          <w:tab w:val="num" w:pos="900"/>
        </w:tabs>
        <w:ind w:left="900" w:firstLine="0"/>
        <w:rPr>
          <w:rFonts w:ascii="Arial" w:hAnsi="Arial" w:cs="Arial"/>
          <w:sz w:val="22"/>
          <w:szCs w:val="22"/>
        </w:rPr>
      </w:pPr>
      <w:proofErr w:type="gramStart"/>
      <w:r w:rsidRPr="00E86A5D">
        <w:rPr>
          <w:rFonts w:ascii="Arial" w:hAnsi="Arial" w:cs="Arial"/>
          <w:sz w:val="22"/>
          <w:szCs w:val="22"/>
        </w:rPr>
        <w:t>les</w:t>
      </w:r>
      <w:proofErr w:type="gramEnd"/>
      <w:r w:rsidRPr="00E86A5D">
        <w:rPr>
          <w:rFonts w:ascii="Arial" w:hAnsi="Arial" w:cs="Arial"/>
          <w:sz w:val="22"/>
          <w:szCs w:val="22"/>
        </w:rPr>
        <w:t xml:space="preserve"> garanties définies à l’article </w:t>
      </w:r>
      <w:r w:rsidR="00815D7E">
        <w:rPr>
          <w:rFonts w:ascii="Arial" w:hAnsi="Arial" w:cs="Arial"/>
          <w:sz w:val="22"/>
          <w:szCs w:val="22"/>
        </w:rPr>
        <w:t>5</w:t>
      </w:r>
      <w:r w:rsidRPr="00E86A5D">
        <w:rPr>
          <w:rFonts w:ascii="Arial" w:hAnsi="Arial" w:cs="Arial"/>
          <w:sz w:val="22"/>
          <w:szCs w:val="22"/>
        </w:rPr>
        <w:t xml:space="preserve"> ci-après,</w:t>
      </w:r>
    </w:p>
    <w:p w14:paraId="12B009A4" w14:textId="77777777" w:rsidR="00E86A5D" w:rsidRPr="00E86A5D" w:rsidRDefault="00E86A5D" w:rsidP="00E86A5D">
      <w:pPr>
        <w:numPr>
          <w:ilvl w:val="0"/>
          <w:numId w:val="43"/>
        </w:numPr>
        <w:tabs>
          <w:tab w:val="num" w:pos="900"/>
        </w:tabs>
        <w:ind w:left="900" w:firstLine="0"/>
        <w:rPr>
          <w:rFonts w:ascii="Arial" w:hAnsi="Arial" w:cs="Arial"/>
          <w:sz w:val="22"/>
          <w:szCs w:val="22"/>
        </w:rPr>
      </w:pPr>
      <w:proofErr w:type="gramStart"/>
      <w:r w:rsidRPr="00E86A5D">
        <w:rPr>
          <w:rFonts w:ascii="Arial" w:hAnsi="Arial" w:cs="Arial"/>
          <w:sz w:val="22"/>
          <w:szCs w:val="22"/>
        </w:rPr>
        <w:t>le</w:t>
      </w:r>
      <w:proofErr w:type="gramEnd"/>
      <w:r w:rsidRPr="00E86A5D">
        <w:rPr>
          <w:rFonts w:ascii="Arial" w:hAnsi="Arial" w:cs="Arial"/>
          <w:sz w:val="22"/>
          <w:szCs w:val="22"/>
        </w:rPr>
        <w:t xml:space="preserve"> transport (franco de port en métropole exclusivement) jusqu’au lieu de livraison,</w:t>
      </w:r>
    </w:p>
    <w:p w14:paraId="066E8B4F" w14:textId="77777777" w:rsidR="00E86A5D" w:rsidRPr="00E86A5D" w:rsidRDefault="00E86A5D" w:rsidP="00E86A5D">
      <w:pPr>
        <w:numPr>
          <w:ilvl w:val="0"/>
          <w:numId w:val="43"/>
        </w:numPr>
        <w:tabs>
          <w:tab w:val="num" w:pos="900"/>
        </w:tabs>
        <w:ind w:left="900" w:firstLine="0"/>
        <w:rPr>
          <w:rFonts w:ascii="Arial" w:hAnsi="Arial" w:cs="Arial"/>
          <w:sz w:val="22"/>
          <w:szCs w:val="22"/>
        </w:rPr>
      </w:pPr>
      <w:proofErr w:type="gramStart"/>
      <w:r w:rsidRPr="00E86A5D">
        <w:rPr>
          <w:rFonts w:ascii="Arial" w:hAnsi="Arial" w:cs="Arial"/>
          <w:sz w:val="22"/>
          <w:szCs w:val="22"/>
        </w:rPr>
        <w:t>la</w:t>
      </w:r>
      <w:proofErr w:type="gramEnd"/>
      <w:r w:rsidRPr="00E86A5D">
        <w:rPr>
          <w:rFonts w:ascii="Arial" w:hAnsi="Arial" w:cs="Arial"/>
          <w:sz w:val="22"/>
          <w:szCs w:val="22"/>
        </w:rPr>
        <w:t xml:space="preserve"> documentation ou notices (en Français),</w:t>
      </w:r>
    </w:p>
    <w:p w14:paraId="59E3080D" w14:textId="77777777" w:rsidR="00E86A5D" w:rsidRPr="00E86A5D" w:rsidRDefault="00E86A5D" w:rsidP="00E86A5D">
      <w:pPr>
        <w:numPr>
          <w:ilvl w:val="0"/>
          <w:numId w:val="43"/>
        </w:numPr>
        <w:tabs>
          <w:tab w:val="num" w:pos="900"/>
        </w:tabs>
        <w:ind w:left="900" w:firstLine="0"/>
        <w:rPr>
          <w:rFonts w:ascii="Arial" w:hAnsi="Arial" w:cs="Arial"/>
          <w:bCs/>
          <w:sz w:val="22"/>
        </w:rPr>
      </w:pPr>
      <w:proofErr w:type="gramStart"/>
      <w:r w:rsidRPr="00E86A5D">
        <w:rPr>
          <w:rFonts w:ascii="Arial" w:hAnsi="Arial" w:cs="Arial"/>
          <w:sz w:val="22"/>
          <w:szCs w:val="22"/>
        </w:rPr>
        <w:t>le</w:t>
      </w:r>
      <w:proofErr w:type="gramEnd"/>
      <w:r w:rsidRPr="00E86A5D">
        <w:rPr>
          <w:rFonts w:ascii="Arial" w:hAnsi="Arial" w:cs="Arial"/>
          <w:sz w:val="22"/>
          <w:szCs w:val="22"/>
        </w:rPr>
        <w:t xml:space="preserve"> déchargement à destination et aux opérations de vérifications,</w:t>
      </w:r>
    </w:p>
    <w:p w14:paraId="75B8B6F5" w14:textId="77777777" w:rsidR="00E86A5D" w:rsidRPr="00E86A5D" w:rsidRDefault="00E86A5D" w:rsidP="00E86A5D">
      <w:pPr>
        <w:numPr>
          <w:ilvl w:val="0"/>
          <w:numId w:val="43"/>
        </w:numPr>
        <w:tabs>
          <w:tab w:val="num" w:pos="900"/>
        </w:tabs>
        <w:ind w:left="900" w:firstLine="0"/>
        <w:rPr>
          <w:rFonts w:ascii="Arial" w:hAnsi="Arial" w:cs="Arial"/>
          <w:bCs/>
          <w:sz w:val="22"/>
        </w:rPr>
      </w:pPr>
      <w:proofErr w:type="gramStart"/>
      <w:r w:rsidRPr="00E86A5D">
        <w:rPr>
          <w:rFonts w:ascii="Arial" w:hAnsi="Arial" w:cs="Arial"/>
          <w:bCs/>
          <w:sz w:val="22"/>
        </w:rPr>
        <w:t>le</w:t>
      </w:r>
      <w:proofErr w:type="gramEnd"/>
      <w:r w:rsidRPr="00E86A5D">
        <w:rPr>
          <w:rFonts w:ascii="Arial" w:hAnsi="Arial" w:cs="Arial"/>
          <w:bCs/>
          <w:sz w:val="22"/>
        </w:rPr>
        <w:t xml:space="preserve"> certificat de conformité,</w:t>
      </w:r>
    </w:p>
    <w:p w14:paraId="4A4FC5D8" w14:textId="138559D6" w:rsidR="00E86A5D" w:rsidRPr="00E86A5D" w:rsidRDefault="00E86A5D" w:rsidP="00E86A5D">
      <w:pPr>
        <w:numPr>
          <w:ilvl w:val="0"/>
          <w:numId w:val="43"/>
        </w:numPr>
        <w:tabs>
          <w:tab w:val="num" w:pos="900"/>
        </w:tabs>
        <w:ind w:left="900" w:firstLine="0"/>
        <w:rPr>
          <w:rFonts w:ascii="Arial" w:hAnsi="Arial" w:cs="Arial"/>
          <w:bCs/>
          <w:sz w:val="22"/>
        </w:rPr>
      </w:pPr>
      <w:proofErr w:type="gramStart"/>
      <w:r w:rsidRPr="00E86A5D">
        <w:rPr>
          <w:rFonts w:ascii="Arial" w:hAnsi="Arial" w:cs="Arial"/>
          <w:bCs/>
          <w:sz w:val="22"/>
        </w:rPr>
        <w:t>la</w:t>
      </w:r>
      <w:proofErr w:type="gramEnd"/>
      <w:r w:rsidRPr="00E86A5D">
        <w:rPr>
          <w:rFonts w:ascii="Arial" w:hAnsi="Arial" w:cs="Arial"/>
          <w:bCs/>
          <w:sz w:val="22"/>
        </w:rPr>
        <w:t xml:space="preserve"> fiche de données de sécurité, le cas échéant</w:t>
      </w:r>
      <w:r w:rsidR="00815D7E">
        <w:rPr>
          <w:rFonts w:ascii="Arial" w:hAnsi="Arial" w:cs="Arial"/>
          <w:bCs/>
          <w:sz w:val="22"/>
        </w:rPr>
        <w:t>.</w:t>
      </w:r>
      <w:bookmarkStart w:id="0" w:name="_GoBack"/>
      <w:bookmarkEnd w:id="0"/>
    </w:p>
    <w:p w14:paraId="7F379A63" w14:textId="77777777" w:rsidR="00E86A5D" w:rsidRDefault="00E86A5D">
      <w:pPr>
        <w:pStyle w:val="Corpsdetexte"/>
        <w:spacing w:before="120" w:after="120" w:line="240" w:lineRule="auto"/>
        <w:ind w:left="567"/>
        <w:jc w:val="both"/>
        <w:rPr>
          <w:rFonts w:cs="Arial"/>
          <w:sz w:val="22"/>
          <w:szCs w:val="22"/>
        </w:rPr>
      </w:pPr>
    </w:p>
    <w:p w14:paraId="5796ACC3" w14:textId="7389B36C"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Pr="006C5473">
        <w:rPr>
          <w:rFonts w:cs="Arial"/>
          <w:b/>
          <w:sz w:val="22"/>
          <w:szCs w:val="22"/>
          <w:u w:val="single"/>
        </w:rPr>
        <w:t xml:space="preserve">de </w:t>
      </w:r>
      <w:r w:rsidR="006C5473" w:rsidRPr="006C5473">
        <w:rPr>
          <w:rFonts w:cs="Arial"/>
          <w:b/>
          <w:sz w:val="22"/>
          <w:szCs w:val="22"/>
          <w:u w:val="single"/>
        </w:rPr>
        <w:t>février 2025</w:t>
      </w:r>
      <w:r w:rsidR="006C5473" w:rsidRPr="006C5473">
        <w:rPr>
          <w:rFonts w:cs="Arial"/>
          <w:b/>
          <w:sz w:val="22"/>
          <w:szCs w:val="22"/>
        </w:rPr>
        <w:t xml:space="preserve"> </w:t>
      </w:r>
      <w:r w:rsidR="00456A5E" w:rsidRPr="006C5473">
        <w:rPr>
          <w:rFonts w:cs="Arial"/>
          <w:b/>
          <w:sz w:val="22"/>
          <w:szCs w:val="22"/>
        </w:rPr>
        <w:t>(</w:t>
      </w:r>
      <w:r w:rsidR="00456A5E" w:rsidRPr="006C5473">
        <w:rPr>
          <w:rFonts w:cs="Arial"/>
          <w:sz w:val="22"/>
          <w:szCs w:val="22"/>
        </w:rPr>
        <w:t>mois</w:t>
      </w:r>
      <w:r w:rsidR="00456A5E">
        <w:rPr>
          <w:rFonts w:cs="Arial"/>
          <w:sz w:val="22"/>
          <w:szCs w:val="22"/>
          <w:lang w:val="fr-FR"/>
        </w:rPr>
        <w:t xml:space="preserve">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02A56A7D" w:rsidR="00BA5DF3"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5C424C3F" w:rsidR="00BA5DF3" w:rsidRPr="004C36E5" w:rsidRDefault="006C5473" w:rsidP="00BA5DF3">
      <w:pPr>
        <w:ind w:left="900"/>
        <w:rPr>
          <w:rFonts w:ascii="Arial" w:hAnsi="Arial" w:cs="Arial"/>
          <w:b/>
          <w:i/>
          <w:sz w:val="22"/>
          <w:szCs w:val="22"/>
        </w:rPr>
      </w:pPr>
      <w:r w:rsidRPr="004C36E5">
        <w:rPr>
          <w:rFonts w:ascii="Arial" w:hAnsi="Arial" w:cs="Arial"/>
          <w:color w:val="FF0000"/>
          <w:position w:val="-30"/>
          <w:sz w:val="22"/>
          <w:szCs w:val="22"/>
        </w:rPr>
        <w:object w:dxaOrig="4740" w:dyaOrig="70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34.5pt" o:ole="" fillcolor="window">
            <v:imagedata r:id="rId10" o:title=""/>
          </v:shape>
          <o:OLEObject Type="Embed" ProgID="Equation.3" ShapeID="_x0000_i1025" DrawAspect="Content" ObjectID="_1799154815"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lastRenderedPageBreak/>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minimum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2883F685"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63661522" w14:textId="3A2923F1" w:rsidR="007F0DF0" w:rsidRDefault="007F0DF0" w:rsidP="00190BCD">
      <w:pPr>
        <w:pStyle w:val="Listepuces"/>
        <w:rPr>
          <w:rFonts w:ascii="Arial" w:hAnsi="Arial" w:cs="Arial"/>
        </w:rPr>
      </w:pP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lastRenderedPageBreak/>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0322431"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2" type="#_x0000_t75" style="width:404.25pt;height:18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5541EF88" w14:textId="508A68B5" w:rsidR="0078721F" w:rsidRPr="0078721F" w:rsidRDefault="0078721F" w:rsidP="006C5473">
      <w:pPr>
        <w:ind w:firstLine="567"/>
        <w:rPr>
          <w:rFonts w:ascii="Arial" w:hAnsi="Arial" w:cs="Arial"/>
          <w:b/>
          <w:sz w:val="22"/>
          <w:szCs w:val="22"/>
        </w:rPr>
      </w:pP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3307F88"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75pt;height:27.75pt" o:ole="" fillcolor="window">
            <v:imagedata r:id="rId17" o:title=""/>
          </v:shape>
          <o:OLEObject Type="Embed" ProgID="Equation.3" ShapeID="_x0000_i1030" DrawAspect="Content" ObjectID="_1799154816"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lastRenderedPageBreak/>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lastRenderedPageBreak/>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F03BFC" w:rsidRDefault="00F03BFC">
      <w:r>
        <w:separator/>
      </w:r>
    </w:p>
  </w:endnote>
  <w:endnote w:type="continuationSeparator" w:id="0">
    <w:p w14:paraId="2343045C" w14:textId="77777777" w:rsidR="00F03BFC" w:rsidRDefault="00F03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F03BFC" w:rsidRDefault="00F03BF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F03BFC" w:rsidRDefault="00F03BF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54ED783" w:rsidR="00F03BFC" w:rsidRPr="003F038E" w:rsidRDefault="00F03BFC">
    <w:pPr>
      <w:pStyle w:val="Notedebasdepage"/>
      <w:tabs>
        <w:tab w:val="left" w:pos="6521"/>
      </w:tabs>
      <w:ind w:right="-114"/>
      <w:rPr>
        <w:rStyle w:val="Numrodepage"/>
        <w:i/>
        <w:iCs/>
        <w:noProof/>
        <w:sz w:val="16"/>
        <w:szCs w:val="16"/>
      </w:rPr>
    </w:pPr>
    <w:r>
      <w:rPr>
        <w:rStyle w:val="Numrodepage"/>
      </w:rPr>
      <w:t>M</w:t>
    </w:r>
    <w:r w:rsidR="00027D09">
      <w:rPr>
        <w:rStyle w:val="Numrodepage"/>
      </w:rPr>
      <w:t>arché N° S25B00059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15D7E">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15D7E">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F03BFC" w:rsidRDefault="00F03BFC">
      <w:r>
        <w:separator/>
      </w:r>
    </w:p>
  </w:footnote>
  <w:footnote w:type="continuationSeparator" w:id="0">
    <w:p w14:paraId="45DF79C4" w14:textId="77777777" w:rsidR="00F03BFC" w:rsidRDefault="00F03BFC">
      <w:r>
        <w:continuationSeparator/>
      </w:r>
    </w:p>
  </w:footnote>
  <w:footnote w:id="1">
    <w:p w14:paraId="4628B3C8" w14:textId="77777777" w:rsidR="00F03BFC" w:rsidRDefault="00F03BFC"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470E7D"/>
    <w:multiLevelType w:val="hybridMultilevel"/>
    <w:tmpl w:val="1E6694F4"/>
    <w:lvl w:ilvl="0" w:tplc="D976163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0"/>
        </w:tabs>
        <w:ind w:left="3600" w:hanging="360"/>
      </w:pPr>
      <w:rPr>
        <w:rFonts w:ascii="Courier New" w:hAnsi="Courier New" w:cs="Courier New" w:hint="default"/>
      </w:rPr>
    </w:lvl>
    <w:lvl w:ilvl="2" w:tplc="040C0005" w:tentative="1">
      <w:start w:val="1"/>
      <w:numFmt w:val="bullet"/>
      <w:lvlText w:val=""/>
      <w:lvlJc w:val="left"/>
      <w:pPr>
        <w:tabs>
          <w:tab w:val="num" w:pos="4320"/>
        </w:tabs>
        <w:ind w:left="4320" w:hanging="360"/>
      </w:pPr>
      <w:rPr>
        <w:rFonts w:ascii="Wingdings" w:hAnsi="Wingdings" w:hint="default"/>
      </w:rPr>
    </w:lvl>
    <w:lvl w:ilvl="3" w:tplc="040C0001" w:tentative="1">
      <w:start w:val="1"/>
      <w:numFmt w:val="bullet"/>
      <w:lvlText w:val=""/>
      <w:lvlJc w:val="left"/>
      <w:pPr>
        <w:tabs>
          <w:tab w:val="num" w:pos="5040"/>
        </w:tabs>
        <w:ind w:left="5040" w:hanging="360"/>
      </w:pPr>
      <w:rPr>
        <w:rFonts w:ascii="Symbol" w:hAnsi="Symbol" w:hint="default"/>
      </w:rPr>
    </w:lvl>
    <w:lvl w:ilvl="4" w:tplc="040C0003" w:tentative="1">
      <w:start w:val="1"/>
      <w:numFmt w:val="bullet"/>
      <w:lvlText w:val="o"/>
      <w:lvlJc w:val="left"/>
      <w:pPr>
        <w:tabs>
          <w:tab w:val="num" w:pos="5760"/>
        </w:tabs>
        <w:ind w:left="5760" w:hanging="360"/>
      </w:pPr>
      <w:rPr>
        <w:rFonts w:ascii="Courier New" w:hAnsi="Courier New" w:cs="Courier New" w:hint="default"/>
      </w:rPr>
    </w:lvl>
    <w:lvl w:ilvl="5" w:tplc="040C0005" w:tentative="1">
      <w:start w:val="1"/>
      <w:numFmt w:val="bullet"/>
      <w:lvlText w:val=""/>
      <w:lvlJc w:val="left"/>
      <w:pPr>
        <w:tabs>
          <w:tab w:val="num" w:pos="6480"/>
        </w:tabs>
        <w:ind w:left="6480" w:hanging="360"/>
      </w:pPr>
      <w:rPr>
        <w:rFonts w:ascii="Wingdings" w:hAnsi="Wingdings" w:hint="default"/>
      </w:rPr>
    </w:lvl>
    <w:lvl w:ilvl="6" w:tplc="040C0001" w:tentative="1">
      <w:start w:val="1"/>
      <w:numFmt w:val="bullet"/>
      <w:lvlText w:val=""/>
      <w:lvlJc w:val="left"/>
      <w:pPr>
        <w:tabs>
          <w:tab w:val="num" w:pos="7200"/>
        </w:tabs>
        <w:ind w:left="7200" w:hanging="360"/>
      </w:pPr>
      <w:rPr>
        <w:rFonts w:ascii="Symbol" w:hAnsi="Symbol" w:hint="default"/>
      </w:rPr>
    </w:lvl>
    <w:lvl w:ilvl="7" w:tplc="040C0003" w:tentative="1">
      <w:start w:val="1"/>
      <w:numFmt w:val="bullet"/>
      <w:lvlText w:val="o"/>
      <w:lvlJc w:val="left"/>
      <w:pPr>
        <w:tabs>
          <w:tab w:val="num" w:pos="7920"/>
        </w:tabs>
        <w:ind w:left="7920" w:hanging="360"/>
      </w:pPr>
      <w:rPr>
        <w:rFonts w:ascii="Courier New" w:hAnsi="Courier New" w:cs="Courier New" w:hint="default"/>
      </w:rPr>
    </w:lvl>
    <w:lvl w:ilvl="8" w:tplc="040C0005" w:tentative="1">
      <w:start w:val="1"/>
      <w:numFmt w:val="bullet"/>
      <w:lvlText w:val=""/>
      <w:lvlJc w:val="left"/>
      <w:pPr>
        <w:tabs>
          <w:tab w:val="num" w:pos="8640"/>
        </w:tabs>
        <w:ind w:left="8640" w:hanging="360"/>
      </w:pPr>
      <w:rPr>
        <w:rFonts w:ascii="Wingdings" w:hAnsi="Wingdings" w:hint="default"/>
      </w:rPr>
    </w:lvl>
  </w:abstractNum>
  <w:abstractNum w:abstractNumId="33"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4"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5"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6"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8"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7"/>
  </w:num>
  <w:num w:numId="5">
    <w:abstractNumId w:val="27"/>
  </w:num>
  <w:num w:numId="6">
    <w:abstractNumId w:val="5"/>
  </w:num>
  <w:num w:numId="7">
    <w:abstractNumId w:val="9"/>
  </w:num>
  <w:num w:numId="8">
    <w:abstractNumId w:val="35"/>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4"/>
  </w:num>
  <w:num w:numId="22">
    <w:abstractNumId w:val="0"/>
  </w:num>
  <w:num w:numId="23">
    <w:abstractNumId w:val="36"/>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40"/>
  </w:num>
  <w:num w:numId="36">
    <w:abstractNumId w:val="33"/>
  </w:num>
  <w:num w:numId="37">
    <w:abstractNumId w:val="25"/>
  </w:num>
  <w:num w:numId="38">
    <w:abstractNumId w:val="18"/>
  </w:num>
  <w:num w:numId="39">
    <w:abstractNumId w:val="15"/>
  </w:num>
  <w:num w:numId="40">
    <w:abstractNumId w:val="39"/>
  </w:num>
  <w:num w:numId="41">
    <w:abstractNumId w:val="27"/>
  </w:num>
  <w:num w:numId="42">
    <w:abstractNumId w:val="10"/>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656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27D0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42D7E"/>
    <w:rsid w:val="006645AB"/>
    <w:rsid w:val="006657A0"/>
    <w:rsid w:val="00676865"/>
    <w:rsid w:val="00676CF1"/>
    <w:rsid w:val="00685881"/>
    <w:rsid w:val="006861F8"/>
    <w:rsid w:val="00686805"/>
    <w:rsid w:val="006C1D33"/>
    <w:rsid w:val="006C2816"/>
    <w:rsid w:val="006C5473"/>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15D7E"/>
    <w:rsid w:val="00822BB9"/>
    <w:rsid w:val="00824611"/>
    <w:rsid w:val="00832D33"/>
    <w:rsid w:val="0083456B"/>
    <w:rsid w:val="0084784D"/>
    <w:rsid w:val="00851A06"/>
    <w:rsid w:val="00862604"/>
    <w:rsid w:val="008716AB"/>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54E41"/>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13D"/>
    <w:rsid w:val="00E67FB0"/>
    <w:rsid w:val="00E80C6A"/>
    <w:rsid w:val="00E8119E"/>
    <w:rsid w:val="00E82F82"/>
    <w:rsid w:val="00E86A5D"/>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656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7E8B3-DF6F-4C14-9511-D0B385F9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3797</Words>
  <Characters>20936</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24684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6</cp:revision>
  <cp:lastPrinted>2025-01-23T15:24:00Z</cp:lastPrinted>
  <dcterms:created xsi:type="dcterms:W3CDTF">2025-01-22T15:07:00Z</dcterms:created>
  <dcterms:modified xsi:type="dcterms:W3CDTF">2025-01-23T15:27:00Z</dcterms:modified>
</cp:coreProperties>
</file>