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37272C25">
                  <wp:extent cx="1463040" cy="57404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04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5CA55242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>Rénovation du bâtiment D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518EA369" w14:textId="48A7EBD1" w:rsidR="00943E03" w:rsidRPr="00D65FA1" w:rsidRDefault="00FC1D9A" w:rsidP="00943E0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</w:pPr>
            <w:r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Lot </w:t>
            </w:r>
            <w:r w:rsidR="00D65FA1"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8 :</w:t>
            </w:r>
            <w:r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 </w:t>
            </w:r>
            <w:r w:rsidR="00D65FA1" w:rsidRP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AGENCEMENT</w:t>
            </w:r>
          </w:p>
          <w:p w14:paraId="688041C8" w14:textId="14546BAD" w:rsidR="00967589" w:rsidRPr="00B77613" w:rsidRDefault="00943E03" w:rsidP="00943E0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(</w:t>
            </w:r>
            <w:r w:rsidR="00D65FA1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CLOISONS VITREES ET MEUBLES SEPARATIFS</w:t>
            </w:r>
            <w:r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)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6564B592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385182">
        <w:rPr>
          <w:rFonts w:eastAsia="Times New Roman" w:cs="Arial"/>
          <w:b/>
          <w:bCs/>
          <w:szCs w:val="20"/>
          <w:lang w:eastAsia="fr-FR"/>
        </w:rPr>
        <w:t>janvier</w:t>
      </w:r>
      <w:r w:rsidR="007D27D6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385182">
        <w:rPr>
          <w:rFonts w:eastAsia="Times New Roman" w:cs="Arial"/>
          <w:b/>
          <w:bCs/>
          <w:szCs w:val="20"/>
          <w:lang w:eastAsia="fr-FR"/>
        </w:rPr>
        <w:t>5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070DD9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1E5F8A6B" w:rsidR="0034388B" w:rsidRPr="0034388B" w:rsidRDefault="000F7BEA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5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3A5A48A3" w:rsidR="0034388B" w:rsidRPr="0034388B" w:rsidRDefault="00D65FA1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1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34A1568E" w:rsidR="0034388B" w:rsidRPr="0034388B" w:rsidRDefault="00D65FA1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1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lastRenderedPageBreak/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3D27B3C3" w14:textId="52FE65B4" w:rsidR="000E1B85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8110195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_Toc181101959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37281A94" w14:textId="1F17AF5C" w:rsidR="000E1B85" w:rsidRDefault="00CB6DE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18907855" w14:textId="6DBE7F31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1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_Toc181101961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7965232D" w14:textId="5374EC25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2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_Toc181101962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38036E6F" w14:textId="4584B2CB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3" w:history="1">
        <w:r w:rsidR="000E1B85" w:rsidRPr="0024148C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Ordonnateur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_Toc181101963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76B0602D" w14:textId="563293DD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4" w:history="1">
        <w:r w:rsidR="000E1B85" w:rsidRPr="0024148C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_Toc181101964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6766A5F7" w14:textId="31426523" w:rsidR="000E1B85" w:rsidRDefault="00CB6DE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5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_Toc181101965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67F9EC17" w14:textId="199DFEAB" w:rsidR="000E1B85" w:rsidRDefault="00CB6DE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6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PRIX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_Toc181101966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4</w:t>
        </w:r>
        <w:r w:rsidR="000E1B85">
          <w:rPr>
            <w:noProof/>
            <w:webHidden/>
          </w:rPr>
          <w:fldChar w:fldCharType="end"/>
        </w:r>
      </w:hyperlink>
    </w:p>
    <w:p w14:paraId="79E315C1" w14:textId="154B19D6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7" w:history="1">
        <w:r w:rsidR="000E1B85" w:rsidRPr="0024148C">
          <w:rPr>
            <w:rStyle w:val="Lienhypertexte"/>
            <w:noProof/>
            <w:lang w:eastAsia="fr-FR"/>
          </w:rPr>
          <w:t>4.1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noProof/>
            <w:lang w:eastAsia="fr-FR"/>
          </w:rPr>
          <w:t>Montant du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_Toc181101967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4</w:t>
        </w:r>
        <w:r w:rsidR="000E1B85">
          <w:rPr>
            <w:noProof/>
            <w:webHidden/>
          </w:rPr>
          <w:fldChar w:fldCharType="end"/>
        </w:r>
      </w:hyperlink>
    </w:p>
    <w:p w14:paraId="17C6806E" w14:textId="3529EBDE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8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_Toc181101968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5</w:t>
        </w:r>
        <w:r w:rsidR="000E1B85">
          <w:rPr>
            <w:noProof/>
            <w:webHidden/>
          </w:rPr>
          <w:fldChar w:fldCharType="end"/>
        </w:r>
      </w:hyperlink>
    </w:p>
    <w:p w14:paraId="3539C46B" w14:textId="72060DE4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04310927" w14:textId="6F3DD68C" w:rsidR="000E1B85" w:rsidRDefault="00CB6DE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6838CD32" w14:textId="1EA5099A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1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Durée du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_Toc181101971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6624E18F" w14:textId="4E0B51C5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2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Période de préparation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_Toc181101972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2FEE2875" w14:textId="767855F5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3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_Toc181101973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5E92CD7E" w14:textId="0155F36D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4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_Toc181101974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0E2556E" w14:textId="5BFE93CA" w:rsidR="000E1B85" w:rsidRDefault="00CB6DEF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5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5.5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_Toc181101975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5F44410" w14:textId="253D68AB" w:rsidR="000E1B85" w:rsidRDefault="00CB6DE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6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6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PAIEMENT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_Toc181101976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6E3F141" w14:textId="5D923C1D" w:rsidR="000E1B85" w:rsidRDefault="00CB6DE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7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7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AVANCE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_Toc181101977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9</w:t>
        </w:r>
        <w:r w:rsidR="000E1B85">
          <w:rPr>
            <w:noProof/>
            <w:webHidden/>
          </w:rPr>
          <w:fldChar w:fldCharType="end"/>
        </w:r>
      </w:hyperlink>
    </w:p>
    <w:p w14:paraId="31AB237B" w14:textId="30E354C2" w:rsidR="000E1B85" w:rsidRDefault="00CB6DE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8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8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CLAUSE D’INSERTION PAR L’ACTIVITE ECONOMIQUE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_Toc181101978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9</w:t>
        </w:r>
        <w:r w:rsidR="000E1B85">
          <w:rPr>
            <w:noProof/>
            <w:webHidden/>
          </w:rPr>
          <w:fldChar w:fldCharType="end"/>
        </w:r>
      </w:hyperlink>
    </w:p>
    <w:p w14:paraId="0D7CE97F" w14:textId="0A77C4EA" w:rsidR="000E1B85" w:rsidRDefault="00CB6DE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9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10</w:t>
        </w:r>
        <w:r w:rsidR="000E1B85">
          <w:rPr>
            <w:noProof/>
            <w:webHidden/>
          </w:rPr>
          <w:fldChar w:fldCharType="end"/>
        </w:r>
      </w:hyperlink>
    </w:p>
    <w:p w14:paraId="0C166F60" w14:textId="6BD35E73" w:rsidR="000E1B85" w:rsidRDefault="00CB6DEF">
      <w:pPr>
        <w:pStyle w:val="TM1"/>
        <w:tabs>
          <w:tab w:val="left" w:pos="72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8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10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_Toc181101980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123719">
          <w:rPr>
            <w:noProof/>
            <w:webHidden/>
          </w:rPr>
          <w:t>10</w:t>
        </w:r>
        <w:r w:rsidR="000E1B85">
          <w:rPr>
            <w:noProof/>
            <w:webHidden/>
          </w:rPr>
          <w:fldChar w:fldCharType="end"/>
        </w:r>
      </w:hyperlink>
    </w:p>
    <w:p w14:paraId="786B6653" w14:textId="2C708234" w:rsidR="00523684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color w:val="2F5496" w:themeColor="accent1" w:themeShade="BF"/>
          <w:sz w:val="32"/>
          <w:szCs w:val="32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181101959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452A4564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>du bâtiment D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</w:t>
      </w:r>
      <w:r w:rsidR="00B77613" w:rsidRPr="00385182">
        <w:rPr>
          <w:rFonts w:eastAsia="Times New Roman" w:cs="Times New Roman"/>
          <w:b/>
          <w:szCs w:val="20"/>
          <w:lang w:eastAsia="fr-FR"/>
        </w:rPr>
        <w:t xml:space="preserve">lot </w:t>
      </w:r>
      <w:r w:rsidR="00D65FA1">
        <w:rPr>
          <w:rFonts w:eastAsia="Times New Roman" w:cs="Times New Roman"/>
          <w:b/>
          <w:szCs w:val="20"/>
          <w:lang w:eastAsia="fr-FR"/>
        </w:rPr>
        <w:t>8</w:t>
      </w:r>
      <w:r w:rsidR="00B77613" w:rsidRPr="00385182">
        <w:rPr>
          <w:rFonts w:eastAsia="Times New Roman" w:cs="Times New Roman"/>
          <w:b/>
          <w:szCs w:val="20"/>
          <w:lang w:eastAsia="fr-FR"/>
        </w:rPr>
        <w:t xml:space="preserve"> : </w:t>
      </w:r>
      <w:r w:rsidR="00D65FA1">
        <w:rPr>
          <w:rFonts w:eastAsia="Times New Roman" w:cs="Times New Roman"/>
          <w:b/>
          <w:szCs w:val="20"/>
          <w:lang w:eastAsia="fr-FR"/>
        </w:rPr>
        <w:t>AGENCEMENT (CLOISONS VITREES ET MEUBLES SEPARATIFS</w:t>
      </w:r>
      <w:r w:rsidR="00CA1BA7" w:rsidRPr="00385182">
        <w:rPr>
          <w:rFonts w:eastAsia="Times New Roman" w:cs="Times New Roman"/>
          <w:b/>
          <w:szCs w:val="20"/>
          <w:lang w:eastAsia="fr-FR"/>
        </w:rPr>
        <w:t>)</w:t>
      </w:r>
      <w:r w:rsidR="00B77613" w:rsidRPr="00385182">
        <w:rPr>
          <w:rFonts w:eastAsia="Times New Roman" w:cs="Times New Roman"/>
          <w:b/>
          <w:szCs w:val="20"/>
          <w:lang w:eastAsia="fr-FR"/>
        </w:rPr>
        <w:t>.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181101960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181101961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181101962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181101963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181101964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181101965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="00CB6DEF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="00CB6DEF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CB6DEF">
        <w:rPr>
          <w:rFonts w:eastAsia="Times New Roman" w:cs="Times New Roman"/>
          <w:szCs w:val="20"/>
          <w:lang w:eastAsia="fr-FR"/>
        </w:rPr>
      </w:r>
      <w:r w:rsidR="00CB6DEF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CB6DEF">
        <w:rPr>
          <w:rFonts w:eastAsia="Times New Roman" w:cs="Times New Roman"/>
          <w:szCs w:val="20"/>
          <w:lang w:eastAsia="fr-FR"/>
        </w:rPr>
      </w:r>
      <w:r w:rsidR="00CB6DEF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CB6DEF">
        <w:rPr>
          <w:rFonts w:eastAsia="Times New Roman" w:cs="Times New Roman"/>
          <w:szCs w:val="20"/>
          <w:lang w:eastAsia="fr-FR"/>
        </w:rPr>
      </w:r>
      <w:r w:rsidR="00CB6DEF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CB6DEF">
        <w:rPr>
          <w:rFonts w:eastAsia="Times New Roman" w:cs="Times New Roman"/>
          <w:szCs w:val="20"/>
          <w:lang w:eastAsia="fr-FR"/>
        </w:rPr>
      </w:r>
      <w:r w:rsidR="00CB6DEF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du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4A4F89AC" w14:textId="77777777" w:rsidR="00BF0866" w:rsidRPr="00BF0866" w:rsidRDefault="00BF0866" w:rsidP="00BF0866">
      <w:pPr>
        <w:numPr>
          <w:ilvl w:val="0"/>
          <w:numId w:val="7"/>
        </w:numPr>
        <w:spacing w:line="240" w:lineRule="auto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181101966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181101967"/>
      <w:r>
        <w:rPr>
          <w:lang w:eastAsia="fr-FR"/>
        </w:rPr>
        <w:t>Montant du marché</w:t>
      </w:r>
      <w:bookmarkEnd w:id="18"/>
      <w:bookmarkEnd w:id="19"/>
    </w:p>
    <w:p w14:paraId="39E2F452" w14:textId="77777777" w:rsidR="00385182" w:rsidRPr="0006136C" w:rsidRDefault="00385182" w:rsidP="00385182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2C3C60E" w14:textId="77777777" w:rsidR="00385182" w:rsidRPr="0006136C" w:rsidRDefault="00385182" w:rsidP="00385182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3B91DFE0" w14:textId="77777777" w:rsidR="00385182" w:rsidRDefault="00385182" w:rsidP="00385182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Pr="00275853">
        <w:rPr>
          <w:rFonts w:eastAsia="Times New Roman" w:cs="Times New Roman"/>
          <w:bCs/>
          <w:szCs w:val="20"/>
          <w:lang w:eastAsia="fr-FR"/>
        </w:rPr>
        <w:t>répartis en plusieurs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>
        <w:rPr>
          <w:rFonts w:eastAsia="Times New Roman" w:cs="Times New Roman"/>
          <w:bCs/>
          <w:szCs w:val="20"/>
          <w:lang w:eastAsia="fr-FR"/>
        </w:rPr>
        <w:t>.</w:t>
      </w:r>
    </w:p>
    <w:tbl>
      <w:tblPr>
        <w:tblStyle w:val="Grilledutableau"/>
        <w:tblW w:w="5949" w:type="dxa"/>
        <w:jc w:val="center"/>
        <w:tblLook w:val="04A0" w:firstRow="1" w:lastRow="0" w:firstColumn="1" w:lastColumn="0" w:noHBand="0" w:noVBand="1"/>
      </w:tblPr>
      <w:tblGrid>
        <w:gridCol w:w="1701"/>
        <w:gridCol w:w="4248"/>
      </w:tblGrid>
      <w:tr w:rsidR="00123719" w14:paraId="219C84AB" w14:textId="77777777" w:rsidTr="00BC3E01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8BCAAF1" w14:textId="77777777" w:rsidR="00123719" w:rsidRPr="00CF22B5" w:rsidRDefault="00123719" w:rsidP="00BC3E01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1" w:name="_Hlk187916952"/>
            <w:bookmarkStart w:id="22" w:name="_Hlk187135896"/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8F6DD82" w14:textId="77777777" w:rsidR="00123719" w:rsidRPr="00CF22B5" w:rsidRDefault="00123719" w:rsidP="00BC3E01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123719" w14:paraId="0FAE6533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0C9A4FB1" w14:textId="77777777" w:rsidR="00123719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4248" w:type="dxa"/>
            <w:vAlign w:val="center"/>
          </w:tcPr>
          <w:p w14:paraId="16EFFC4A" w14:textId="77777777" w:rsidR="00123719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123719" w14:paraId="62E6D38B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306CFF7D" w14:textId="77777777" w:rsidR="00123719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4248" w:type="dxa"/>
            <w:vAlign w:val="center"/>
          </w:tcPr>
          <w:p w14:paraId="60922D75" w14:textId="77777777" w:rsidR="00123719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tr w:rsidR="00123719" w:rsidRPr="00821556" w14:paraId="39DCD5D0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4C4E66DE" w14:textId="77777777" w:rsidR="00123719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4248" w:type="dxa"/>
            <w:vAlign w:val="center"/>
          </w:tcPr>
          <w:p w14:paraId="76CD37A6" w14:textId="77777777" w:rsidR="00123719" w:rsidRPr="00821556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val="en-GB" w:eastAsia="fr-FR"/>
              </w:rPr>
            </w:pPr>
            <w:r w:rsidRPr="00821556">
              <w:rPr>
                <w:rFonts w:eastAsia="Times New Roman" w:cs="Times New Roman"/>
                <w:szCs w:val="20"/>
                <w:lang w:val="en-GB" w:eastAsia="fr-FR"/>
              </w:rPr>
              <w:t>MACROLOT EXTERIEUR (FOB/MEX/F</w:t>
            </w:r>
            <w:r>
              <w:rPr>
                <w:rFonts w:eastAsia="Times New Roman" w:cs="Times New Roman"/>
                <w:szCs w:val="20"/>
                <w:lang w:val="en-GB" w:eastAsia="fr-FR"/>
              </w:rPr>
              <w:t>ACADES)</w:t>
            </w:r>
          </w:p>
        </w:tc>
      </w:tr>
      <w:tr w:rsidR="00123719" w14:paraId="7ABFAF9E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80365CD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4248" w:type="dxa"/>
            <w:vAlign w:val="center"/>
          </w:tcPr>
          <w:p w14:paraId="6565501F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ETANCHEITE</w:t>
            </w:r>
          </w:p>
        </w:tc>
      </w:tr>
      <w:tr w:rsidR="00123719" w14:paraId="25854F1C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26C131FE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5</w:t>
            </w:r>
          </w:p>
        </w:tc>
        <w:tc>
          <w:tcPr>
            <w:tcW w:w="4248" w:type="dxa"/>
            <w:vAlign w:val="center"/>
          </w:tcPr>
          <w:p w14:paraId="5CA79ED6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SERRURERIE</w:t>
            </w:r>
          </w:p>
        </w:tc>
      </w:tr>
      <w:tr w:rsidR="00123719" w14:paraId="067CE4D3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0638B713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6</w:t>
            </w:r>
          </w:p>
        </w:tc>
        <w:tc>
          <w:tcPr>
            <w:tcW w:w="4248" w:type="dxa"/>
            <w:vAlign w:val="center"/>
          </w:tcPr>
          <w:p w14:paraId="48D3F578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MACROLOT (Plâtrerie – Peinture – Menuiseries Intérieures – Faïence)</w:t>
            </w:r>
          </w:p>
        </w:tc>
      </w:tr>
      <w:tr w:rsidR="00123719" w14:paraId="68DD4AB3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0063192B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7</w:t>
            </w:r>
          </w:p>
        </w:tc>
        <w:tc>
          <w:tcPr>
            <w:tcW w:w="4248" w:type="dxa"/>
            <w:vAlign w:val="center"/>
          </w:tcPr>
          <w:p w14:paraId="74C94808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SOLS SOUPLES</w:t>
            </w:r>
          </w:p>
        </w:tc>
      </w:tr>
      <w:tr w:rsidR="00123719" w14:paraId="1C48B1C0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0C879D8E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8</w:t>
            </w:r>
          </w:p>
        </w:tc>
        <w:tc>
          <w:tcPr>
            <w:tcW w:w="4248" w:type="dxa"/>
            <w:vAlign w:val="center"/>
          </w:tcPr>
          <w:p w14:paraId="49B412F9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AGENCEMENT (Cloisons vitrées et Meubles séparatifs)</w:t>
            </w:r>
          </w:p>
        </w:tc>
      </w:tr>
      <w:tr w:rsidR="00123719" w14:paraId="6AF57A30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2BD7DDAE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9</w:t>
            </w:r>
          </w:p>
        </w:tc>
        <w:tc>
          <w:tcPr>
            <w:tcW w:w="4248" w:type="dxa"/>
            <w:vAlign w:val="center"/>
          </w:tcPr>
          <w:p w14:paraId="13602844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PLOMBERIE – CHAUFFAGE - VENTILATION</w:t>
            </w:r>
          </w:p>
        </w:tc>
      </w:tr>
      <w:tr w:rsidR="00123719" w14:paraId="6427BE49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65D7A32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10</w:t>
            </w:r>
          </w:p>
        </w:tc>
        <w:tc>
          <w:tcPr>
            <w:tcW w:w="4248" w:type="dxa"/>
            <w:vAlign w:val="center"/>
          </w:tcPr>
          <w:p w14:paraId="2B25CC9F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ELECTRICITE</w:t>
            </w:r>
          </w:p>
        </w:tc>
      </w:tr>
      <w:tr w:rsidR="00123719" w14:paraId="505F2CFD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3BBDE25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11</w:t>
            </w:r>
          </w:p>
        </w:tc>
        <w:tc>
          <w:tcPr>
            <w:tcW w:w="4248" w:type="dxa"/>
            <w:vAlign w:val="center"/>
          </w:tcPr>
          <w:p w14:paraId="3946134C" w14:textId="77777777" w:rsidR="00123719" w:rsidRPr="008E47A0" w:rsidRDefault="0012371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MOBILIER</w:t>
            </w:r>
          </w:p>
        </w:tc>
      </w:tr>
      <w:bookmarkEnd w:id="21"/>
    </w:tbl>
    <w:p w14:paraId="7D60D5B4" w14:textId="77777777" w:rsidR="00123719" w:rsidRDefault="00123719" w:rsidP="001C7B35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</w:p>
    <w:p w14:paraId="49A46F45" w14:textId="72A6A04E" w:rsidR="001C7B35" w:rsidRPr="007A7492" w:rsidRDefault="001C7B35" w:rsidP="001C7B35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7A7492">
        <w:rPr>
          <w:rFonts w:eastAsia="Times New Roman" w:cs="Times New Roman"/>
          <w:szCs w:val="20"/>
          <w:lang w:eastAsia="fr-FR"/>
        </w:rPr>
        <w:t>Les lo</w:t>
      </w:r>
      <w:r>
        <w:rPr>
          <w:rFonts w:eastAsia="Times New Roman" w:cs="Times New Roman"/>
          <w:szCs w:val="20"/>
          <w:lang w:eastAsia="fr-FR"/>
        </w:rPr>
        <w:t>ts 1,2, et 3 ont déjà été attribués, les lots 4, 9 et 11 seront lancés ultérieurement.</w:t>
      </w:r>
    </w:p>
    <w:bookmarkEnd w:id="22"/>
    <w:p w14:paraId="1E651D3C" w14:textId="77777777" w:rsidR="00D65FA1" w:rsidRDefault="00385182" w:rsidP="00385182">
      <w:pPr>
        <w:keepLines w:val="0"/>
        <w:spacing w:before="0" w:after="160"/>
        <w:jc w:val="left"/>
        <w:rPr>
          <w:rFonts w:eastAsia="Times New Roman" w:cs="Times New Roman"/>
          <w:b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</w:t>
      </w:r>
      <w:r w:rsidRPr="004C3FB7">
        <w:rPr>
          <w:rFonts w:eastAsia="Times New Roman" w:cs="Times New Roman"/>
          <w:b/>
          <w:szCs w:val="20"/>
          <w:lang w:eastAsia="fr-FR"/>
        </w:rPr>
        <w:t xml:space="preserve">lot </w:t>
      </w:r>
      <w:r w:rsidR="00D65FA1">
        <w:rPr>
          <w:rFonts w:eastAsia="Times New Roman" w:cs="Times New Roman"/>
          <w:b/>
          <w:szCs w:val="20"/>
          <w:lang w:eastAsia="fr-FR"/>
        </w:rPr>
        <w:t>8</w:t>
      </w:r>
      <w:r w:rsidR="00D65FA1" w:rsidRPr="00385182">
        <w:rPr>
          <w:rFonts w:eastAsia="Times New Roman" w:cs="Times New Roman"/>
          <w:b/>
          <w:szCs w:val="20"/>
          <w:lang w:eastAsia="fr-FR"/>
        </w:rPr>
        <w:t xml:space="preserve"> : </w:t>
      </w:r>
      <w:r w:rsidR="00D65FA1">
        <w:rPr>
          <w:rFonts w:eastAsia="Times New Roman" w:cs="Times New Roman"/>
          <w:b/>
          <w:szCs w:val="20"/>
          <w:lang w:eastAsia="fr-FR"/>
        </w:rPr>
        <w:t>AGENCEMENT (CLOISONS VITREES ET MEUBLES SEPARATIFS</w:t>
      </w:r>
      <w:r w:rsidR="00D65FA1" w:rsidRPr="00385182">
        <w:rPr>
          <w:rFonts w:eastAsia="Times New Roman" w:cs="Times New Roman"/>
          <w:b/>
          <w:szCs w:val="20"/>
          <w:lang w:eastAsia="fr-FR"/>
        </w:rPr>
        <w:t>).</w:t>
      </w:r>
    </w:p>
    <w:p w14:paraId="1633F8A1" w14:textId="7DEB785E" w:rsidR="00385182" w:rsidRPr="00C03018" w:rsidRDefault="00385182" w:rsidP="00385182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t>Lot n°</w:t>
      </w:r>
      <w:r w:rsidR="00D65FA1">
        <w:rPr>
          <w:rFonts w:eastAsia="Times New Roman" w:cs="Times New Roman"/>
          <w:b/>
          <w:bCs/>
          <w:szCs w:val="20"/>
          <w:u w:val="single"/>
          <w:lang w:eastAsia="fr-FR"/>
        </w:rPr>
        <w:t>8</w:t>
      </w:r>
    </w:p>
    <w:p w14:paraId="62D5F866" w14:textId="551BF249" w:rsidR="00385182" w:rsidRDefault="00385182" w:rsidP="00385182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 w:rsidRPr="00B506BE">
        <w:rPr>
          <w:rFonts w:eastAsia="Times New Roman" w:cs="Times New Roman"/>
          <w:b/>
          <w:bCs/>
          <w:szCs w:val="20"/>
          <w:lang w:eastAsia="fr-FR"/>
        </w:rPr>
        <w:t>lot n°</w:t>
      </w:r>
      <w:r w:rsidR="00D65FA1">
        <w:rPr>
          <w:rFonts w:eastAsia="Times New Roman" w:cs="Times New Roman"/>
          <w:b/>
          <w:bCs/>
          <w:szCs w:val="20"/>
          <w:lang w:eastAsia="fr-FR"/>
        </w:rPr>
        <w:t>8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45A75EEF" w14:textId="77777777" w:rsidR="00385182" w:rsidRPr="00BA2754" w:rsidRDefault="00385182" w:rsidP="00385182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0F1D6A8" w14:textId="77777777" w:rsidR="00385182" w:rsidRPr="00BA2754" w:rsidRDefault="00385182" w:rsidP="00385182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8C4D116" w14:textId="77777777" w:rsidR="00385182" w:rsidRPr="00BA2754" w:rsidRDefault="00385182" w:rsidP="00385182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195FB9A" w14:textId="77777777" w:rsidR="00385182" w:rsidRDefault="00385182" w:rsidP="00385182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01E22F25" w14:textId="77777777" w:rsidR="00385182" w:rsidRPr="00BA2754" w:rsidRDefault="00385182" w:rsidP="00385182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5D375D01" w14:textId="77777777" w:rsidR="00385182" w:rsidRDefault="00385182" w:rsidP="00385182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2FF7E2E8" w:rsidR="00702968" w:rsidRPr="00062B32" w:rsidRDefault="00385182" w:rsidP="00385182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6E696961" w14:textId="37384D52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3" w:name="_Toc73367708"/>
      <w:bookmarkStart w:id="24" w:name="_Toc181101968"/>
      <w:r>
        <w:rPr>
          <w:rFonts w:eastAsia="Times New Roman"/>
          <w:lang w:eastAsia="fr-FR"/>
        </w:rPr>
        <w:t>Montant sous-traité</w:t>
      </w:r>
      <w:bookmarkEnd w:id="23"/>
      <w:bookmarkEnd w:id="24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09F572D7" w:rsidR="00385182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284357E8" w14:textId="77777777" w:rsidR="00385182" w:rsidRDefault="00385182">
      <w:pPr>
        <w:keepLines w:val="0"/>
        <w:spacing w:before="0" w:after="160"/>
        <w:jc w:val="left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br w:type="page"/>
      </w: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AC40498" w14:textId="77777777" w:rsid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p w14:paraId="7233FDF9" w14:textId="77777777" w:rsidR="00B77613" w:rsidRPr="001E53B4" w:rsidRDefault="00B77613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5" w:name="_Toc73367709"/>
      <w:bookmarkStart w:id="26" w:name="_Toc181101969"/>
      <w:r w:rsidRPr="001E53B4">
        <w:rPr>
          <w:rFonts w:eastAsia="Times New Roman"/>
          <w:lang w:eastAsia="fr-FR"/>
        </w:rPr>
        <w:t>Créance présentée en nantissement ou cession</w:t>
      </w:r>
      <w:bookmarkEnd w:id="25"/>
      <w:bookmarkEnd w:id="26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7" w:name="_Toc181101970"/>
      <w:bookmarkStart w:id="28" w:name="_Toc73367710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7"/>
      <w:r>
        <w:rPr>
          <w:rFonts w:eastAsia="Times New Roman"/>
          <w:lang w:eastAsia="fr-FR"/>
        </w:rPr>
        <w:t xml:space="preserve"> </w:t>
      </w:r>
      <w:bookmarkEnd w:id="28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3297C4D6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D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9" w:name="_Toc181101971"/>
      <w:bookmarkStart w:id="30" w:name="_Toc73367711"/>
      <w:r>
        <w:rPr>
          <w:rFonts w:eastAsia="Times New Roman"/>
          <w:lang w:eastAsia="fr-FR"/>
        </w:rPr>
        <w:t>Durée du marché</w:t>
      </w:r>
      <w:bookmarkEnd w:id="29"/>
    </w:p>
    <w:p w14:paraId="2347810A" w14:textId="77777777" w:rsidR="00123719" w:rsidRPr="00EE6D70" w:rsidRDefault="00123719" w:rsidP="00123719">
      <w:pPr>
        <w:rPr>
          <w:lang w:eastAsia="fr-FR"/>
        </w:rPr>
      </w:pPr>
      <w:bookmarkStart w:id="31" w:name="_Hlk187916986"/>
      <w:r w:rsidRPr="004E5897">
        <w:rPr>
          <w:lang w:eastAsia="fr-FR"/>
        </w:rPr>
        <w:t xml:space="preserve">La durée du marché est de </w:t>
      </w:r>
      <w:r w:rsidRPr="004E5897">
        <w:rPr>
          <w:b/>
          <w:bCs/>
          <w:lang w:eastAsia="fr-FR"/>
        </w:rPr>
        <w:t>vingt-</w:t>
      </w:r>
      <w:r>
        <w:rPr>
          <w:b/>
          <w:bCs/>
          <w:lang w:eastAsia="fr-FR"/>
        </w:rPr>
        <w:t>quatre</w:t>
      </w:r>
      <w:r w:rsidRPr="004E5897">
        <w:rPr>
          <w:b/>
          <w:bCs/>
          <w:lang w:eastAsia="fr-FR"/>
        </w:rPr>
        <w:t xml:space="preserve"> (2</w:t>
      </w:r>
      <w:r>
        <w:rPr>
          <w:b/>
          <w:bCs/>
          <w:lang w:eastAsia="fr-FR"/>
        </w:rPr>
        <w:t>4</w:t>
      </w:r>
      <w:r w:rsidRPr="004E5897">
        <w:rPr>
          <w:b/>
          <w:bCs/>
          <w:lang w:eastAsia="fr-FR"/>
        </w:rPr>
        <w:t>) mois</w:t>
      </w:r>
      <w:r w:rsidRPr="004E5897">
        <w:rPr>
          <w:lang w:eastAsia="fr-FR"/>
        </w:rPr>
        <w:t>.</w:t>
      </w:r>
      <w:r>
        <w:rPr>
          <w:lang w:eastAsia="fr-FR"/>
        </w:rPr>
        <w:t xml:space="preserve"> </w:t>
      </w:r>
    </w:p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bookmarkStart w:id="32" w:name="_Toc181101972"/>
      <w:bookmarkEnd w:id="31"/>
      <w:r w:rsidRPr="00BA2754">
        <w:rPr>
          <w:rFonts w:eastAsia="Times New Roman"/>
          <w:lang w:eastAsia="fr-FR"/>
        </w:rPr>
        <w:t>Période de préparation</w:t>
      </w:r>
      <w:bookmarkEnd w:id="30"/>
      <w:bookmarkEnd w:id="32"/>
    </w:p>
    <w:p w14:paraId="1E2EAC10" w14:textId="0759BE1F" w:rsidR="00BA2754" w:rsidRPr="00BA2754" w:rsidRDefault="00474D61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fixée à </w:t>
      </w:r>
      <w:r w:rsidRPr="004E5897">
        <w:rPr>
          <w:rFonts w:eastAsia="Times New Roman" w:cs="Times New Roman"/>
          <w:b/>
          <w:noProof/>
          <w:szCs w:val="20"/>
          <w:lang w:eastAsia="fr-FR"/>
        </w:rPr>
        <w:t>deux (2) mois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BA2754" w:rsidRPr="006632D2">
        <w:rPr>
          <w:rFonts w:eastAsia="Times New Roman" w:cs="Times New Roman"/>
          <w:noProof/>
          <w:szCs w:val="20"/>
          <w:lang w:eastAsia="fr-FR"/>
        </w:rPr>
        <w:t>à compter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 xml:space="preserve">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3" w:name="_Toc73367712"/>
      <w:bookmarkStart w:id="34" w:name="_Toc181101973"/>
      <w:r w:rsidRPr="00BA2754">
        <w:rPr>
          <w:rFonts w:eastAsia="Times New Roman"/>
          <w:lang w:eastAsia="fr-FR"/>
        </w:rPr>
        <w:t xml:space="preserve">Délai </w:t>
      </w:r>
      <w:bookmarkEnd w:id="33"/>
      <w:r w:rsidR="00C01E18">
        <w:rPr>
          <w:rFonts w:eastAsia="Times New Roman"/>
          <w:lang w:eastAsia="fr-FR"/>
        </w:rPr>
        <w:t>global d’exécution</w:t>
      </w:r>
      <w:bookmarkEnd w:id="34"/>
    </w:p>
    <w:p w14:paraId="2B15D099" w14:textId="5CE3AA92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lots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douze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 xml:space="preserve"> 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(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>1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2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) mois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 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</w:t>
      </w:r>
      <w:r w:rsidR="002D6480">
        <w:rPr>
          <w:rFonts w:eastAsia="Times New Roman" w:cs="Times New Roman"/>
          <w:noProof/>
          <w:szCs w:val="20"/>
          <w:lang w:eastAsia="fr-FR"/>
        </w:rPr>
        <w:t xml:space="preserve"> (soit</w:t>
      </w:r>
      <w:r w:rsidR="000A4B42">
        <w:rPr>
          <w:rFonts w:eastAsia="Times New Roman" w:cs="Times New Roman"/>
          <w:noProof/>
          <w:szCs w:val="20"/>
          <w:lang w:eastAsia="fr-FR"/>
        </w:rPr>
        <w:t xml:space="preserve"> janvier 2025)</w:t>
      </w:r>
      <w:r w:rsidR="00FE483F">
        <w:rPr>
          <w:rFonts w:eastAsia="Times New Roman" w:cs="Times New Roman"/>
          <w:noProof/>
          <w:szCs w:val="20"/>
          <w:lang w:eastAsia="fr-FR"/>
        </w:rPr>
        <w:t>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5" w:name="_Toc181101974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Start w:id="36" w:name="_GoBack"/>
      <w:bookmarkEnd w:id="35"/>
      <w:bookmarkEnd w:id="36"/>
    </w:p>
    <w:p w14:paraId="7C5D06BB" w14:textId="5B650461" w:rsidR="00FE483F" w:rsidRPr="00CB6DEF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</w:t>
      </w:r>
      <w:r w:rsidRPr="00CA1BA7">
        <w:rPr>
          <w:rFonts w:eastAsia="Times New Roman" w:cs="Times New Roman"/>
          <w:noProof/>
          <w:szCs w:val="20"/>
          <w:lang w:eastAsia="fr-FR"/>
        </w:rPr>
        <w:t xml:space="preserve">présent marché est </w:t>
      </w:r>
      <w:r w:rsidRPr="00CB6DEF">
        <w:rPr>
          <w:rFonts w:eastAsia="Times New Roman" w:cs="Times New Roman"/>
          <w:noProof/>
          <w:szCs w:val="20"/>
          <w:lang w:eastAsia="fr-FR"/>
        </w:rPr>
        <w:t xml:space="preserve">de </w:t>
      </w:r>
      <w:r w:rsidR="00CB6DEF" w:rsidRPr="00CB6DEF">
        <w:rPr>
          <w:rFonts w:eastAsia="Times New Roman" w:cs="Times New Roman"/>
          <w:b/>
          <w:bCs/>
          <w:noProof/>
          <w:szCs w:val="20"/>
          <w:lang w:eastAsia="fr-FR"/>
        </w:rPr>
        <w:t>quatre</w:t>
      </w:r>
      <w:r w:rsidR="00CA1BA7" w:rsidRPr="00CB6DEF">
        <w:rPr>
          <w:rFonts w:eastAsia="Times New Roman" w:cs="Times New Roman"/>
          <w:b/>
          <w:bCs/>
          <w:noProof/>
          <w:szCs w:val="20"/>
          <w:lang w:eastAsia="fr-FR"/>
        </w:rPr>
        <w:t xml:space="preserve"> </w:t>
      </w:r>
      <w:r w:rsidR="00601199" w:rsidRPr="00CB6DEF">
        <w:rPr>
          <w:rFonts w:eastAsia="Times New Roman" w:cs="Times New Roman"/>
          <w:b/>
          <w:bCs/>
          <w:noProof/>
          <w:szCs w:val="20"/>
          <w:lang w:eastAsia="fr-FR"/>
        </w:rPr>
        <w:t>(</w:t>
      </w:r>
      <w:r w:rsidR="00CB6DEF" w:rsidRPr="00CB6DEF">
        <w:rPr>
          <w:rFonts w:eastAsia="Times New Roman" w:cs="Times New Roman"/>
          <w:b/>
          <w:bCs/>
          <w:noProof/>
          <w:szCs w:val="20"/>
          <w:lang w:eastAsia="fr-FR"/>
        </w:rPr>
        <w:t>4</w:t>
      </w:r>
      <w:r w:rsidR="00601199" w:rsidRPr="00CB6DEF">
        <w:rPr>
          <w:rFonts w:eastAsia="Times New Roman" w:cs="Times New Roman"/>
          <w:b/>
          <w:bCs/>
          <w:noProof/>
          <w:szCs w:val="20"/>
          <w:lang w:eastAsia="fr-FR"/>
        </w:rPr>
        <w:t>)</w:t>
      </w:r>
      <w:r w:rsidRPr="00CB6DEF">
        <w:rPr>
          <w:rFonts w:eastAsia="Times New Roman" w:cs="Times New Roman"/>
          <w:b/>
          <w:bCs/>
          <w:noProof/>
          <w:szCs w:val="20"/>
          <w:lang w:eastAsia="fr-FR"/>
        </w:rPr>
        <w:t xml:space="preserve"> mois</w:t>
      </w:r>
      <w:r w:rsidRPr="00CB6DEF">
        <w:rPr>
          <w:rFonts w:eastAsia="Times New Roman" w:cs="Times New Roman"/>
          <w:noProof/>
          <w:szCs w:val="20"/>
          <w:lang w:eastAsia="fr-FR"/>
        </w:rPr>
        <w:t xml:space="preserve"> à compter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7" w:name="_Toc181101975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End w:id="37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2AA596CF" w14:textId="18DF4D22" w:rsidR="00A90215" w:rsidRPr="00E26187" w:rsidRDefault="00A90215" w:rsidP="00E26187">
      <w:pPr>
        <w:rPr>
          <w:lang w:eastAsia="fr-FR"/>
        </w:rPr>
      </w:pPr>
    </w:p>
    <w:p w14:paraId="6C1B4D9C" w14:textId="77777777" w:rsidR="00A90215" w:rsidRPr="00BA2754" w:rsidRDefault="00A90215" w:rsidP="00A90215">
      <w:pPr>
        <w:pStyle w:val="Titre1"/>
        <w:rPr>
          <w:rFonts w:eastAsia="Times New Roman"/>
          <w:lang w:eastAsia="fr-FR"/>
        </w:rPr>
      </w:pPr>
      <w:bookmarkStart w:id="38" w:name="_Toc181101976"/>
      <w:r>
        <w:rPr>
          <w:rFonts w:eastAsia="Times New Roman"/>
          <w:lang w:eastAsia="fr-FR"/>
        </w:rPr>
        <w:t>PAIEMENT</w:t>
      </w:r>
      <w:bookmarkEnd w:id="38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9" w:name="_Hlk70946020"/>
      <w:bookmarkStart w:id="40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9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40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06EEE667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41" w:name="_Toc73367714"/>
      <w:bookmarkStart w:id="42" w:name="_Toc181101977"/>
      <w:r>
        <w:rPr>
          <w:rFonts w:eastAsia="Times New Roman"/>
          <w:lang w:eastAsia="fr-FR"/>
        </w:rPr>
        <w:t>AVANCE</w:t>
      </w:r>
      <w:bookmarkEnd w:id="41"/>
      <w:bookmarkEnd w:id="42"/>
    </w:p>
    <w:p w14:paraId="25B34AFE" w14:textId="77777777" w:rsidR="00B10C9B" w:rsidRDefault="00B10C9B" w:rsidP="00C57F7A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2BC0D183" w14:textId="6C983196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46939279" w14:textId="266705CC" w:rsidR="00385182" w:rsidRPr="00385182" w:rsidRDefault="00794D22" w:rsidP="00385182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="00BA2754"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bookmarkStart w:id="43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3"/>
    </w:p>
    <w:p w14:paraId="3266E166" w14:textId="6A50C3B8" w:rsidR="00712D74" w:rsidRDefault="00712D74" w:rsidP="00385182">
      <w:pPr>
        <w:spacing w:before="240" w:after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4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4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r</w:t>
      </w:r>
      <w:r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n</w:t>
      </w:r>
      <w:r w:rsidRPr="00BA2754">
        <w:rPr>
          <w:rFonts w:eastAsia="Times New Roman" w:cs="Times New Roman"/>
          <w:szCs w:val="20"/>
          <w:lang w:eastAsia="fr-FR"/>
        </w:rPr>
        <w:t>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5418B9CD" w14:textId="1EFE0FD5" w:rsidR="00C7626F" w:rsidRDefault="000E1B85" w:rsidP="00C7626F">
      <w:pPr>
        <w:pStyle w:val="Titre1"/>
        <w:rPr>
          <w:rFonts w:eastAsia="Times New Roman"/>
          <w:lang w:eastAsia="fr-FR"/>
        </w:rPr>
      </w:pPr>
      <w:bookmarkStart w:id="45" w:name="_Toc181101978"/>
      <w:bookmarkStart w:id="46" w:name="_Toc73367715"/>
      <w:r>
        <w:rPr>
          <w:rFonts w:eastAsia="Times New Roman"/>
          <w:caps w:val="0"/>
          <w:lang w:eastAsia="fr-FR"/>
        </w:rPr>
        <w:t>CLAUSE D’INSERTION PAR L’ACTIVITE ECONOMIQUE</w:t>
      </w:r>
      <w:bookmarkEnd w:id="45"/>
    </w:p>
    <w:p w14:paraId="539CBF85" w14:textId="77777777" w:rsidR="00C7626F" w:rsidRDefault="00C7626F" w:rsidP="00C7626F">
      <w:pPr>
        <w:rPr>
          <w:lang w:eastAsia="fr-FR"/>
        </w:rPr>
      </w:pPr>
    </w:p>
    <w:p w14:paraId="3F6C272F" w14:textId="77777777" w:rsidR="00C7626F" w:rsidRPr="00321EFB" w:rsidRDefault="00C7626F" w:rsidP="00C7626F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Dans le cadre de la réalisation de la clause sociale, JE M’ENGAGE ou NOUS NOUS ENGAGONS (rayer la mention inutile) à :</w:t>
      </w:r>
    </w:p>
    <w:p w14:paraId="3328160F" w14:textId="77777777" w:rsidR="00C7626F" w:rsidRPr="00321EFB" w:rsidRDefault="00C7626F" w:rsidP="00C7626F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23E30B14" w14:textId="2E32F46C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Respecter le Cahier des Clauses Administratives Particulières et notamment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>e point 1</w:t>
      </w:r>
      <w:r w:rsidR="006172A7">
        <w:rPr>
          <w:rFonts w:eastAsia="Lucida Sans Unicode" w:cs="Tahoma"/>
          <w:color w:val="000000"/>
          <w:kern w:val="3"/>
          <w:szCs w:val="20"/>
          <w:lang w:eastAsia="fr-FR"/>
        </w:rPr>
        <w:t>.4.5.1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, relatif à la promotion de l’emploi des publics qui en sont éloignés,</w:t>
      </w:r>
    </w:p>
    <w:p w14:paraId="582CB8A2" w14:textId="77777777" w:rsidR="00C7626F" w:rsidRPr="00321EFB" w:rsidRDefault="00C7626F" w:rsidP="00C7626F">
      <w:pPr>
        <w:pStyle w:val="Paragraphedeliste"/>
        <w:autoSpaceDE w:val="0"/>
        <w:autoSpaceDN w:val="0"/>
        <w:adjustRightInd w:val="0"/>
        <w:spacing w:line="240" w:lineRule="auto"/>
        <w:ind w:left="284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</w:t>
      </w:r>
    </w:p>
    <w:p w14:paraId="46B40BCC" w14:textId="60264E74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Réserver, dans l’exécution du marché, une durée minimum de travail au bénéfice des personnes en difficultés d’accès à l’emploi, nécessaire à la mise en œuvre de l’action d’insertion selon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e point </w:t>
      </w:r>
      <w:r w:rsidR="006172A7">
        <w:rPr>
          <w:rFonts w:eastAsia="Lucida Sans Unicode" w:cs="Tahoma"/>
          <w:color w:val="000000"/>
          <w:kern w:val="3"/>
          <w:szCs w:val="20"/>
          <w:lang w:eastAsia="fr-FR"/>
        </w:rPr>
        <w:t xml:space="preserve">1.4.5.1 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du CCAP, </w:t>
      </w:r>
    </w:p>
    <w:p w14:paraId="04356F00" w14:textId="77777777" w:rsidR="00C7626F" w:rsidRPr="00321EFB" w:rsidRDefault="00C7626F" w:rsidP="00C7626F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10EFF6F8" w14:textId="77777777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Transmettre dans les délais impartis tous les renseignements relatifs à la mise en œuvre de l’action d’insertion.</w:t>
      </w:r>
    </w:p>
    <w:p w14:paraId="60E242C3" w14:textId="77777777" w:rsidR="00C7626F" w:rsidRPr="00321EFB" w:rsidRDefault="00C7626F" w:rsidP="00C7626F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6328154B" w14:textId="7190A9B8" w:rsidR="00C7626F" w:rsidRPr="00574F2E" w:rsidRDefault="00C7626F" w:rsidP="00C7626F">
      <w:pPr>
        <w:pStyle w:val="Paragraphedeliste"/>
        <w:autoSpaceDE w:val="0"/>
        <w:autoSpaceDN w:val="0"/>
        <w:adjustRightInd w:val="0"/>
        <w:spacing w:line="240" w:lineRule="auto"/>
        <w:ind w:left="0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Je déclare avoir pris connaissance des pénalités relatives au non-respect de l’obligation de réalisation de l’action d’insertion conformément 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au point </w:t>
      </w:r>
      <w:r w:rsidR="00B53951">
        <w:rPr>
          <w:rFonts w:eastAsia="Lucida Sans Unicode" w:cs="Tahoma"/>
          <w:color w:val="000000"/>
          <w:kern w:val="3"/>
          <w:szCs w:val="20"/>
          <w:lang w:eastAsia="fr-FR"/>
        </w:rPr>
        <w:t>1.4.5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du Cahier des Clauses Administratives Particulières.</w:t>
      </w:r>
    </w:p>
    <w:p w14:paraId="60A6574D" w14:textId="300CF7A9" w:rsidR="00BA2754" w:rsidRDefault="000E1B85" w:rsidP="00A37D8D">
      <w:pPr>
        <w:pStyle w:val="Titre1"/>
        <w:rPr>
          <w:rFonts w:eastAsia="Times New Roman"/>
          <w:lang w:eastAsia="fr-FR"/>
        </w:rPr>
      </w:pPr>
      <w:bookmarkStart w:id="47" w:name="_Toc181101979"/>
      <w:r>
        <w:rPr>
          <w:rFonts w:eastAsia="Times New Roman"/>
          <w:caps w:val="0"/>
          <w:lang w:eastAsia="fr-FR"/>
        </w:rPr>
        <w:t>ENGAGEMENT DU TITULAIRE</w:t>
      </w:r>
      <w:bookmarkEnd w:id="46"/>
      <w:bookmarkEnd w:id="47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132CDD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5063D5CF" w:rsidR="00BA2754" w:rsidRPr="00BA2754" w:rsidRDefault="000E1B85" w:rsidP="00A37D8D">
      <w:pPr>
        <w:pStyle w:val="Titre1"/>
        <w:rPr>
          <w:rFonts w:eastAsia="Times New Roman"/>
          <w:lang w:eastAsia="fr-FR"/>
        </w:rPr>
      </w:pPr>
      <w:bookmarkStart w:id="48" w:name="_Toc73367716"/>
      <w:bookmarkStart w:id="49" w:name="_Toc181101980"/>
      <w:r>
        <w:rPr>
          <w:rFonts w:eastAsia="Times New Roman"/>
          <w:caps w:val="0"/>
          <w:lang w:eastAsia="fr-FR"/>
        </w:rPr>
        <w:t>ENGAGEMENT DE L’ACHETEUR</w:t>
      </w:r>
      <w:bookmarkEnd w:id="48"/>
      <w:bookmarkEnd w:id="49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7E7319C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01F91C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6282CC7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DCA32B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 le</w:t>
            </w:r>
          </w:p>
        </w:tc>
        <w:tc>
          <w:tcPr>
            <w:tcW w:w="3070" w:type="dxa"/>
            <w:shd w:val="clear" w:color="auto" w:fill="auto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77777777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br w:type="page"/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</w:t>
      </w:r>
      <w:proofErr w:type="gramEnd"/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50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50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51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51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1237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274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D049D" w14:textId="77777777" w:rsidR="00827A17" w:rsidRDefault="00827A17">
      <w:pPr>
        <w:spacing w:line="240" w:lineRule="auto"/>
      </w:pPr>
      <w:r>
        <w:separator/>
      </w:r>
    </w:p>
  </w:endnote>
  <w:endnote w:type="continuationSeparator" w:id="0">
    <w:p w14:paraId="44D46633" w14:textId="77777777" w:rsidR="00827A17" w:rsidRDefault="00827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DFD8" w14:textId="77777777" w:rsidR="00C93171" w:rsidRDefault="00C93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A66F" w14:textId="77777777" w:rsidR="00C93171" w:rsidRPr="009F463C" w:rsidRDefault="00C93171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5791BF39" w14:textId="77777777" w:rsidR="00C93171" w:rsidRDefault="00C931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6D43" w14:textId="77777777" w:rsidR="00C93171" w:rsidRDefault="00C931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CF3C" w14:textId="77777777" w:rsidR="00827A17" w:rsidRDefault="00827A17">
      <w:pPr>
        <w:spacing w:line="240" w:lineRule="auto"/>
      </w:pPr>
      <w:r>
        <w:separator/>
      </w:r>
    </w:p>
  </w:footnote>
  <w:footnote w:type="continuationSeparator" w:id="0">
    <w:p w14:paraId="3022E0C6" w14:textId="77777777" w:rsidR="00827A17" w:rsidRDefault="00827A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F6E0" w14:textId="77777777" w:rsidR="00C93171" w:rsidRDefault="00C93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887CC" w14:textId="77777777" w:rsidR="00C93171" w:rsidRDefault="00C9317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AE5CF" w14:textId="77777777" w:rsidR="00C93171" w:rsidRDefault="00C93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2423F"/>
    <w:rsid w:val="0003194F"/>
    <w:rsid w:val="00033847"/>
    <w:rsid w:val="00040CF4"/>
    <w:rsid w:val="00051D96"/>
    <w:rsid w:val="000579D8"/>
    <w:rsid w:val="0006136C"/>
    <w:rsid w:val="00070696"/>
    <w:rsid w:val="000822EB"/>
    <w:rsid w:val="00084984"/>
    <w:rsid w:val="00094209"/>
    <w:rsid w:val="000A39A8"/>
    <w:rsid w:val="000A4B42"/>
    <w:rsid w:val="000B5275"/>
    <w:rsid w:val="000B5EEA"/>
    <w:rsid w:val="000C728C"/>
    <w:rsid w:val="000C74D1"/>
    <w:rsid w:val="000E1B85"/>
    <w:rsid w:val="000F7BEA"/>
    <w:rsid w:val="00101F61"/>
    <w:rsid w:val="001029CD"/>
    <w:rsid w:val="00102D09"/>
    <w:rsid w:val="00122377"/>
    <w:rsid w:val="00123719"/>
    <w:rsid w:val="00141876"/>
    <w:rsid w:val="00162799"/>
    <w:rsid w:val="00165425"/>
    <w:rsid w:val="001A3A72"/>
    <w:rsid w:val="001A54B7"/>
    <w:rsid w:val="001C7B35"/>
    <w:rsid w:val="001E1E89"/>
    <w:rsid w:val="001E53B4"/>
    <w:rsid w:val="001F24F9"/>
    <w:rsid w:val="001F2590"/>
    <w:rsid w:val="001F60A8"/>
    <w:rsid w:val="0020425B"/>
    <w:rsid w:val="00206413"/>
    <w:rsid w:val="002102A4"/>
    <w:rsid w:val="00210D32"/>
    <w:rsid w:val="00275853"/>
    <w:rsid w:val="00287A36"/>
    <w:rsid w:val="00291BFE"/>
    <w:rsid w:val="002A3376"/>
    <w:rsid w:val="002C29AF"/>
    <w:rsid w:val="002D6480"/>
    <w:rsid w:val="002E7568"/>
    <w:rsid w:val="002F5695"/>
    <w:rsid w:val="00331A30"/>
    <w:rsid w:val="0034388B"/>
    <w:rsid w:val="00344E5E"/>
    <w:rsid w:val="00356B27"/>
    <w:rsid w:val="00367608"/>
    <w:rsid w:val="00374D03"/>
    <w:rsid w:val="003842D7"/>
    <w:rsid w:val="00385182"/>
    <w:rsid w:val="00391D2C"/>
    <w:rsid w:val="00397527"/>
    <w:rsid w:val="003A2BBB"/>
    <w:rsid w:val="003A4673"/>
    <w:rsid w:val="003C7D26"/>
    <w:rsid w:val="003D08AA"/>
    <w:rsid w:val="003E7128"/>
    <w:rsid w:val="00431436"/>
    <w:rsid w:val="004368B7"/>
    <w:rsid w:val="0045210E"/>
    <w:rsid w:val="004736D5"/>
    <w:rsid w:val="00474D61"/>
    <w:rsid w:val="00494571"/>
    <w:rsid w:val="004A27BC"/>
    <w:rsid w:val="004B2133"/>
    <w:rsid w:val="004B24A7"/>
    <w:rsid w:val="004C5A57"/>
    <w:rsid w:val="004D1789"/>
    <w:rsid w:val="004D48FD"/>
    <w:rsid w:val="004E528C"/>
    <w:rsid w:val="004E5897"/>
    <w:rsid w:val="00506A87"/>
    <w:rsid w:val="00523684"/>
    <w:rsid w:val="005560C0"/>
    <w:rsid w:val="0058538C"/>
    <w:rsid w:val="005A30EB"/>
    <w:rsid w:val="005C7028"/>
    <w:rsid w:val="005E003D"/>
    <w:rsid w:val="005E4553"/>
    <w:rsid w:val="005E4709"/>
    <w:rsid w:val="00601199"/>
    <w:rsid w:val="006125D7"/>
    <w:rsid w:val="006172A7"/>
    <w:rsid w:val="0062077D"/>
    <w:rsid w:val="006249DA"/>
    <w:rsid w:val="00647ABD"/>
    <w:rsid w:val="006602FD"/>
    <w:rsid w:val="006632D2"/>
    <w:rsid w:val="00664ED5"/>
    <w:rsid w:val="00670389"/>
    <w:rsid w:val="006845A9"/>
    <w:rsid w:val="006A5C68"/>
    <w:rsid w:val="006C2F3C"/>
    <w:rsid w:val="006C3775"/>
    <w:rsid w:val="006C75B7"/>
    <w:rsid w:val="006E7D3E"/>
    <w:rsid w:val="006F76C8"/>
    <w:rsid w:val="007000BC"/>
    <w:rsid w:val="00702968"/>
    <w:rsid w:val="00710EA0"/>
    <w:rsid w:val="00712D74"/>
    <w:rsid w:val="0072760D"/>
    <w:rsid w:val="00727728"/>
    <w:rsid w:val="00732EF8"/>
    <w:rsid w:val="007340F2"/>
    <w:rsid w:val="007401EA"/>
    <w:rsid w:val="00754539"/>
    <w:rsid w:val="00756B7F"/>
    <w:rsid w:val="00794D22"/>
    <w:rsid w:val="007A1806"/>
    <w:rsid w:val="007B49DD"/>
    <w:rsid w:val="007D27D6"/>
    <w:rsid w:val="007E2F13"/>
    <w:rsid w:val="007F342A"/>
    <w:rsid w:val="007F4797"/>
    <w:rsid w:val="007F52F0"/>
    <w:rsid w:val="00800892"/>
    <w:rsid w:val="00805E87"/>
    <w:rsid w:val="00827A17"/>
    <w:rsid w:val="0083608D"/>
    <w:rsid w:val="00856E01"/>
    <w:rsid w:val="008627DB"/>
    <w:rsid w:val="008811F7"/>
    <w:rsid w:val="008C2A8C"/>
    <w:rsid w:val="008C58F2"/>
    <w:rsid w:val="008E47A0"/>
    <w:rsid w:val="008E58BF"/>
    <w:rsid w:val="00915D58"/>
    <w:rsid w:val="00925342"/>
    <w:rsid w:val="00943BF6"/>
    <w:rsid w:val="00943E03"/>
    <w:rsid w:val="00944B1F"/>
    <w:rsid w:val="00946F8B"/>
    <w:rsid w:val="00967589"/>
    <w:rsid w:val="0099057A"/>
    <w:rsid w:val="009A0B4F"/>
    <w:rsid w:val="009B1C3D"/>
    <w:rsid w:val="009C54D4"/>
    <w:rsid w:val="009F01D0"/>
    <w:rsid w:val="00A02D74"/>
    <w:rsid w:val="00A16A3A"/>
    <w:rsid w:val="00A20A3D"/>
    <w:rsid w:val="00A37D8D"/>
    <w:rsid w:val="00A46F90"/>
    <w:rsid w:val="00A51F7D"/>
    <w:rsid w:val="00A527A7"/>
    <w:rsid w:val="00A5586F"/>
    <w:rsid w:val="00A61470"/>
    <w:rsid w:val="00A6381A"/>
    <w:rsid w:val="00A73BC9"/>
    <w:rsid w:val="00A75DD8"/>
    <w:rsid w:val="00A90215"/>
    <w:rsid w:val="00A95151"/>
    <w:rsid w:val="00AB0E60"/>
    <w:rsid w:val="00AC033A"/>
    <w:rsid w:val="00AC7DB7"/>
    <w:rsid w:val="00AD0F24"/>
    <w:rsid w:val="00AE5141"/>
    <w:rsid w:val="00B03BB5"/>
    <w:rsid w:val="00B10C9B"/>
    <w:rsid w:val="00B15357"/>
    <w:rsid w:val="00B25DF4"/>
    <w:rsid w:val="00B335FC"/>
    <w:rsid w:val="00B4657E"/>
    <w:rsid w:val="00B53951"/>
    <w:rsid w:val="00B55D62"/>
    <w:rsid w:val="00B5784D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C1449"/>
    <w:rsid w:val="00BD4660"/>
    <w:rsid w:val="00BF0866"/>
    <w:rsid w:val="00BF4F5A"/>
    <w:rsid w:val="00C01E18"/>
    <w:rsid w:val="00C13218"/>
    <w:rsid w:val="00C21F6F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7626F"/>
    <w:rsid w:val="00C93171"/>
    <w:rsid w:val="00C95650"/>
    <w:rsid w:val="00CA1BA7"/>
    <w:rsid w:val="00CB6DEF"/>
    <w:rsid w:val="00CE3719"/>
    <w:rsid w:val="00D034C2"/>
    <w:rsid w:val="00D039B3"/>
    <w:rsid w:val="00D2304A"/>
    <w:rsid w:val="00D44376"/>
    <w:rsid w:val="00D627DE"/>
    <w:rsid w:val="00D65FA1"/>
    <w:rsid w:val="00D715DA"/>
    <w:rsid w:val="00D77C5A"/>
    <w:rsid w:val="00D8495D"/>
    <w:rsid w:val="00DD3539"/>
    <w:rsid w:val="00DD40F2"/>
    <w:rsid w:val="00DF4D17"/>
    <w:rsid w:val="00DF524A"/>
    <w:rsid w:val="00DF6B44"/>
    <w:rsid w:val="00E26187"/>
    <w:rsid w:val="00E27440"/>
    <w:rsid w:val="00E2789A"/>
    <w:rsid w:val="00E30958"/>
    <w:rsid w:val="00E333B2"/>
    <w:rsid w:val="00E45983"/>
    <w:rsid w:val="00E46BCD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029CD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E9DAF-12CB-4892-9F8E-FD8E10B7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2727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6</cp:revision>
  <dcterms:created xsi:type="dcterms:W3CDTF">2024-12-16T10:20:00Z</dcterms:created>
  <dcterms:modified xsi:type="dcterms:W3CDTF">2025-01-16T09:59:00Z</dcterms:modified>
</cp:coreProperties>
</file>