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68FFB3EC" w14:textId="3312C5DC" w:rsidR="0018161C" w:rsidRDefault="001925C2" w:rsidP="0018161C">
      <w:pPr>
        <w:spacing w:line="240" w:lineRule="exact"/>
        <w:rPr>
          <w:rFonts w:ascii="Trebuchet MS" w:hAnsi="Trebuchet MS"/>
          <w:b/>
        </w:rPr>
      </w:pPr>
      <w:r>
        <w:rPr>
          <w:rFonts w:ascii="Trebuchet MS" w:hAnsi="Trebuchet MS"/>
          <w:b/>
        </w:rPr>
        <w:t>Caisse des Dépôts</w:t>
      </w:r>
    </w:p>
    <w:p w14:paraId="607AB04C" w14:textId="5BCF41CE" w:rsidR="001925C2" w:rsidRDefault="001925C2" w:rsidP="0018161C">
      <w:pPr>
        <w:spacing w:line="240" w:lineRule="exact"/>
        <w:rPr>
          <w:rFonts w:ascii="Trebuchet MS" w:hAnsi="Trebuchet MS"/>
          <w:b/>
        </w:rPr>
      </w:pPr>
      <w:r>
        <w:rPr>
          <w:rFonts w:ascii="Trebuchet MS" w:hAnsi="Trebuchet MS"/>
          <w:b/>
        </w:rPr>
        <w:t xml:space="preserve">Direction des opérations et </w:t>
      </w:r>
    </w:p>
    <w:p w14:paraId="13652D9A" w14:textId="6709C55E" w:rsidR="001925C2" w:rsidRDefault="001925C2" w:rsidP="0018161C">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1925C2" w:rsidRDefault="00906CD2" w:rsidP="00906CD2">
      <w:pPr>
        <w:rPr>
          <w:rFonts w:ascii="Calibri" w:hAnsi="Calibri" w:cs="Calibri"/>
          <w:bCs/>
          <w:sz w:val="24"/>
          <w:szCs w:val="24"/>
        </w:rPr>
      </w:pPr>
      <w:r w:rsidRPr="001925C2">
        <w:rPr>
          <w:rFonts w:ascii="Calibri" w:hAnsi="Calibri" w:cs="Calibri"/>
          <w:b/>
          <w:sz w:val="24"/>
          <w:szCs w:val="24"/>
        </w:rPr>
        <w:t>MARCHE PUBLIC DE PRESTATIONS INTELLECTUELLES (</w:t>
      </w:r>
      <w:r w:rsidR="006D0A11" w:rsidRPr="001925C2">
        <w:rPr>
          <w:rFonts w:ascii="Calibri" w:hAnsi="Calibri" w:cs="Calibri"/>
          <w:b/>
          <w:sz w:val="24"/>
          <w:szCs w:val="24"/>
        </w:rPr>
        <w:t xml:space="preserve">CCAG </w:t>
      </w:r>
      <w:r w:rsidRPr="001925C2">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F6AE279" w14:textId="669370E9" w:rsidR="001925C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1925C2">
        <w:rPr>
          <w:rFonts w:asciiTheme="minorHAnsi" w:hAnsiTheme="minorHAnsi" w:cstheme="minorHAnsi"/>
          <w:b/>
          <w:caps/>
          <w:sz w:val="32"/>
          <w:szCs w:val="32"/>
        </w:rPr>
        <w:t>20255003</w:t>
      </w:r>
      <w:r w:rsidR="00517E27">
        <w:rPr>
          <w:rFonts w:asciiTheme="minorHAnsi" w:hAnsiTheme="minorHAnsi" w:cstheme="minorHAnsi"/>
          <w:b/>
          <w:caps/>
          <w:sz w:val="32"/>
          <w:szCs w:val="32"/>
        </w:rPr>
        <w:t>1</w:t>
      </w:r>
      <w:r w:rsidR="00952336">
        <w:rPr>
          <w:rFonts w:asciiTheme="minorHAnsi" w:hAnsiTheme="minorHAnsi" w:cstheme="minorHAnsi"/>
          <w:b/>
          <w:caps/>
          <w:sz w:val="32"/>
          <w:szCs w:val="32"/>
        </w:rPr>
        <w:t>1</w:t>
      </w:r>
    </w:p>
    <w:p w14:paraId="6D629D0E" w14:textId="59D99CDF"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3BF2E79" w14:textId="2F2F00E2" w:rsidR="001925C2"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3E65C0D7" w:rsidR="009250F8" w:rsidRPr="00CE1860"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Pr>
          <w:rFonts w:asciiTheme="minorHAnsi" w:hAnsiTheme="minorHAnsi" w:cstheme="minorHAnsi"/>
          <w:b/>
          <w:caps/>
          <w:sz w:val="27"/>
          <w:szCs w:val="27"/>
        </w:rPr>
        <w:t xml:space="preserve">Lot </w:t>
      </w:r>
      <w:r w:rsidR="00517E27">
        <w:rPr>
          <w:rFonts w:asciiTheme="minorHAnsi" w:hAnsiTheme="minorHAnsi" w:cstheme="minorHAnsi"/>
          <w:b/>
          <w:caps/>
          <w:sz w:val="27"/>
          <w:szCs w:val="27"/>
        </w:rPr>
        <w:t>1</w:t>
      </w:r>
      <w:r w:rsidR="00952336">
        <w:rPr>
          <w:rFonts w:asciiTheme="minorHAnsi" w:hAnsiTheme="minorHAnsi" w:cstheme="minorHAnsi"/>
          <w:b/>
          <w:caps/>
          <w:sz w:val="27"/>
          <w:szCs w:val="27"/>
        </w:rPr>
        <w:t>1 : Conseil et expertises si data / ia / referentiels, socles documentaires, digitalisation des processus et expérience clients, architecture si et methodes</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1050F1FA" w14:textId="0B5270F2" w:rsidR="00381670" w:rsidRDefault="001925C2" w:rsidP="002F7119">
      <w:pPr>
        <w:jc w:val="both"/>
        <w:rPr>
          <w:rFonts w:asciiTheme="minorHAnsi" w:hAnsiTheme="minorHAnsi" w:cstheme="minorHAnsi"/>
        </w:rPr>
      </w:pPr>
      <w:r>
        <w:rPr>
          <w:rFonts w:asciiTheme="minorHAnsi" w:hAnsiTheme="minorHAnsi" w:cstheme="minorHAnsi"/>
        </w:rPr>
        <w:t>CAISSE DES DEPOTS</w:t>
      </w:r>
    </w:p>
    <w:p w14:paraId="2958F73D" w14:textId="19697AAA" w:rsidR="001925C2" w:rsidRDefault="001925C2" w:rsidP="001925C2">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10F3014B" w14:textId="25E02C05" w:rsidR="001925C2" w:rsidRPr="009F1D65" w:rsidRDefault="001925C2" w:rsidP="001925C2">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1429B5">
        <w:rPr>
          <w:rFonts w:asciiTheme="minorHAnsi" w:hAnsiTheme="minorHAnsi" w:cstheme="minorHAnsi"/>
        </w:rPr>
      </w:r>
      <w:r w:rsidR="001429B5">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1429B5">
        <w:rPr>
          <w:rFonts w:asciiTheme="minorHAnsi" w:hAnsiTheme="minorHAnsi" w:cstheme="minorHAnsi"/>
        </w:rPr>
      </w:r>
      <w:r w:rsidR="001429B5">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1429B5">
        <w:rPr>
          <w:rFonts w:asciiTheme="minorHAnsi" w:hAnsiTheme="minorHAnsi" w:cstheme="minorHAnsi"/>
        </w:rPr>
      </w:r>
      <w:r w:rsidR="001429B5">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1429B5">
        <w:rPr>
          <w:rFonts w:asciiTheme="minorHAnsi" w:hAnsiTheme="minorHAnsi" w:cstheme="minorHAnsi"/>
        </w:rPr>
      </w:r>
      <w:r w:rsidR="001429B5">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1429B5">
        <w:rPr>
          <w:rFonts w:asciiTheme="minorHAnsi" w:hAnsiTheme="minorHAnsi" w:cstheme="minorHAnsi"/>
        </w:rPr>
      </w:r>
      <w:r w:rsidR="001429B5">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1429B5">
        <w:rPr>
          <w:rFonts w:asciiTheme="minorHAnsi" w:hAnsiTheme="minorHAnsi" w:cstheme="minorHAnsi"/>
        </w:rPr>
      </w:r>
      <w:r w:rsidR="001429B5">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1429B5">
        <w:rPr>
          <w:rFonts w:asciiTheme="minorHAnsi" w:hAnsiTheme="minorHAnsi" w:cstheme="minorHAnsi"/>
        </w:rPr>
      </w:r>
      <w:r w:rsidR="001429B5">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3FEA08F6" w14:textId="77777777" w:rsidR="00AE2C2B" w:rsidRDefault="00AE2C2B" w:rsidP="004D4209">
      <w:pPr>
        <w:pStyle w:val="Normal1"/>
        <w:spacing w:before="120"/>
        <w:ind w:firstLine="0"/>
        <w:rPr>
          <w:rFonts w:asciiTheme="minorHAnsi" w:hAnsiTheme="minorHAnsi" w:cstheme="minorHAnsi"/>
        </w:rPr>
      </w:pPr>
    </w:p>
    <w:p w14:paraId="4939257B" w14:textId="6A118641" w:rsidR="00AE2C2B" w:rsidRPr="009F1D65" w:rsidRDefault="00AE2C2B" w:rsidP="004D4209">
      <w:pPr>
        <w:pStyle w:val="Normal1"/>
        <w:spacing w:before="120"/>
        <w:ind w:firstLine="0"/>
        <w:rPr>
          <w:rFonts w:asciiTheme="minorHAnsi" w:hAnsiTheme="minorHAnsi" w:cstheme="minorHAnsi"/>
        </w:rPr>
      </w:pPr>
    </w:p>
    <w:p w14:paraId="1C498E6A" w14:textId="4CE93D4B" w:rsidR="00AB17C7" w:rsidRPr="009F1D65" w:rsidRDefault="00AB17C7"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35B13FFC" w14:textId="3F69B4FF"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de</w:t>
      </w:r>
      <w:r w:rsidR="001925C2">
        <w:rPr>
          <w:rFonts w:asciiTheme="minorHAnsi" w:hAnsiTheme="minorHAnsi" w:cstheme="minorHAnsi"/>
        </w:rPr>
        <w:t xml:space="preserve">s </w:t>
      </w:r>
      <w:r w:rsidR="001925C2">
        <w:rPr>
          <w:rFonts w:asciiTheme="minorHAnsi" w:hAnsiTheme="minorHAnsi" w:cstheme="minorHAnsi"/>
          <w:b/>
          <w:bCs/>
        </w:rPr>
        <w:t>prestations d’assistance</w:t>
      </w:r>
      <w:r w:rsidR="00AE2C2B">
        <w:rPr>
          <w:rFonts w:asciiTheme="minorHAnsi" w:hAnsiTheme="minorHAnsi" w:cstheme="minorHAnsi"/>
          <w:b/>
          <w:bCs/>
        </w:rPr>
        <w:t xml:space="preserve"> à maitrise d’ouvrage informatique et de conseil métier – lot </w:t>
      </w:r>
      <w:r w:rsidR="00517E27">
        <w:rPr>
          <w:rFonts w:asciiTheme="minorHAnsi" w:hAnsiTheme="minorHAnsi" w:cstheme="minorHAnsi"/>
          <w:b/>
          <w:bCs/>
        </w:rPr>
        <w:t>1</w:t>
      </w:r>
      <w:r w:rsidR="00952336">
        <w:rPr>
          <w:rFonts w:asciiTheme="minorHAnsi" w:hAnsiTheme="minorHAnsi" w:cstheme="minorHAnsi"/>
          <w:b/>
          <w:bCs/>
        </w:rPr>
        <w:t xml:space="preserve">1 Conseil et expertises SI DATA / IA / Référentiels, socles documentaires, digitalisation des processus et expériences clients, Architecture SI et Méthodes. </w:t>
      </w:r>
    </w:p>
    <w:p w14:paraId="03DC0EC1" w14:textId="77777777" w:rsidR="002C1B3C" w:rsidRPr="009F1D65" w:rsidRDefault="002C1B3C"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AE2C2B">
        <w:trPr>
          <w:trHeight w:val="900"/>
        </w:trPr>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596552C9" w14:textId="77777777" w:rsidTr="00124DE4">
        <w:tc>
          <w:tcPr>
            <w:tcW w:w="9061" w:type="dxa"/>
            <w:shd w:val="clear" w:color="auto" w:fill="92D050"/>
          </w:tcPr>
          <w:p w14:paraId="51EF037A" w14:textId="0C446708"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062A29AD" w14:textId="77777777" w:rsidTr="00124DE4">
        <w:tc>
          <w:tcPr>
            <w:tcW w:w="9061" w:type="dxa"/>
          </w:tcPr>
          <w:p w14:paraId="461BF247" w14:textId="1ECB6F50" w:rsidR="00124DE4" w:rsidRPr="009F1D65" w:rsidRDefault="00124DE4" w:rsidP="002F7119">
            <w:pPr>
              <w:jc w:val="both"/>
              <w:rPr>
                <w:rFonts w:asciiTheme="minorHAnsi" w:hAnsiTheme="minorHAnsi" w:cstheme="minorHAnsi"/>
              </w:rPr>
            </w:pPr>
            <w:r w:rsidRPr="009F1D65">
              <w:rPr>
                <w:rFonts w:asciiTheme="minorHAnsi" w:eastAsia="Trebuchet MS" w:hAnsiTheme="minorHAnsi" w:cstheme="minorHAnsi"/>
                <w:color w:val="000000"/>
              </w:rPr>
              <w:t>L’</w:t>
            </w:r>
            <w:r w:rsidRPr="009F1D65">
              <w:rPr>
                <w:rFonts w:asciiTheme="minorHAnsi" w:eastAsia="Trebuchet MS" w:hAnsiTheme="minorHAnsi" w:cstheme="minorHAnsi"/>
                <w:b/>
                <w:bCs/>
                <w:color w:val="000000"/>
              </w:rPr>
              <w:t>accord-c</w:t>
            </w:r>
            <w:r w:rsidRPr="00AF5BD1">
              <w:rPr>
                <w:rFonts w:asciiTheme="minorHAnsi" w:eastAsia="Trebuchet MS" w:hAnsiTheme="minorHAnsi" w:cstheme="minorHAnsi"/>
                <w:b/>
                <w:bCs/>
                <w:color w:val="000000"/>
              </w:rPr>
              <w:t>adre</w:t>
            </w:r>
            <w:r w:rsidR="00AE2C2B" w:rsidRPr="00AF5BD1">
              <w:rPr>
                <w:rFonts w:asciiTheme="minorHAnsi" w:eastAsia="Trebuchet MS" w:hAnsiTheme="minorHAnsi" w:cstheme="minorHAnsi"/>
                <w:b/>
                <w:bCs/>
                <w:color w:val="000000"/>
              </w:rPr>
              <w:t xml:space="preserve"> </w:t>
            </w:r>
            <w:r w:rsidRPr="00AF5BD1">
              <w:rPr>
                <w:rFonts w:asciiTheme="minorHAnsi" w:eastAsia="Trebuchet MS" w:hAnsiTheme="minorHAnsi" w:cstheme="minorHAnsi"/>
                <w:b/>
                <w:bCs/>
                <w:color w:val="000000"/>
              </w:rPr>
              <w:t>multi-attributaire à marchés subséquents</w:t>
            </w:r>
            <w:r w:rsidRPr="00AF5BD1">
              <w:rPr>
                <w:rFonts w:asciiTheme="minorHAnsi" w:eastAsia="Trebuchet MS" w:hAnsiTheme="minorHAnsi" w:cstheme="minorHAnsi"/>
                <w:color w:val="000000"/>
              </w:rPr>
              <w:t>, passé en application des articles L. 2125-1 1°, R. 2162-1 à R. 2162-12 du Code de la comm</w:t>
            </w:r>
            <w:r w:rsidRPr="009F1D65">
              <w:rPr>
                <w:rFonts w:asciiTheme="minorHAnsi" w:eastAsia="Trebuchet MS" w:hAnsiTheme="minorHAnsi" w:cstheme="minorHAnsi"/>
                <w:color w:val="000000"/>
              </w:rPr>
              <w:t>ande publique</w:t>
            </w:r>
            <w:r w:rsidRPr="009F1D65">
              <w:rPr>
                <w:rFonts w:asciiTheme="minorHAnsi" w:hAnsiTheme="minorHAnsi" w:cstheme="minorHAnsi"/>
              </w:rPr>
              <w:t>.</w:t>
            </w:r>
          </w:p>
          <w:p w14:paraId="392A6DC7" w14:textId="77777777" w:rsidR="00124DE4" w:rsidRPr="009F1D65" w:rsidRDefault="00124DE4" w:rsidP="002F7119">
            <w:pPr>
              <w:jc w:val="both"/>
              <w:rPr>
                <w:rFonts w:asciiTheme="minorHAnsi" w:hAnsiTheme="minorHAnsi" w:cstheme="minorHAnsi"/>
              </w:rPr>
            </w:pPr>
          </w:p>
          <w:p w14:paraId="5AF8BA38" w14:textId="46769320" w:rsidR="005E3240" w:rsidRPr="009F1D65" w:rsidRDefault="005E3240" w:rsidP="002F7119">
            <w:pPr>
              <w:pStyle w:val="ParagrapheIndent2"/>
              <w:ind w:left="20" w:right="20"/>
              <w:jc w:val="both"/>
              <w:rPr>
                <w:rFonts w:asciiTheme="minorHAnsi" w:hAnsiTheme="minorHAnsi" w:cstheme="minorHAnsi"/>
                <w:bCs/>
                <w:color w:val="000000"/>
                <w:sz w:val="22"/>
                <w:szCs w:val="22"/>
                <w:u w:val="single"/>
              </w:rPr>
            </w:pPr>
            <w:r w:rsidRPr="009F1D65">
              <w:rPr>
                <w:rFonts w:asciiTheme="minorHAnsi" w:hAnsiTheme="minorHAnsi" w:cstheme="minorHAnsi"/>
                <w:b w:val="0"/>
                <w:color w:val="000000"/>
                <w:sz w:val="22"/>
                <w:szCs w:val="22"/>
              </w:rPr>
              <w:t xml:space="preserve">Il est conclu sans montant minimum </w:t>
            </w:r>
            <w:r w:rsidRPr="009F1D65">
              <w:rPr>
                <w:rFonts w:asciiTheme="minorHAnsi" w:hAnsiTheme="minorHAnsi" w:cstheme="minorHAnsi"/>
                <w:bCs/>
                <w:color w:val="000000"/>
                <w:sz w:val="22"/>
                <w:szCs w:val="22"/>
              </w:rPr>
              <w:t xml:space="preserve">et avec un montant maximum </w:t>
            </w:r>
            <w:r w:rsidRPr="009F1D65">
              <w:rPr>
                <w:rFonts w:asciiTheme="minorHAnsi" w:hAnsiTheme="minorHAnsi" w:cstheme="minorHAnsi"/>
                <w:bCs/>
                <w:color w:val="000000"/>
                <w:sz w:val="22"/>
                <w:szCs w:val="22"/>
                <w:u w:val="single"/>
              </w:rPr>
              <w:t>sur la durée totale de l’accord-cadre</w:t>
            </w:r>
            <w:r w:rsidRPr="00CD7E5B">
              <w:rPr>
                <w:rFonts w:asciiTheme="minorHAnsi" w:hAnsiTheme="minorHAnsi" w:cstheme="minorHAnsi"/>
                <w:bCs/>
                <w:color w:val="000000"/>
                <w:sz w:val="22"/>
                <w:szCs w:val="22"/>
              </w:rPr>
              <w:t>, tel</w:t>
            </w:r>
            <w:r w:rsidRPr="009F1D65">
              <w:rPr>
                <w:rFonts w:asciiTheme="minorHAnsi" w:hAnsiTheme="minorHAnsi" w:cstheme="minorHAnsi"/>
                <w:bCs/>
                <w:color w:val="000000"/>
                <w:sz w:val="22"/>
                <w:szCs w:val="22"/>
              </w:rPr>
              <w:t xml:space="preserve"> que fixé au CCAP </w:t>
            </w:r>
          </w:p>
          <w:p w14:paraId="6378E3CB" w14:textId="77777777" w:rsidR="005E3240" w:rsidRPr="009F1D65" w:rsidRDefault="005E3240" w:rsidP="002F7119">
            <w:pPr>
              <w:pStyle w:val="ParagrapheIndent2"/>
              <w:ind w:left="20" w:right="20"/>
              <w:jc w:val="both"/>
              <w:rPr>
                <w:rFonts w:asciiTheme="minorHAnsi" w:hAnsiTheme="minorHAnsi" w:cstheme="minorHAnsi"/>
                <w:b w:val="0"/>
                <w:bCs/>
                <w:color w:val="000000"/>
                <w:sz w:val="22"/>
                <w:szCs w:val="22"/>
                <w:u w:val="single"/>
              </w:rPr>
            </w:pPr>
          </w:p>
          <w:p w14:paraId="550E701A" w14:textId="5CFFFC24"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2F7119">
              <w:rPr>
                <w:rFonts w:asciiTheme="minorHAnsi" w:hAnsiTheme="minorHAnsi" w:cstheme="minorHAnsi"/>
                <w:bCs/>
                <w:color w:val="000000"/>
                <w:sz w:val="22"/>
                <w:szCs w:val="22"/>
              </w:rPr>
              <w:t>Il comporte des prestations dont les prix comportent un prix maximum, dont le détail figure dans la grille de tarifs plafonds</w:t>
            </w:r>
            <w:r w:rsidRPr="009F1D65">
              <w:rPr>
                <w:rFonts w:asciiTheme="minorHAnsi" w:hAnsiTheme="minorHAnsi" w:cstheme="minorHAnsi"/>
                <w:b w:val="0"/>
                <w:color w:val="000000"/>
                <w:sz w:val="22"/>
                <w:szCs w:val="22"/>
              </w:rPr>
              <w:t>.</w:t>
            </w:r>
          </w:p>
          <w:p w14:paraId="25EF8265" w14:textId="0DAB7F91" w:rsidR="00124DE4" w:rsidRPr="009F1D65" w:rsidRDefault="00124DE4" w:rsidP="002F7119">
            <w:pPr>
              <w:pStyle w:val="Normal2"/>
              <w:keepLines w:val="0"/>
              <w:ind w:left="0" w:firstLine="0"/>
              <w:rPr>
                <w:rFonts w:asciiTheme="minorHAnsi" w:hAnsiTheme="minorHAnsi" w:cstheme="minorHAnsi"/>
              </w:rPr>
            </w:pPr>
          </w:p>
          <w:p w14:paraId="27103524" w14:textId="77777777" w:rsidR="00854FAB" w:rsidRPr="009F1D65" w:rsidRDefault="00854FAB" w:rsidP="002F7119">
            <w:pPr>
              <w:jc w:val="both"/>
              <w:rPr>
                <w:rFonts w:asciiTheme="minorHAnsi" w:eastAsia="Trebuchet MS" w:hAnsiTheme="minorHAnsi" w:cstheme="minorHAnsi"/>
              </w:rPr>
            </w:pPr>
            <w:r w:rsidRPr="009F1D65">
              <w:rPr>
                <w:rFonts w:asciiTheme="minorHAnsi" w:eastAsia="Trebuchet MS" w:hAnsiTheme="minorHAnsi" w:cstheme="minorHAnsi"/>
              </w:rPr>
              <w:t>Les titulaires du présent accord-cadre seront consultés à la survenance du besoin, pour la réalisation des missions</w:t>
            </w:r>
          </w:p>
          <w:p w14:paraId="0749A23D" w14:textId="77777777" w:rsidR="00854FAB" w:rsidRPr="009F1D65" w:rsidRDefault="00854FAB" w:rsidP="002F7119">
            <w:pPr>
              <w:pStyle w:val="Normal2"/>
              <w:keepLines w:val="0"/>
              <w:ind w:left="0" w:firstLine="0"/>
              <w:rPr>
                <w:rFonts w:asciiTheme="minorHAnsi" w:hAnsiTheme="minorHAnsi" w:cstheme="minorHAnsi"/>
              </w:rPr>
            </w:pPr>
          </w:p>
          <w:p w14:paraId="706A1436" w14:textId="77777777" w:rsidR="00124DE4" w:rsidRPr="009F1D65" w:rsidRDefault="00124DE4" w:rsidP="002F7119">
            <w:pPr>
              <w:pStyle w:val="Normal2"/>
              <w:keepLines w:val="0"/>
              <w:ind w:left="0" w:firstLine="0"/>
              <w:rPr>
                <w:rFonts w:asciiTheme="minorHAnsi" w:hAnsiTheme="minorHAnsi" w:cstheme="minorHAnsi"/>
              </w:rPr>
            </w:pPr>
            <w:r w:rsidRPr="009F1D65">
              <w:rPr>
                <w:rFonts w:asciiTheme="minorHAnsi" w:hAnsiTheme="minorHAnsi" w:cstheme="minorHAnsi"/>
              </w:rPr>
              <w:t>La forme des marchés subséquents sera définie par chaque marché subséquent en fonction des besoins spécifiques à chaque consultation.</w:t>
            </w:r>
          </w:p>
          <w:p w14:paraId="30964C50" w14:textId="77777777" w:rsidR="00124DE4" w:rsidRPr="009F1D65" w:rsidRDefault="00124DE4" w:rsidP="002F7119">
            <w:pPr>
              <w:pStyle w:val="ParagrapheIndent2"/>
              <w:ind w:left="20" w:right="20"/>
              <w:jc w:val="both"/>
              <w:rPr>
                <w:rFonts w:asciiTheme="minorHAnsi" w:hAnsiTheme="minorHAnsi" w:cstheme="minorHAnsi"/>
                <w:b w:val="0"/>
                <w:color w:val="000000"/>
                <w:sz w:val="22"/>
                <w:szCs w:val="22"/>
              </w:rPr>
            </w:pPr>
          </w:p>
          <w:p w14:paraId="1F25BF57" w14:textId="1D00708E" w:rsidR="00124DE4" w:rsidRPr="009F1D65" w:rsidRDefault="00124DE4" w:rsidP="002F7119">
            <w:pPr>
              <w:jc w:val="both"/>
              <w:rPr>
                <w:rFonts w:asciiTheme="minorHAnsi" w:hAnsiTheme="minorHAnsi" w:cstheme="minorHAnsi"/>
                <w:lang w:eastAsia="en-US"/>
              </w:rPr>
            </w:pPr>
            <w:r w:rsidRPr="009F1D65">
              <w:rPr>
                <w:rFonts w:asciiTheme="minorHAnsi" w:eastAsia="Trebuchet MS" w:hAnsiTheme="minorHAnsi" w:cstheme="minorHAnsi"/>
                <w:bCs/>
              </w:rPr>
              <w:t xml:space="preserve">Les conditions d'attribution des marchés subséquents sont définies </w:t>
            </w:r>
            <w:r w:rsidR="00E2084D" w:rsidRPr="009F1D65">
              <w:rPr>
                <w:rFonts w:asciiTheme="minorHAnsi" w:eastAsia="Trebuchet MS" w:hAnsiTheme="minorHAnsi" w:cstheme="minorHAnsi"/>
                <w:bCs/>
              </w:rPr>
              <w:t>au</w:t>
            </w:r>
            <w:r w:rsidRPr="009F1D65">
              <w:rPr>
                <w:rFonts w:asciiTheme="minorHAnsi" w:eastAsia="Trebuchet MS" w:hAnsiTheme="minorHAnsi" w:cstheme="minorHAnsi"/>
                <w:bCs/>
              </w:rPr>
              <w:t xml:space="preserve"> CCAP.</w:t>
            </w:r>
            <w:r w:rsidR="00854FAB" w:rsidRPr="009F1D65">
              <w:rPr>
                <w:rFonts w:asciiTheme="minorHAnsi" w:eastAsia="Trebuchet MS" w:hAnsiTheme="minorHAnsi" w:cstheme="minorHAnsi"/>
                <w:bCs/>
              </w:rPr>
              <w:t xml:space="preserve"> </w:t>
            </w:r>
          </w:p>
        </w:tc>
      </w:tr>
    </w:tbl>
    <w:p w14:paraId="0485006A" w14:textId="77777777" w:rsidR="006A75D0" w:rsidRPr="009F1D65" w:rsidRDefault="006A75D0" w:rsidP="00C51053">
      <w:pPr>
        <w:rPr>
          <w:rFonts w:asciiTheme="minorHAnsi" w:hAnsiTheme="minorHAnsi" w:cstheme="minorHAnsi"/>
        </w:rPr>
      </w:pPr>
    </w:p>
    <w:p w14:paraId="5446B63D" w14:textId="06B3B230" w:rsidR="00DF09C0" w:rsidRDefault="00DF09C0" w:rsidP="00DF09C0">
      <w:pPr>
        <w:pStyle w:val="Titre1"/>
        <w:rPr>
          <w:rFonts w:asciiTheme="minorHAnsi" w:hAnsiTheme="minorHAnsi" w:cstheme="minorHAnsi"/>
        </w:rPr>
      </w:pPr>
      <w:r w:rsidRPr="009F1D65">
        <w:rPr>
          <w:rFonts w:asciiTheme="minorHAnsi" w:hAnsiTheme="minorHAnsi" w:cstheme="minorHAnsi"/>
        </w:rPr>
        <w:t>Articl</w:t>
      </w:r>
      <w:r w:rsidRPr="00AE2C2B">
        <w:rPr>
          <w:rFonts w:asciiTheme="minorHAnsi" w:hAnsiTheme="minorHAnsi" w:cstheme="minorHAnsi"/>
        </w:rPr>
        <w:t xml:space="preserve">e 3 : </w:t>
      </w:r>
      <w:r w:rsidR="00470D9C" w:rsidRPr="00AE2C2B">
        <w:rPr>
          <w:rFonts w:asciiTheme="minorHAnsi" w:hAnsiTheme="minorHAnsi" w:cstheme="minorHAnsi"/>
        </w:rPr>
        <w:t>Prix de l’accord-cadre</w:t>
      </w:r>
    </w:p>
    <w:p w14:paraId="2BF8E69C" w14:textId="77777777" w:rsidR="00AE2C2B" w:rsidRPr="00AE2C2B" w:rsidRDefault="00AE2C2B" w:rsidP="00AE2C2B"/>
    <w:tbl>
      <w:tblPr>
        <w:tblStyle w:val="Grilledutableau"/>
        <w:tblW w:w="0" w:type="auto"/>
        <w:tblLook w:val="04A0" w:firstRow="1" w:lastRow="0" w:firstColumn="1" w:lastColumn="0" w:noHBand="0" w:noVBand="1"/>
      </w:tblPr>
      <w:tblGrid>
        <w:gridCol w:w="9061"/>
      </w:tblGrid>
      <w:tr w:rsidR="00124DE4" w:rsidRPr="009F1D65" w14:paraId="23C02881" w14:textId="77777777" w:rsidTr="00255849">
        <w:tc>
          <w:tcPr>
            <w:tcW w:w="9061" w:type="dxa"/>
            <w:shd w:val="clear" w:color="auto" w:fill="92D050"/>
          </w:tcPr>
          <w:p w14:paraId="3A3BD0A5" w14:textId="77777777" w:rsidR="00124DE4" w:rsidRPr="009F1D65" w:rsidRDefault="00124DE4" w:rsidP="0025584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63E3C402" w14:textId="77777777" w:rsidTr="00AF5BD1">
        <w:trPr>
          <w:trHeight w:val="1410"/>
        </w:trPr>
        <w:tc>
          <w:tcPr>
            <w:tcW w:w="9061" w:type="dxa"/>
          </w:tcPr>
          <w:p w14:paraId="7E1417D8" w14:textId="2158E86D" w:rsidR="00124DE4" w:rsidRPr="002F7119" w:rsidRDefault="00124DE4" w:rsidP="005E3240">
            <w:pPr>
              <w:jc w:val="both"/>
              <w:rPr>
                <w:rFonts w:asciiTheme="minorHAnsi" w:hAnsiTheme="minorHAnsi" w:cstheme="minorHAnsi"/>
              </w:rPr>
            </w:pPr>
            <w:r w:rsidRPr="002F7119">
              <w:rPr>
                <w:rFonts w:asciiTheme="minorHAnsi" w:hAnsiTheme="minorHAnsi" w:cstheme="minorHAnsi"/>
                <w:color w:val="000000"/>
              </w:rPr>
              <w:t>Les prestations faisant l’objet de l’accord-cadre sont réglées dans le respect d</w:t>
            </w:r>
            <w:r w:rsidRPr="002F7119">
              <w:rPr>
                <w:rFonts w:asciiTheme="minorHAnsi" w:hAnsiTheme="minorHAnsi" w:cstheme="minorHAnsi"/>
              </w:rPr>
              <w:t xml:space="preserve">es prix figurant dans la </w:t>
            </w:r>
            <w:r w:rsidRPr="002F7119">
              <w:rPr>
                <w:rFonts w:asciiTheme="minorHAnsi" w:hAnsiTheme="minorHAnsi" w:cstheme="minorHAnsi"/>
                <w:b/>
                <w:bCs/>
              </w:rPr>
              <w:t>grille de prix plafonds</w:t>
            </w:r>
            <w:r w:rsidRPr="002F7119">
              <w:rPr>
                <w:rFonts w:asciiTheme="minorHAnsi" w:hAnsiTheme="minorHAnsi" w:cstheme="minorHAnsi"/>
              </w:rPr>
              <w:t xml:space="preserve"> annexée au présent acte d’engagement. Ils constituent les prix maximum (prix plafonds) applicables aux prestations que le titulaire sera tenu d’exécuter dans le cadre du ou des éventuels marchés subséquents qui lui auront été attribués par la Caisse des Dépôts, étant entendu que chaque marché subséquent pourra faire l’objet de prix inférieurs à ces prix plafonds.</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240F4701" w:rsidR="00FC35D1" w:rsidRPr="00AF5BD1" w:rsidRDefault="009250F8" w:rsidP="00FC35D1">
      <w:pPr>
        <w:pStyle w:val="Titre1"/>
        <w:rPr>
          <w:rFonts w:asciiTheme="minorHAnsi" w:hAnsiTheme="minorHAnsi" w:cstheme="minorHAnsi"/>
        </w:rPr>
      </w:pPr>
      <w:r w:rsidRPr="009F1D65">
        <w:rPr>
          <w:rFonts w:asciiTheme="minorHAnsi" w:hAnsiTheme="minorHAnsi" w:cstheme="minorHAnsi"/>
        </w:rPr>
        <w:lastRenderedPageBreak/>
        <w:t>A</w:t>
      </w:r>
      <w:r w:rsidRPr="00AF5BD1">
        <w:rPr>
          <w:rFonts w:asciiTheme="minorHAnsi" w:hAnsiTheme="minorHAnsi" w:cstheme="minorHAnsi"/>
        </w:rPr>
        <w:t xml:space="preserve">rticle </w:t>
      </w:r>
      <w:r w:rsidR="00DF09C0" w:rsidRPr="00AF5BD1">
        <w:rPr>
          <w:rFonts w:asciiTheme="minorHAnsi" w:hAnsiTheme="minorHAnsi" w:cstheme="minorHAnsi"/>
        </w:rPr>
        <w:t>4</w:t>
      </w:r>
      <w:r w:rsidRPr="00AF5BD1">
        <w:rPr>
          <w:rFonts w:asciiTheme="minorHAnsi" w:hAnsiTheme="minorHAnsi" w:cstheme="minorHAnsi"/>
        </w:rPr>
        <w:t xml:space="preserve"> : </w:t>
      </w:r>
      <w:r w:rsidR="00FC35D1" w:rsidRPr="00AF5BD1">
        <w:rPr>
          <w:rFonts w:asciiTheme="minorHAnsi" w:hAnsiTheme="minorHAnsi" w:cstheme="minorHAnsi"/>
        </w:rPr>
        <w:t xml:space="preserve">Durée </w:t>
      </w:r>
      <w:r w:rsidR="00470D9C" w:rsidRPr="00AF5BD1">
        <w:rPr>
          <w:rFonts w:asciiTheme="minorHAnsi" w:hAnsiTheme="minorHAnsi" w:cstheme="minorHAnsi"/>
        </w:rPr>
        <w:t>de l’accord-cadre</w:t>
      </w:r>
      <w:r w:rsidR="00FC35D1" w:rsidRPr="00AF5BD1">
        <w:rPr>
          <w:rFonts w:asciiTheme="minorHAnsi" w:hAnsiTheme="minorHAnsi" w:cstheme="minorHAnsi"/>
        </w:rPr>
        <w:t xml:space="preserve"> - Délais d’exécution</w:t>
      </w:r>
    </w:p>
    <w:p w14:paraId="48764ED4" w14:textId="7126BB3F" w:rsidR="0018161C" w:rsidRPr="00AF5BD1" w:rsidRDefault="0018161C" w:rsidP="00ED2D73">
      <w:pPr>
        <w:keepLines/>
        <w:tabs>
          <w:tab w:val="left" w:pos="567"/>
          <w:tab w:val="left" w:pos="851"/>
          <w:tab w:val="left" w:pos="1134"/>
        </w:tabs>
        <w:ind w:left="142" w:firstLine="142"/>
        <w:jc w:val="both"/>
        <w:rPr>
          <w:rFonts w:asciiTheme="minorHAnsi" w:hAnsiTheme="minorHAnsi" w:cstheme="minorHAnsi"/>
        </w:rPr>
      </w:pPr>
      <w:bookmarkStart w:id="0" w:name="_Hlk36565187"/>
      <w:bookmarkStart w:id="1" w:name="_Hlk46949949"/>
    </w:p>
    <w:p w14:paraId="18F907F4" w14:textId="4243A3F5" w:rsidR="0018161C" w:rsidRPr="00AF5BD1" w:rsidRDefault="00470D9C" w:rsidP="005C18B8">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L’accord-cadre</w:t>
      </w:r>
      <w:r w:rsidR="0018161C" w:rsidRPr="00AF5BD1">
        <w:rPr>
          <w:rFonts w:asciiTheme="minorHAnsi" w:hAnsiTheme="minorHAnsi" w:cstheme="minorHAnsi"/>
          <w:b w:val="0"/>
          <w:color w:val="000000"/>
          <w:sz w:val="22"/>
          <w:szCs w:val="22"/>
        </w:rPr>
        <w:t xml:space="preserve"> est conclu pour une période initiale d</w:t>
      </w:r>
      <w:r w:rsidR="00AF5BD1" w:rsidRPr="00AF5BD1">
        <w:rPr>
          <w:rFonts w:asciiTheme="minorHAnsi" w:hAnsiTheme="minorHAnsi" w:cstheme="minorHAnsi"/>
          <w:b w:val="0"/>
          <w:color w:val="000000"/>
          <w:sz w:val="22"/>
          <w:szCs w:val="22"/>
        </w:rPr>
        <w:t xml:space="preserve">e </w:t>
      </w:r>
      <w:r w:rsidR="00AF5BD1" w:rsidRPr="00AF5BD1">
        <w:rPr>
          <w:rFonts w:asciiTheme="minorHAnsi" w:hAnsiTheme="minorHAnsi" w:cstheme="minorHAnsi"/>
          <w:bCs/>
          <w:color w:val="000000"/>
          <w:sz w:val="22"/>
          <w:szCs w:val="22"/>
        </w:rPr>
        <w:t xml:space="preserve">deux </w:t>
      </w:r>
      <w:r w:rsidR="0018161C" w:rsidRPr="00AF5BD1">
        <w:rPr>
          <w:rFonts w:asciiTheme="minorHAnsi" w:hAnsiTheme="minorHAnsi" w:cstheme="minorHAnsi"/>
          <w:bCs/>
          <w:color w:val="000000"/>
          <w:sz w:val="22"/>
          <w:szCs w:val="22"/>
        </w:rPr>
        <w:t>an</w:t>
      </w:r>
      <w:r w:rsidR="00AF5BD1" w:rsidRPr="00AF5BD1">
        <w:rPr>
          <w:rFonts w:asciiTheme="minorHAnsi" w:hAnsiTheme="minorHAnsi" w:cstheme="minorHAnsi"/>
          <w:bCs/>
          <w:color w:val="000000"/>
          <w:sz w:val="22"/>
          <w:szCs w:val="22"/>
        </w:rPr>
        <w:t>s</w:t>
      </w:r>
      <w:r w:rsidR="0018161C" w:rsidRPr="00AF5BD1">
        <w:rPr>
          <w:rFonts w:asciiTheme="minorHAnsi" w:hAnsiTheme="minorHAnsi" w:cstheme="minorHAnsi"/>
          <w:bCs/>
          <w:color w:val="000000"/>
          <w:sz w:val="22"/>
          <w:szCs w:val="22"/>
        </w:rPr>
        <w:t xml:space="preserve"> </w:t>
      </w:r>
      <w:r w:rsidR="0018161C" w:rsidRPr="00AF5BD1">
        <w:rPr>
          <w:rFonts w:asciiTheme="minorHAnsi" w:hAnsiTheme="minorHAnsi" w:cstheme="minorHAnsi"/>
          <w:b w:val="0"/>
          <w:color w:val="000000"/>
          <w:sz w:val="22"/>
          <w:szCs w:val="22"/>
        </w:rPr>
        <w:t>à compter de sa date de notification.</w:t>
      </w:r>
    </w:p>
    <w:p w14:paraId="20DE1D35" w14:textId="77777777" w:rsidR="00470D9C" w:rsidRPr="00AF5BD1" w:rsidRDefault="00470D9C"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5E0B8257" w14:textId="77777777" w:rsidR="00470D9C" w:rsidRPr="00AF5BD1" w:rsidRDefault="00470D9C" w:rsidP="005C18B8">
      <w:pPr>
        <w:jc w:val="both"/>
        <w:rPr>
          <w:rFonts w:asciiTheme="minorHAnsi" w:hAnsiTheme="minorHAnsi" w:cstheme="minorHAnsi"/>
          <w:lang w:eastAsia="en-US"/>
        </w:rPr>
      </w:pPr>
    </w:p>
    <w:p w14:paraId="24B2CD05" w14:textId="3DACA64A" w:rsidR="0018161C" w:rsidRPr="00AF5BD1" w:rsidRDefault="0018161C" w:rsidP="005C18B8">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 xml:space="preserve">tacitement </w:t>
      </w:r>
      <w:r w:rsidR="00AF5BD1" w:rsidRPr="00AF5BD1">
        <w:rPr>
          <w:rFonts w:asciiTheme="minorHAnsi" w:hAnsiTheme="minorHAnsi" w:cstheme="minorHAnsi"/>
          <w:bCs/>
          <w:color w:val="000000"/>
          <w:sz w:val="22"/>
          <w:szCs w:val="22"/>
        </w:rPr>
        <w:t>deux</w:t>
      </w:r>
      <w:r w:rsidR="005C0900">
        <w:rPr>
          <w:rFonts w:asciiTheme="minorHAnsi" w:hAnsiTheme="minorHAnsi" w:cstheme="minorHAnsi"/>
          <w:bCs/>
          <w:color w:val="000000"/>
          <w:sz w:val="22"/>
          <w:szCs w:val="22"/>
        </w:rPr>
        <w:t xml:space="preserve"> fois</w:t>
      </w:r>
      <w:r w:rsidR="00AF5BD1"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w:t>
      </w:r>
      <w:r w:rsidR="00470D9C" w:rsidRPr="00AF5BD1">
        <w:rPr>
          <w:rFonts w:asciiTheme="minorHAnsi" w:hAnsiTheme="minorHAnsi" w:cstheme="minorHAnsi"/>
          <w:bCs/>
          <w:color w:val="000000"/>
          <w:sz w:val="22"/>
          <w:szCs w:val="22"/>
        </w:rPr>
        <w:t>e l’accord-cadre</w:t>
      </w:r>
      <w:r w:rsidRPr="00AF5BD1">
        <w:rPr>
          <w:rFonts w:asciiTheme="minorHAnsi" w:hAnsiTheme="minorHAnsi" w:cstheme="minorHAnsi"/>
          <w:bCs/>
          <w:color w:val="000000"/>
          <w:sz w:val="22"/>
          <w:szCs w:val="22"/>
        </w:rPr>
        <w:t xml:space="preserve"> ne puisse excéder quat</w:t>
      </w:r>
      <w:r w:rsidR="00470D9C" w:rsidRPr="00AF5BD1">
        <w:rPr>
          <w:rFonts w:asciiTheme="minorHAnsi" w:hAnsiTheme="minorHAnsi" w:cstheme="minorHAnsi"/>
          <w:bCs/>
          <w:color w:val="000000"/>
          <w:sz w:val="22"/>
          <w:szCs w:val="22"/>
        </w:rPr>
        <w:t>re</w:t>
      </w:r>
      <w:r w:rsidRPr="00AF5BD1">
        <w:rPr>
          <w:rFonts w:asciiTheme="minorHAnsi" w:hAnsiTheme="minorHAnsi" w:cstheme="minorHAnsi"/>
          <w:bCs/>
          <w:color w:val="000000"/>
          <w:sz w:val="22"/>
          <w:szCs w:val="22"/>
        </w:rPr>
        <w:t xml:space="preserve"> (4) ans.</w:t>
      </w:r>
    </w:p>
    <w:p w14:paraId="12F1F179" w14:textId="09EE53CB" w:rsidR="00470D9C" w:rsidRPr="00AF5BD1" w:rsidRDefault="0018161C" w:rsidP="005C18B8">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 xml:space="preserve">au moins </w:t>
      </w:r>
      <w:r w:rsidR="00470D9C" w:rsidRPr="00AF5BD1">
        <w:rPr>
          <w:rFonts w:asciiTheme="minorHAnsi" w:hAnsiTheme="minorHAnsi" w:cstheme="minorHAnsi"/>
          <w:bCs/>
          <w:color w:val="000000"/>
        </w:rPr>
        <w:t>trois (</w:t>
      </w:r>
      <w:r w:rsidRPr="00AF5BD1">
        <w:rPr>
          <w:rFonts w:asciiTheme="minorHAnsi" w:hAnsiTheme="minorHAnsi" w:cstheme="minorHAnsi"/>
          <w:bCs/>
          <w:color w:val="000000"/>
        </w:rPr>
        <w:t>3</w:t>
      </w:r>
      <w:r w:rsidR="00470D9C" w:rsidRPr="00AF5BD1">
        <w:rPr>
          <w:rFonts w:asciiTheme="minorHAnsi" w:hAnsiTheme="minorHAnsi" w:cstheme="minorHAnsi"/>
          <w:bCs/>
          <w:color w:val="000000"/>
        </w:rPr>
        <w:t>)</w:t>
      </w:r>
      <w:r w:rsidRPr="00AF5BD1">
        <w:rPr>
          <w:rFonts w:asciiTheme="minorHAnsi" w:hAnsiTheme="minorHAnsi" w:cstheme="minorHAnsi"/>
          <w:bCs/>
          <w:color w:val="000000"/>
        </w:rPr>
        <w:t xml:space="preserve"> mois avant</w:t>
      </w:r>
      <w:r w:rsidRPr="00AF5BD1">
        <w:rPr>
          <w:rFonts w:asciiTheme="minorHAnsi" w:hAnsiTheme="minorHAnsi" w:cstheme="minorHAnsi"/>
          <w:color w:val="000000"/>
        </w:rPr>
        <w:t xml:space="preserve"> la fin de la durée de validité </w:t>
      </w:r>
      <w:r w:rsidR="00AF5BD1" w:rsidRPr="00AF5BD1">
        <w:rPr>
          <w:rFonts w:asciiTheme="minorHAnsi" w:hAnsiTheme="minorHAnsi" w:cstheme="minorHAnsi"/>
          <w:color w:val="000000"/>
        </w:rPr>
        <w:t>d</w:t>
      </w:r>
      <w:r w:rsidR="00470D9C" w:rsidRPr="00AF5BD1">
        <w:rPr>
          <w:rFonts w:asciiTheme="minorHAnsi" w:hAnsiTheme="minorHAnsi" w:cstheme="minorHAnsi"/>
          <w:color w:val="000000"/>
        </w:rPr>
        <w:t>e l’accord-cadre</w:t>
      </w:r>
      <w:r w:rsidRPr="00AF5BD1">
        <w:rPr>
          <w:rFonts w:asciiTheme="minorHAnsi" w:hAnsiTheme="minorHAnsi" w:cstheme="minorHAnsi"/>
          <w:color w:val="000000"/>
        </w:rPr>
        <w:t>. Le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titulaire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ne peut</w:t>
      </w:r>
      <w:r w:rsidR="00470D9C" w:rsidRPr="00AF5BD1">
        <w:rPr>
          <w:rFonts w:asciiTheme="minorHAnsi" w:hAnsiTheme="minorHAnsi" w:cstheme="minorHAnsi"/>
          <w:color w:val="000000"/>
        </w:rPr>
        <w:t>(vent)</w:t>
      </w:r>
      <w:r w:rsidRPr="00AF5BD1">
        <w:rPr>
          <w:rFonts w:asciiTheme="minorHAnsi" w:hAnsiTheme="minorHAnsi" w:cstheme="minorHAnsi"/>
          <w:color w:val="000000"/>
        </w:rPr>
        <w:t xml:space="preserve"> </w:t>
      </w:r>
      <w:r w:rsidR="00470D9C" w:rsidRPr="00AF5BD1">
        <w:rPr>
          <w:rFonts w:asciiTheme="minorHAnsi" w:hAnsiTheme="minorHAnsi" w:cstheme="minorHAnsi"/>
          <w:color w:val="000000"/>
        </w:rPr>
        <w:t>s’opposer à ces</w:t>
      </w:r>
      <w:r w:rsidRPr="00AF5BD1">
        <w:rPr>
          <w:rFonts w:asciiTheme="minorHAnsi" w:hAnsiTheme="minorHAnsi" w:cstheme="minorHAnsi"/>
          <w:color w:val="000000"/>
        </w:rPr>
        <w:t xml:space="preserve"> reconduction</w:t>
      </w:r>
      <w:r w:rsidR="00470D9C" w:rsidRPr="00AF5BD1">
        <w:rPr>
          <w:rFonts w:asciiTheme="minorHAnsi" w:hAnsiTheme="minorHAnsi" w:cstheme="minorHAnsi"/>
          <w:color w:val="000000"/>
        </w:rPr>
        <w:t>s</w:t>
      </w:r>
      <w:r w:rsidRPr="00AF5BD1">
        <w:rPr>
          <w:rFonts w:asciiTheme="minorHAnsi" w:hAnsiTheme="minorHAnsi" w:cstheme="minorHAnsi"/>
          <w:color w:val="000000"/>
        </w:rPr>
        <w:t>.</w:t>
      </w:r>
      <w:r w:rsidRPr="00AF5BD1">
        <w:rPr>
          <w:rFonts w:asciiTheme="minorHAnsi" w:hAnsiTheme="minorHAnsi" w:cstheme="minorHAnsi"/>
        </w:rPr>
        <w:t xml:space="preserve"> </w:t>
      </w:r>
    </w:p>
    <w:p w14:paraId="562E355E" w14:textId="77777777" w:rsidR="00470D9C" w:rsidRPr="00AF5BD1" w:rsidRDefault="00470D9C" w:rsidP="005C18B8">
      <w:pPr>
        <w:jc w:val="both"/>
        <w:rPr>
          <w:rFonts w:asciiTheme="minorHAnsi" w:hAnsiTheme="minorHAnsi" w:cstheme="minorHAnsi"/>
        </w:rPr>
      </w:pPr>
    </w:p>
    <w:p w14:paraId="3C2D62E4" w14:textId="0D2A2599" w:rsidR="00632114" w:rsidRPr="00CD7E5B" w:rsidRDefault="004F6A33"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w:t>
      </w:r>
      <w:r w:rsidR="00470D9C" w:rsidRPr="00AF5BD1">
        <w:rPr>
          <w:rFonts w:asciiTheme="minorHAnsi" w:eastAsia="Trebuchet MS" w:hAnsiTheme="minorHAnsi" w:cstheme="minorHAnsi"/>
          <w:color w:val="000000"/>
        </w:rPr>
        <w:t>a décision de ne pas reconduire</w:t>
      </w:r>
      <w:r w:rsidR="00AF5BD1">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 xml:space="preserve">l’accord-cadre </w:t>
      </w:r>
      <w:r w:rsidR="00470D9C" w:rsidRPr="00AF5BD1">
        <w:rPr>
          <w:rFonts w:asciiTheme="minorHAnsi" w:eastAsia="Trebuchet MS" w:hAnsiTheme="minorHAnsi" w:cstheme="minorHAnsi"/>
          <w:color w:val="000000"/>
        </w:rPr>
        <w:t>ne donne droit à aucune indem</w:t>
      </w:r>
      <w:r w:rsidR="00470D9C" w:rsidRPr="00CD7E5B">
        <w:rPr>
          <w:rFonts w:asciiTheme="minorHAnsi" w:eastAsia="Trebuchet MS" w:hAnsiTheme="minorHAnsi" w:cstheme="minorHAnsi"/>
          <w:color w:val="000000"/>
        </w:rPr>
        <w:t>nité.</w:t>
      </w:r>
      <w:bookmarkEnd w:id="0"/>
      <w:bookmarkEnd w:id="1"/>
    </w:p>
    <w:p w14:paraId="4329811C" w14:textId="3DA3AC7A" w:rsidR="0073058E" w:rsidRPr="00CD7E5B" w:rsidRDefault="0073058E" w:rsidP="005C18B8">
      <w:pPr>
        <w:jc w:val="both"/>
        <w:rPr>
          <w:rFonts w:asciiTheme="minorHAnsi" w:eastAsia="Trebuchet MS" w:hAnsiTheme="minorHAnsi" w:cstheme="minorHAnsi"/>
          <w:color w:val="000000"/>
        </w:rPr>
      </w:pPr>
    </w:p>
    <w:p w14:paraId="3ADC7F2C" w14:textId="4B1C953E"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2"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0F6605AA"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AIRE (D</w:t>
      </w:r>
      <w:r w:rsidRPr="00AF5BD1">
        <w:rPr>
          <w:rFonts w:asciiTheme="minorHAnsi" w:hAnsiTheme="minorHAnsi" w:cstheme="minorHAnsi"/>
          <w:b/>
          <w:bCs/>
        </w:rPr>
        <w:t>ate d’effet de l’accord-cadre)</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53B60C6B"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1429B5">
        <w:rPr>
          <w:rFonts w:asciiTheme="minorHAnsi" w:hAnsiTheme="minorHAnsi" w:cstheme="minorHAnsi"/>
          <w:sz w:val="20"/>
          <w:szCs w:val="20"/>
        </w:rPr>
      </w:r>
      <w:r w:rsidR="001429B5">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152964" w:rsidRPr="009F1D65">
        <w:rPr>
          <w:rFonts w:asciiTheme="minorHAnsi" w:hAnsiTheme="minorHAnsi" w:cstheme="minorHAnsi"/>
          <w:sz w:val="20"/>
          <w:szCs w:val="20"/>
        </w:rPr>
        <w:t>Annexe financière composée d</w:t>
      </w:r>
      <w:r w:rsidR="00AF5BD1">
        <w:rPr>
          <w:rFonts w:asciiTheme="minorHAnsi" w:hAnsiTheme="minorHAnsi" w:cstheme="minorHAnsi"/>
          <w:sz w:val="20"/>
          <w:szCs w:val="20"/>
        </w:rPr>
        <w:t>es prix plafonds</w:t>
      </w:r>
      <w:r w:rsidR="005C0900">
        <w:rPr>
          <w:rFonts w:asciiTheme="minorHAnsi" w:hAnsiTheme="minorHAnsi" w:cstheme="minorHAnsi"/>
          <w:sz w:val="20"/>
          <w:szCs w:val="20"/>
        </w:rPr>
        <w:t xml:space="preserve"> et du pourcentage de remise de fin d’année financière</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1429B5">
        <w:rPr>
          <w:rFonts w:asciiTheme="minorHAnsi" w:hAnsiTheme="minorHAnsi" w:cstheme="minorHAnsi"/>
          <w:sz w:val="20"/>
          <w:szCs w:val="20"/>
        </w:rPr>
      </w:r>
      <w:r w:rsidR="001429B5">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2"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2"/>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1429B5">
        <w:rPr>
          <w:rFonts w:asciiTheme="minorHAnsi" w:hAnsiTheme="minorHAnsi" w:cstheme="minorHAnsi"/>
          <w:sz w:val="20"/>
          <w:szCs w:val="20"/>
        </w:rPr>
      </w:r>
      <w:r w:rsidR="001429B5">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1429B5">
        <w:rPr>
          <w:rFonts w:asciiTheme="minorHAnsi" w:hAnsiTheme="minorHAnsi" w:cstheme="minorHAnsi"/>
          <w:sz w:val="20"/>
          <w:szCs w:val="20"/>
        </w:rPr>
      </w:r>
      <w:r w:rsidR="001429B5">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1429B5">
        <w:rPr>
          <w:rFonts w:asciiTheme="minorHAnsi" w:hAnsiTheme="minorHAnsi" w:cstheme="minorHAnsi"/>
          <w:sz w:val="20"/>
          <w:szCs w:val="20"/>
        </w:rPr>
      </w:r>
      <w:r w:rsidR="001429B5">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1429B5">
        <w:rPr>
          <w:rFonts w:asciiTheme="minorHAnsi" w:hAnsiTheme="minorHAnsi" w:cstheme="minorHAnsi"/>
          <w:sz w:val="20"/>
          <w:szCs w:val="20"/>
        </w:rPr>
      </w:r>
      <w:r w:rsidR="001429B5">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3"/>
          <w:headerReference w:type="first" r:id="rId14"/>
          <w:footerReference w:type="first" r:id="rId15"/>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1429B5">
        <w:rPr>
          <w:rFonts w:cs="Arial"/>
          <w:szCs w:val="20"/>
        </w:rPr>
      </w:r>
      <w:r w:rsidR="001429B5">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429B5">
        <w:rPr>
          <w:rFonts w:ascii="Calibri" w:hAnsi="Calibri" w:cs="Calibri"/>
        </w:rPr>
      </w:r>
      <w:r w:rsidR="001429B5">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429B5">
        <w:rPr>
          <w:rFonts w:ascii="Calibri" w:hAnsi="Calibri" w:cs="Calibri"/>
        </w:rPr>
      </w:r>
      <w:r w:rsidR="001429B5">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429B5">
        <w:rPr>
          <w:rFonts w:ascii="Calibri" w:hAnsi="Calibri" w:cs="Calibri"/>
        </w:rPr>
      </w:r>
      <w:r w:rsidR="001429B5">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429B5">
        <w:rPr>
          <w:rFonts w:ascii="Calibri" w:hAnsi="Calibri" w:cs="Calibri"/>
        </w:rPr>
      </w:r>
      <w:r w:rsidR="001429B5">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429B5">
        <w:rPr>
          <w:rFonts w:ascii="Calibri" w:hAnsi="Calibri" w:cs="Calibri"/>
        </w:rPr>
      </w:r>
      <w:r w:rsidR="001429B5">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429B5">
        <w:rPr>
          <w:rFonts w:ascii="Calibri" w:hAnsi="Calibri" w:cs="Calibri"/>
        </w:rPr>
      </w:r>
      <w:r w:rsidR="001429B5">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1429B5">
        <w:rPr>
          <w:rFonts w:ascii="Calibri" w:hAnsi="Calibri" w:cs="Calibri"/>
        </w:rPr>
      </w:r>
      <w:r w:rsidR="001429B5">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429B5"/>
    <w:rsid w:val="00150A55"/>
    <w:rsid w:val="00152763"/>
    <w:rsid w:val="00152964"/>
    <w:rsid w:val="00152F6B"/>
    <w:rsid w:val="00152FD4"/>
    <w:rsid w:val="00154CCB"/>
    <w:rsid w:val="001630CB"/>
    <w:rsid w:val="00167177"/>
    <w:rsid w:val="0018161C"/>
    <w:rsid w:val="00190680"/>
    <w:rsid w:val="001925C2"/>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17E27"/>
    <w:rsid w:val="00520EFB"/>
    <w:rsid w:val="00531507"/>
    <w:rsid w:val="00540DDE"/>
    <w:rsid w:val="00560110"/>
    <w:rsid w:val="00561481"/>
    <w:rsid w:val="00562EEC"/>
    <w:rsid w:val="00580CD0"/>
    <w:rsid w:val="00592076"/>
    <w:rsid w:val="005B357E"/>
    <w:rsid w:val="005B6D89"/>
    <w:rsid w:val="005C0900"/>
    <w:rsid w:val="005C18B8"/>
    <w:rsid w:val="005C5265"/>
    <w:rsid w:val="005D4A91"/>
    <w:rsid w:val="005E3240"/>
    <w:rsid w:val="005E4CF3"/>
    <w:rsid w:val="005F323A"/>
    <w:rsid w:val="00605027"/>
    <w:rsid w:val="00616807"/>
    <w:rsid w:val="006218AF"/>
    <w:rsid w:val="00632114"/>
    <w:rsid w:val="00641BFF"/>
    <w:rsid w:val="00643E32"/>
    <w:rsid w:val="00646E14"/>
    <w:rsid w:val="00661C2A"/>
    <w:rsid w:val="00662143"/>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52336"/>
    <w:rsid w:val="0096231D"/>
    <w:rsid w:val="00994456"/>
    <w:rsid w:val="009971B0"/>
    <w:rsid w:val="00997DD3"/>
    <w:rsid w:val="009A6579"/>
    <w:rsid w:val="009C4209"/>
    <w:rsid w:val="009E45F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AE2C2B"/>
    <w:rsid w:val="00AF5BD1"/>
    <w:rsid w:val="00B078CF"/>
    <w:rsid w:val="00B20412"/>
    <w:rsid w:val="00B45D62"/>
    <w:rsid w:val="00B742FD"/>
    <w:rsid w:val="00B9742C"/>
    <w:rsid w:val="00B97CD9"/>
    <w:rsid w:val="00BB6F68"/>
    <w:rsid w:val="00BD4AF5"/>
    <w:rsid w:val="00BD5F70"/>
    <w:rsid w:val="00BE3446"/>
    <w:rsid w:val="00BE7210"/>
    <w:rsid w:val="00C156C2"/>
    <w:rsid w:val="00C1679B"/>
    <w:rsid w:val="00C16F63"/>
    <w:rsid w:val="00C24D62"/>
    <w:rsid w:val="00C34666"/>
    <w:rsid w:val="00C50FCD"/>
    <w:rsid w:val="00C51053"/>
    <w:rsid w:val="00C83688"/>
    <w:rsid w:val="00C9090F"/>
    <w:rsid w:val="00C90BE0"/>
    <w:rsid w:val="00CA4803"/>
    <w:rsid w:val="00CB1894"/>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istance-sy@caissedesdepot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2.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4.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1913</Words>
  <Characters>10078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12</cp:revision>
  <cp:lastPrinted>2024-04-12T08:39:00Z</cp:lastPrinted>
  <dcterms:created xsi:type="dcterms:W3CDTF">2024-05-07T14:05:00Z</dcterms:created>
  <dcterms:modified xsi:type="dcterms:W3CDTF">2025-01-30T10:00:00Z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