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1C615792"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20255003</w:t>
      </w:r>
      <w:r w:rsidR="00517E27">
        <w:rPr>
          <w:rFonts w:asciiTheme="minorHAnsi" w:hAnsiTheme="minorHAnsi" w:cstheme="minorHAnsi"/>
          <w:b/>
          <w:caps/>
          <w:sz w:val="32"/>
          <w:szCs w:val="32"/>
        </w:rPr>
        <w:t>10</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1945CFAD"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 xml:space="preserve">Lot </w:t>
      </w:r>
      <w:r w:rsidR="00517E27">
        <w:rPr>
          <w:rFonts w:asciiTheme="minorHAnsi" w:hAnsiTheme="minorHAnsi" w:cstheme="minorHAnsi"/>
          <w:b/>
          <w:caps/>
          <w:sz w:val="27"/>
          <w:szCs w:val="27"/>
        </w:rPr>
        <w:t>10 : securite des systèmes d’information et plan de secours informatique</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D058B3">
        <w:rPr>
          <w:rFonts w:asciiTheme="minorHAnsi" w:hAnsiTheme="minorHAnsi" w:cstheme="minorHAnsi"/>
        </w:rPr>
      </w:r>
      <w:r w:rsidR="00D058B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D058B3">
        <w:rPr>
          <w:rFonts w:asciiTheme="minorHAnsi" w:hAnsiTheme="minorHAnsi" w:cstheme="minorHAnsi"/>
        </w:rPr>
      </w:r>
      <w:r w:rsidR="00D058B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D058B3">
        <w:rPr>
          <w:rFonts w:asciiTheme="minorHAnsi" w:hAnsiTheme="minorHAnsi" w:cstheme="minorHAnsi"/>
        </w:rPr>
      </w:r>
      <w:r w:rsidR="00D058B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D058B3">
        <w:rPr>
          <w:rFonts w:asciiTheme="minorHAnsi" w:hAnsiTheme="minorHAnsi" w:cstheme="minorHAnsi"/>
        </w:rPr>
      </w:r>
      <w:r w:rsidR="00D058B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D058B3">
        <w:rPr>
          <w:rFonts w:asciiTheme="minorHAnsi" w:hAnsiTheme="minorHAnsi" w:cstheme="minorHAnsi"/>
        </w:rPr>
      </w:r>
      <w:r w:rsidR="00D058B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D058B3">
        <w:rPr>
          <w:rFonts w:asciiTheme="minorHAnsi" w:hAnsiTheme="minorHAnsi" w:cstheme="minorHAnsi"/>
        </w:rPr>
      </w:r>
      <w:r w:rsidR="00D058B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D058B3">
        <w:rPr>
          <w:rFonts w:asciiTheme="minorHAnsi" w:hAnsiTheme="minorHAnsi" w:cstheme="minorHAnsi"/>
        </w:rPr>
      </w:r>
      <w:r w:rsidR="00D058B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10677CEF"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w:t>
      </w:r>
      <w:r w:rsidR="00517E27">
        <w:rPr>
          <w:rFonts w:asciiTheme="minorHAnsi" w:hAnsiTheme="minorHAnsi" w:cstheme="minorHAnsi"/>
          <w:b/>
          <w:bCs/>
        </w:rPr>
        <w:t>10 Sécurité des systèmes d’information et plan de secours informatique.</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6FA03320"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5C0900">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3B60C6B"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D058B3">
        <w:rPr>
          <w:rFonts w:asciiTheme="minorHAnsi" w:hAnsiTheme="minorHAnsi" w:cstheme="minorHAnsi"/>
          <w:sz w:val="20"/>
          <w:szCs w:val="20"/>
        </w:rPr>
      </w:r>
      <w:r w:rsidR="00D058B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Annexe financière composée d</w:t>
      </w:r>
      <w:r w:rsidR="00AF5BD1">
        <w:rPr>
          <w:rFonts w:asciiTheme="minorHAnsi" w:hAnsiTheme="minorHAnsi" w:cstheme="minorHAnsi"/>
          <w:sz w:val="20"/>
          <w:szCs w:val="20"/>
        </w:rPr>
        <w:t>es prix plafonds</w:t>
      </w:r>
      <w:r w:rsidR="005C0900">
        <w:rPr>
          <w:rFonts w:asciiTheme="minorHAnsi" w:hAnsiTheme="minorHAnsi" w:cstheme="minorHAnsi"/>
          <w:sz w:val="20"/>
          <w:szCs w:val="20"/>
        </w:rPr>
        <w:t xml:space="preserve">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058B3">
        <w:rPr>
          <w:rFonts w:asciiTheme="minorHAnsi" w:hAnsiTheme="minorHAnsi" w:cstheme="minorHAnsi"/>
          <w:sz w:val="20"/>
          <w:szCs w:val="20"/>
        </w:rPr>
      </w:r>
      <w:r w:rsidR="00D058B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058B3">
        <w:rPr>
          <w:rFonts w:asciiTheme="minorHAnsi" w:hAnsiTheme="minorHAnsi" w:cstheme="minorHAnsi"/>
          <w:sz w:val="20"/>
          <w:szCs w:val="20"/>
        </w:rPr>
      </w:r>
      <w:r w:rsidR="00D058B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058B3">
        <w:rPr>
          <w:rFonts w:asciiTheme="minorHAnsi" w:hAnsiTheme="minorHAnsi" w:cstheme="minorHAnsi"/>
          <w:sz w:val="20"/>
          <w:szCs w:val="20"/>
        </w:rPr>
      </w:r>
      <w:r w:rsidR="00D058B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058B3">
        <w:rPr>
          <w:rFonts w:asciiTheme="minorHAnsi" w:hAnsiTheme="minorHAnsi" w:cstheme="minorHAnsi"/>
          <w:sz w:val="20"/>
          <w:szCs w:val="20"/>
        </w:rPr>
      </w:r>
      <w:r w:rsidR="00D058B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D058B3">
        <w:rPr>
          <w:rFonts w:asciiTheme="minorHAnsi" w:hAnsiTheme="minorHAnsi" w:cstheme="minorHAnsi"/>
          <w:sz w:val="20"/>
          <w:szCs w:val="20"/>
        </w:rPr>
      </w:r>
      <w:r w:rsidR="00D058B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D058B3">
        <w:rPr>
          <w:rFonts w:cs="Arial"/>
          <w:szCs w:val="20"/>
        </w:rPr>
      </w:r>
      <w:r w:rsidR="00D058B3">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058B3">
        <w:rPr>
          <w:rFonts w:ascii="Calibri" w:hAnsi="Calibri" w:cs="Calibri"/>
        </w:rPr>
      </w:r>
      <w:r w:rsidR="00D058B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058B3">
        <w:rPr>
          <w:rFonts w:ascii="Calibri" w:hAnsi="Calibri" w:cs="Calibri"/>
        </w:rPr>
      </w:r>
      <w:r w:rsidR="00D058B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058B3">
        <w:rPr>
          <w:rFonts w:ascii="Calibri" w:hAnsi="Calibri" w:cs="Calibri"/>
        </w:rPr>
      </w:r>
      <w:r w:rsidR="00D058B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058B3">
        <w:rPr>
          <w:rFonts w:ascii="Calibri" w:hAnsi="Calibri" w:cs="Calibri"/>
        </w:rPr>
      </w:r>
      <w:r w:rsidR="00D058B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058B3">
        <w:rPr>
          <w:rFonts w:ascii="Calibri" w:hAnsi="Calibri" w:cs="Calibri"/>
        </w:rPr>
      </w:r>
      <w:r w:rsidR="00D058B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058B3">
        <w:rPr>
          <w:rFonts w:ascii="Calibri" w:hAnsi="Calibri" w:cs="Calibri"/>
        </w:rPr>
      </w:r>
      <w:r w:rsidR="00D058B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D058B3">
        <w:rPr>
          <w:rFonts w:ascii="Calibri" w:hAnsi="Calibri" w:cs="Calibri"/>
        </w:rPr>
      </w:r>
      <w:r w:rsidR="00D058B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0680"/>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17E27"/>
    <w:rsid w:val="00520EFB"/>
    <w:rsid w:val="00531507"/>
    <w:rsid w:val="00540DDE"/>
    <w:rsid w:val="00560110"/>
    <w:rsid w:val="00561481"/>
    <w:rsid w:val="00562EEC"/>
    <w:rsid w:val="00580CD0"/>
    <w:rsid w:val="00592076"/>
    <w:rsid w:val="005B357E"/>
    <w:rsid w:val="005B6D89"/>
    <w:rsid w:val="005C0900"/>
    <w:rsid w:val="005C18B8"/>
    <w:rsid w:val="005C5265"/>
    <w:rsid w:val="005D4A91"/>
    <w:rsid w:val="005E3240"/>
    <w:rsid w:val="005E4CF3"/>
    <w:rsid w:val="005F323A"/>
    <w:rsid w:val="00605027"/>
    <w:rsid w:val="00616807"/>
    <w:rsid w:val="006218AF"/>
    <w:rsid w:val="00632114"/>
    <w:rsid w:val="00641BFF"/>
    <w:rsid w:val="00643E32"/>
    <w:rsid w:val="00646E14"/>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E45F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45D62"/>
    <w:rsid w:val="00B742FD"/>
    <w:rsid w:val="00B9742C"/>
    <w:rsid w:val="00B97CD9"/>
    <w:rsid w:val="00BB6F68"/>
    <w:rsid w:val="00BD4AF5"/>
    <w:rsid w:val="00BD5F70"/>
    <w:rsid w:val="00BE3446"/>
    <w:rsid w:val="00BE7210"/>
    <w:rsid w:val="00C156C2"/>
    <w:rsid w:val="00C1679B"/>
    <w:rsid w:val="00C16F63"/>
    <w:rsid w:val="00C24D62"/>
    <w:rsid w:val="00C34666"/>
    <w:rsid w:val="00C50FCD"/>
    <w:rsid w:val="00C51053"/>
    <w:rsid w:val="00C83688"/>
    <w:rsid w:val="00C9090F"/>
    <w:rsid w:val="00C90BE0"/>
    <w:rsid w:val="00CA4803"/>
    <w:rsid w:val="00CB1894"/>
    <w:rsid w:val="00CB37CD"/>
    <w:rsid w:val="00CB57CB"/>
    <w:rsid w:val="00CC5D48"/>
    <w:rsid w:val="00CD7E5B"/>
    <w:rsid w:val="00CE1860"/>
    <w:rsid w:val="00CE3920"/>
    <w:rsid w:val="00D001F8"/>
    <w:rsid w:val="00D008B5"/>
    <w:rsid w:val="00D03D5B"/>
    <w:rsid w:val="00D056F9"/>
    <w:rsid w:val="00D058B3"/>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2.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4.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1889</Words>
  <Characters>9930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11</cp:revision>
  <cp:lastPrinted>2024-04-12T08:39:00Z</cp:lastPrinted>
  <dcterms:created xsi:type="dcterms:W3CDTF">2024-05-07T14:05:00Z</dcterms:created>
  <dcterms:modified xsi:type="dcterms:W3CDTF">2025-01-30T10:00:00Z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