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2638F9A6"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202550030</w:t>
      </w:r>
      <w:r w:rsidR="00646E14">
        <w:rPr>
          <w:rFonts w:asciiTheme="minorHAnsi" w:hAnsiTheme="minorHAnsi" w:cstheme="minorHAnsi"/>
          <w:b/>
          <w:caps/>
          <w:sz w:val="32"/>
          <w:szCs w:val="32"/>
        </w:rPr>
        <w:t>9</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2F4E172D"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 xml:space="preserve">Lot </w:t>
      </w:r>
      <w:r w:rsidR="00646E14">
        <w:rPr>
          <w:rFonts w:asciiTheme="minorHAnsi" w:hAnsiTheme="minorHAnsi" w:cstheme="minorHAnsi"/>
          <w:b/>
          <w:caps/>
          <w:sz w:val="27"/>
          <w:szCs w:val="27"/>
        </w:rPr>
        <w:t>9 : conseil metier et amoa en juridique, reglementaire, contrôle interne, audit interne et gestion des risques</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817C53">
        <w:rPr>
          <w:rFonts w:asciiTheme="minorHAnsi" w:hAnsiTheme="minorHAnsi" w:cstheme="minorHAnsi"/>
        </w:rPr>
      </w:r>
      <w:r w:rsidR="00817C5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817C53">
        <w:rPr>
          <w:rFonts w:asciiTheme="minorHAnsi" w:hAnsiTheme="minorHAnsi" w:cstheme="minorHAnsi"/>
        </w:rPr>
      </w:r>
      <w:r w:rsidR="00817C5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817C53">
        <w:rPr>
          <w:rFonts w:asciiTheme="minorHAnsi" w:hAnsiTheme="minorHAnsi" w:cstheme="minorHAnsi"/>
        </w:rPr>
      </w:r>
      <w:r w:rsidR="00817C5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817C53">
        <w:rPr>
          <w:rFonts w:asciiTheme="minorHAnsi" w:hAnsiTheme="minorHAnsi" w:cstheme="minorHAnsi"/>
        </w:rPr>
      </w:r>
      <w:r w:rsidR="00817C5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817C53">
        <w:rPr>
          <w:rFonts w:asciiTheme="minorHAnsi" w:hAnsiTheme="minorHAnsi" w:cstheme="minorHAnsi"/>
        </w:rPr>
      </w:r>
      <w:r w:rsidR="00817C5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817C53">
        <w:rPr>
          <w:rFonts w:asciiTheme="minorHAnsi" w:hAnsiTheme="minorHAnsi" w:cstheme="minorHAnsi"/>
        </w:rPr>
      </w:r>
      <w:r w:rsidR="00817C5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817C53">
        <w:rPr>
          <w:rFonts w:asciiTheme="minorHAnsi" w:hAnsiTheme="minorHAnsi" w:cstheme="minorHAnsi"/>
        </w:rPr>
      </w:r>
      <w:r w:rsidR="00817C53">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3189F1A6"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w:t>
      </w:r>
      <w:r w:rsidR="00646E14">
        <w:rPr>
          <w:rFonts w:asciiTheme="minorHAnsi" w:hAnsiTheme="minorHAnsi" w:cstheme="minorHAnsi"/>
          <w:b/>
          <w:bCs/>
        </w:rPr>
        <w:t xml:space="preserve">9 Conseil métier et AMOA en juridique, réglementaire, contrôle interne, audit interne et gestion des risques. </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5E561C8A"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5C0900">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3B60C6B"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817C53">
        <w:rPr>
          <w:rFonts w:asciiTheme="minorHAnsi" w:hAnsiTheme="minorHAnsi" w:cstheme="minorHAnsi"/>
          <w:sz w:val="20"/>
          <w:szCs w:val="20"/>
        </w:rPr>
      </w:r>
      <w:r w:rsidR="00817C5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Annexe financière composée d</w:t>
      </w:r>
      <w:r w:rsidR="00AF5BD1">
        <w:rPr>
          <w:rFonts w:asciiTheme="minorHAnsi" w:hAnsiTheme="minorHAnsi" w:cstheme="minorHAnsi"/>
          <w:sz w:val="20"/>
          <w:szCs w:val="20"/>
        </w:rPr>
        <w:t>es prix plafonds</w:t>
      </w:r>
      <w:r w:rsidR="005C0900">
        <w:rPr>
          <w:rFonts w:asciiTheme="minorHAnsi" w:hAnsiTheme="minorHAnsi" w:cstheme="minorHAnsi"/>
          <w:sz w:val="20"/>
          <w:szCs w:val="20"/>
        </w:rPr>
        <w:t xml:space="preserve">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817C53">
        <w:rPr>
          <w:rFonts w:asciiTheme="minorHAnsi" w:hAnsiTheme="minorHAnsi" w:cstheme="minorHAnsi"/>
          <w:sz w:val="20"/>
          <w:szCs w:val="20"/>
        </w:rPr>
      </w:r>
      <w:r w:rsidR="00817C5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817C53">
        <w:rPr>
          <w:rFonts w:asciiTheme="minorHAnsi" w:hAnsiTheme="minorHAnsi" w:cstheme="minorHAnsi"/>
          <w:sz w:val="20"/>
          <w:szCs w:val="20"/>
        </w:rPr>
      </w:r>
      <w:r w:rsidR="00817C5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817C53">
        <w:rPr>
          <w:rFonts w:asciiTheme="minorHAnsi" w:hAnsiTheme="minorHAnsi" w:cstheme="minorHAnsi"/>
          <w:sz w:val="20"/>
          <w:szCs w:val="20"/>
        </w:rPr>
      </w:r>
      <w:r w:rsidR="00817C5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817C53">
        <w:rPr>
          <w:rFonts w:asciiTheme="minorHAnsi" w:hAnsiTheme="minorHAnsi" w:cstheme="minorHAnsi"/>
          <w:sz w:val="20"/>
          <w:szCs w:val="20"/>
        </w:rPr>
      </w:r>
      <w:r w:rsidR="00817C5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817C53">
        <w:rPr>
          <w:rFonts w:asciiTheme="minorHAnsi" w:hAnsiTheme="minorHAnsi" w:cstheme="minorHAnsi"/>
          <w:sz w:val="20"/>
          <w:szCs w:val="20"/>
        </w:rPr>
      </w:r>
      <w:r w:rsidR="00817C53">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817C53">
        <w:rPr>
          <w:rFonts w:cs="Arial"/>
          <w:szCs w:val="20"/>
        </w:rPr>
      </w:r>
      <w:r w:rsidR="00817C53">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817C53">
        <w:rPr>
          <w:rFonts w:ascii="Calibri" w:hAnsi="Calibri" w:cs="Calibri"/>
        </w:rPr>
      </w:r>
      <w:r w:rsidR="00817C5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817C53">
        <w:rPr>
          <w:rFonts w:ascii="Calibri" w:hAnsi="Calibri" w:cs="Calibri"/>
        </w:rPr>
      </w:r>
      <w:r w:rsidR="00817C5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817C53">
        <w:rPr>
          <w:rFonts w:ascii="Calibri" w:hAnsi="Calibri" w:cs="Calibri"/>
        </w:rPr>
      </w:r>
      <w:r w:rsidR="00817C5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817C53">
        <w:rPr>
          <w:rFonts w:ascii="Calibri" w:hAnsi="Calibri" w:cs="Calibri"/>
        </w:rPr>
      </w:r>
      <w:r w:rsidR="00817C5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817C53">
        <w:rPr>
          <w:rFonts w:ascii="Calibri" w:hAnsi="Calibri" w:cs="Calibri"/>
        </w:rPr>
      </w:r>
      <w:r w:rsidR="00817C5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817C53">
        <w:rPr>
          <w:rFonts w:ascii="Calibri" w:hAnsi="Calibri" w:cs="Calibri"/>
        </w:rPr>
      </w:r>
      <w:r w:rsidR="00817C5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817C53">
        <w:rPr>
          <w:rFonts w:ascii="Calibri" w:hAnsi="Calibri" w:cs="Calibri"/>
        </w:rPr>
      </w:r>
      <w:r w:rsidR="00817C53">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0680"/>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0900"/>
    <w:rsid w:val="005C18B8"/>
    <w:rsid w:val="005C5265"/>
    <w:rsid w:val="005D4A91"/>
    <w:rsid w:val="005E3240"/>
    <w:rsid w:val="005E4CF3"/>
    <w:rsid w:val="005F323A"/>
    <w:rsid w:val="00605027"/>
    <w:rsid w:val="00616807"/>
    <w:rsid w:val="006218AF"/>
    <w:rsid w:val="00632114"/>
    <w:rsid w:val="00641BFF"/>
    <w:rsid w:val="00643E32"/>
    <w:rsid w:val="00646E14"/>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17C53"/>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E45F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45D62"/>
    <w:rsid w:val="00B742FD"/>
    <w:rsid w:val="00B9742C"/>
    <w:rsid w:val="00B97CD9"/>
    <w:rsid w:val="00BB6F68"/>
    <w:rsid w:val="00BD4AF5"/>
    <w:rsid w:val="00BD5F70"/>
    <w:rsid w:val="00BE3446"/>
    <w:rsid w:val="00BE7210"/>
    <w:rsid w:val="00C156C2"/>
    <w:rsid w:val="00C1679B"/>
    <w:rsid w:val="00C16F63"/>
    <w:rsid w:val="00C24D62"/>
    <w:rsid w:val="00C34666"/>
    <w:rsid w:val="00C50FCD"/>
    <w:rsid w:val="00C51053"/>
    <w:rsid w:val="00C83688"/>
    <w:rsid w:val="00C9090F"/>
    <w:rsid w:val="00C90BE0"/>
    <w:rsid w:val="00CA4803"/>
    <w:rsid w:val="00CB1894"/>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2.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4.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1901</Words>
  <Characters>9995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10</cp:revision>
  <cp:lastPrinted>2024-04-12T08:39:00Z</cp:lastPrinted>
  <dcterms:created xsi:type="dcterms:W3CDTF">2024-05-07T14:05:00Z</dcterms:created>
  <dcterms:modified xsi:type="dcterms:W3CDTF">2025-01-30T09:59:00Z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